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bookmarkStart w:id="0" w:name="_GoBack"/>
      <w:bookmarkEnd w:id="0"/>
    </w:p>
    <w:p>
      <w:pPr>
        <w:rPr>
          <w:rFonts w:ascii="仿宋" w:eastAsia="仿宋" w:hAnsi="仿宋" w:cs="仿宋" w:hint="eastAsia"/>
          <w:b/>
          <w:sz w:val="40"/>
        </w:rPr>
      </w:pPr>
    </w:p>
    <w:p>
      <w:pPr>
        <w:rPr>
          <w:rFonts w:ascii="仿宋" w:eastAsia="仿宋" w:hAnsi="仿宋" w:cs="仿宋" w:hint="eastAsia"/>
          <w:b/>
          <w:sz w:val="40"/>
        </w:rPr>
      </w:pPr>
    </w:p>
    <w:p>
      <w:pPr>
        <w:spacing w:before="254" w:line="360" w:lineRule="auto"/>
        <w:ind w:left="273"/>
        <w:jc w:val="center"/>
        <w:outlineLvl w:val="0"/>
        <w:rPr>
          <w:rFonts w:ascii="微软雅黑" w:eastAsia="微软雅黑" w:hAnsi="微软雅黑" w:cs="微软雅黑"/>
          <w:b/>
          <w:bCs/>
          <w:color w:val="2D54A0"/>
          <w:spacing w:val="8"/>
          <w:sz w:val="59"/>
          <w:szCs w:val="59"/>
        </w:rPr>
      </w:pPr>
      <w:r>
        <w:rPr>
          <w:rFonts w:ascii="微软雅黑" w:eastAsia="微软雅黑" w:hAnsi="微软雅黑" w:cs="微软雅黑"/>
          <w:b/>
          <w:bCs/>
          <w:color w:val="2D54A0"/>
          <w:spacing w:val="9"/>
          <w:sz w:val="59"/>
          <w:szCs w:val="59"/>
        </w:rPr>
        <w:t>2024年沿海货物运输行业趋</w:t>
      </w:r>
      <w:r>
        <w:rPr>
          <w:rFonts w:ascii="微软雅黑" w:eastAsia="微软雅黑" w:hAnsi="微软雅黑" w:cs="微软雅黑"/>
          <w:b/>
          <w:bCs/>
          <w:color w:val="2D54A0"/>
          <w:spacing w:val="8"/>
          <w:sz w:val="59"/>
          <w:szCs w:val="59"/>
        </w:rPr>
        <w:t>势报告</w:t>
      </w:r>
    </w:p>
    <w:p>
      <w:pPr>
        <w:spacing w:before="254" w:line="360" w:lineRule="auto"/>
        <w:ind w:left="273"/>
        <w:jc w:val="center"/>
        <w:outlineLvl w:val="0"/>
        <w:rPr>
          <w:rFonts w:ascii="微软雅黑" w:eastAsia="微软雅黑" w:hAnsi="微软雅黑" w:cs="微软雅黑"/>
          <w:b/>
          <w:bCs/>
          <w:color w:val="2D54A0"/>
          <w:spacing w:val="8"/>
          <w:sz w:val="59"/>
          <w:szCs w:val="59"/>
        </w:rPr>
      </w:pPr>
    </w:p>
    <w:p>
      <w:pPr>
        <w:spacing w:before="254" w:line="360" w:lineRule="auto"/>
        <w:ind w:left="273"/>
        <w:jc w:val="center"/>
        <w:outlineLvl w:val="0"/>
        <w:rPr>
          <w:rFonts w:ascii="微软雅黑" w:eastAsia="微软雅黑" w:hAnsi="微软雅黑" w:cs="微软雅黑"/>
          <w:b/>
          <w:bCs/>
          <w:color w:val="2D54A0"/>
          <w:spacing w:val="8"/>
          <w:sz w:val="59"/>
          <w:szCs w:val="59"/>
        </w:rPr>
      </w:pPr>
    </w:p>
    <w:p>
      <w:pPr>
        <w:spacing w:before="254" w:line="360" w:lineRule="auto"/>
        <w:ind w:left="273"/>
        <w:jc w:val="center"/>
        <w:outlineLvl w:val="0"/>
        <w:rPr>
          <w:rFonts w:ascii="微软雅黑" w:eastAsia="微软雅黑" w:hAnsi="微软雅黑" w:cs="微软雅黑"/>
          <w:b/>
          <w:bCs/>
          <w:color w:val="2D54A0"/>
          <w:spacing w:val="8"/>
          <w:sz w:val="59"/>
          <w:szCs w:val="59"/>
        </w:rPr>
      </w:pPr>
    </w:p>
    <w:p>
      <w:pPr>
        <w:spacing w:before="254" w:line="360" w:lineRule="auto"/>
        <w:ind w:left="273"/>
        <w:jc w:val="center"/>
        <w:outlineLvl w:val="0"/>
        <w:rPr>
          <w:rFonts w:ascii="微软雅黑" w:eastAsia="微软雅黑" w:hAnsi="微软雅黑" w:cs="微软雅黑"/>
          <w:b/>
          <w:bCs/>
          <w:color w:val="2D54A0"/>
          <w:spacing w:val="8"/>
          <w:sz w:val="59"/>
          <w:szCs w:val="59"/>
        </w:rPr>
      </w:pPr>
    </w:p>
    <w:p>
      <w:pPr>
        <w:spacing w:before="254" w:line="360" w:lineRule="auto"/>
        <w:ind w:left="273"/>
        <w:jc w:val="center"/>
        <w:outlineLvl w:val="0"/>
        <w:rPr>
          <w:rFonts w:ascii="微软雅黑" w:eastAsia="微软雅黑" w:hAnsi="微软雅黑" w:cs="微软雅黑" w:hint="default"/>
          <w:b/>
          <w:bCs/>
          <w:color w:val="2D54A0"/>
          <w:spacing w:val="8"/>
          <w:sz w:val="44"/>
          <w:szCs w:val="44"/>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微软雅黑" w:eastAsia="微软雅黑" w:hAnsi="微软雅黑" w:cs="微软雅黑" w:hint="eastAsia"/>
          <w:b/>
          <w:bCs/>
          <w:color w:val="2D54A0"/>
          <w:spacing w:val="8"/>
          <w:sz w:val="44"/>
          <w:szCs w:val="44"/>
          <w:lang w:val="en-US" w:eastAsia="zh-CN"/>
        </w:rPr>
        <w:t>《2024年最新评估分析》</w:t>
      </w:r>
    </w:p>
    <w:p>
      <w:pPr>
        <w:spacing w:line="360" w:lineRule="auto"/>
        <w:jc w:val="center"/>
        <w:rPr>
          <w:rFonts w:ascii="微软雅黑" w:eastAsia="微软雅黑" w:hAnsi="微软雅黑" w:cs="微软雅黑" w:hint="eastAsia"/>
          <w:b/>
          <w:bCs w:val="0"/>
          <w:color w:val="2E54A1" w:themeColor="accent1" w:themeShade="BF"/>
          <w:sz w:val="40"/>
        </w:rPr>
      </w:pPr>
      <w:r>
        <w:rPr>
          <w:rFonts w:ascii="微软雅黑" w:eastAsia="微软雅黑" w:hAnsi="微软雅黑" w:cs="微软雅黑" w:hint="eastAsia"/>
          <w:b/>
          <w:bCs w:val="0"/>
          <w:color w:val="2E54A1" w:themeColor="accent1" w:themeShade="BF"/>
          <w:sz w:val="40"/>
          <w:lang w:eastAsia="zh-CN"/>
        </w:rPr>
        <w:t>目录</w:t>
      </w:r>
    </w:p>
    <w:p>
      <w:pPr>
        <w:pStyle w:val="TOC1"/>
        <w:tabs>
          <w:tab w:val="right" w:leader="dot" w:pos="8306"/>
        </w:tabs>
      </w:pPr>
      <w:r>
        <w:fldChar w:fldCharType="begin"/>
      </w:r>
      <w:r>
        <w:instrText>TOC \h \z</w:instrText>
      </w:r>
      <w:r>
        <w:fldChar w:fldCharType="separate"/>
      </w:r>
      <w:hyperlink w:anchor="_Toc21334" w:history="1">
        <w:r>
          <w:rPr>
            <w:rFonts w:ascii="微软雅黑" w:eastAsia="微软雅黑" w:hAnsi="微软雅黑" w:cs="微软雅黑" w:hint="eastAsia"/>
            <w:color w:val="001CAC" w:themeColor="hyperlink" w:themeShade="BF"/>
            <w:lang w:eastAsia="zh-CN"/>
          </w:rPr>
          <w:t>前言</w:t>
        </w:r>
        <w:r>
          <w:tab/>
        </w:r>
        <w:r>
          <w:fldChar w:fldCharType="begin"/>
        </w:r>
        <w:r>
          <w:instrText xml:space="preserve"> PAGEREF _Toc21334 \h </w:instrText>
        </w:r>
        <w:r>
          <w:fldChar w:fldCharType="separate"/>
        </w:r>
        <w:r>
          <w:t>4</w:t>
        </w:r>
        <w:r>
          <w:fldChar w:fldCharType="end"/>
        </w:r>
      </w:hyperlink>
    </w:p>
    <w:p>
      <w:pPr>
        <w:pStyle w:val="TOC1"/>
        <w:tabs>
          <w:tab w:val="right" w:leader="dot" w:pos="8306"/>
        </w:tabs>
      </w:pPr>
      <w:hyperlink w:anchor="_Toc1916" w:history="1">
        <w:r>
          <w:rPr>
            <w:rFonts w:ascii="微软雅黑" w:eastAsia="微软雅黑" w:hAnsi="微软雅黑" w:cs="微软雅黑" w:hint="eastAsia"/>
            <w:color w:val="001CAC" w:themeColor="hyperlink" w:themeShade="BF"/>
            <w:szCs w:val="32"/>
            <w:lang w:eastAsia="zh-CN"/>
          </w:rPr>
          <w:t>一、沿海货物运输行业投资管理策略</w:t>
        </w:r>
        <w:r>
          <w:tab/>
        </w:r>
        <w:r>
          <w:fldChar w:fldCharType="begin"/>
        </w:r>
        <w:r>
          <w:instrText xml:space="preserve"> PAGEREF _Toc1916 \h </w:instrText>
        </w:r>
        <w:r>
          <w:fldChar w:fldCharType="separate"/>
        </w:r>
        <w:r>
          <w:t>4</w:t>
        </w:r>
        <w:r>
          <w:fldChar w:fldCharType="end"/>
        </w:r>
      </w:hyperlink>
    </w:p>
    <w:p>
      <w:pPr>
        <w:pStyle w:val="TOC2"/>
        <w:tabs>
          <w:tab w:val="right" w:leader="dot" w:pos="8306"/>
        </w:tabs>
      </w:pPr>
      <w:hyperlink w:anchor="_Toc10268" w:history="1">
        <w:r>
          <w:rPr>
            <w:rFonts w:ascii="宋体" w:eastAsia="宋体" w:hAnsi="宋体" w:cs="宋体" w:hint="eastAsia"/>
            <w:bCs w:val="0"/>
            <w:szCs w:val="28"/>
            <w:lang w:eastAsia="zh-CN"/>
          </w:rPr>
          <w:t>(一)、沿海货物运输行业投资估算主要内容</w:t>
        </w:r>
        <w:r>
          <w:tab/>
        </w:r>
        <w:r>
          <w:fldChar w:fldCharType="begin"/>
        </w:r>
        <w:r>
          <w:instrText xml:space="preserve"> PAGEREF _Toc10268 \h </w:instrText>
        </w:r>
        <w:r>
          <w:fldChar w:fldCharType="separate"/>
        </w:r>
        <w:r>
          <w:t>4</w:t>
        </w:r>
        <w:r>
          <w:fldChar w:fldCharType="end"/>
        </w:r>
      </w:hyperlink>
    </w:p>
    <w:p>
      <w:pPr>
        <w:pStyle w:val="TOC2"/>
        <w:tabs>
          <w:tab w:val="right" w:leader="dot" w:pos="8306"/>
        </w:tabs>
      </w:pPr>
      <w:hyperlink w:anchor="_Toc26937" w:history="1">
        <w:r>
          <w:rPr>
            <w:rFonts w:ascii="宋体" w:eastAsia="宋体" w:hAnsi="宋体" w:cs="宋体" w:hint="eastAsia"/>
            <w:bCs w:val="0"/>
            <w:szCs w:val="28"/>
            <w:lang w:eastAsia="zh-CN"/>
          </w:rPr>
          <w:t>(二)、沿海货物运输行业设备购置投资费用管理</w:t>
        </w:r>
        <w:r>
          <w:tab/>
        </w:r>
        <w:r>
          <w:fldChar w:fldCharType="begin"/>
        </w:r>
        <w:r>
          <w:instrText xml:space="preserve"> PAGEREF _Toc26937 \h </w:instrText>
        </w:r>
        <w:r>
          <w:fldChar w:fldCharType="separate"/>
        </w:r>
        <w:r>
          <w:t>7</w:t>
        </w:r>
        <w:r>
          <w:fldChar w:fldCharType="end"/>
        </w:r>
      </w:hyperlink>
    </w:p>
    <w:p>
      <w:pPr>
        <w:pStyle w:val="TOC2"/>
        <w:tabs>
          <w:tab w:val="right" w:leader="dot" w:pos="8306"/>
        </w:tabs>
      </w:pPr>
      <w:hyperlink w:anchor="_Toc28248" w:history="1">
        <w:r>
          <w:rPr>
            <w:rFonts w:ascii="宋体" w:eastAsia="宋体" w:hAnsi="宋体" w:cs="宋体" w:hint="eastAsia"/>
            <w:bCs w:val="0"/>
            <w:szCs w:val="28"/>
            <w:lang w:eastAsia="zh-CN"/>
          </w:rPr>
          <w:t>(三)、沿海货物运输行业装修施工投资费用管理</w:t>
        </w:r>
        <w:r>
          <w:tab/>
        </w:r>
        <w:r>
          <w:fldChar w:fldCharType="begin"/>
        </w:r>
        <w:r>
          <w:instrText xml:space="preserve"> PAGEREF _Toc28248 \h </w:instrText>
        </w:r>
        <w:r>
          <w:fldChar w:fldCharType="separate"/>
        </w:r>
        <w:r>
          <w:t>11</w:t>
        </w:r>
        <w:r>
          <w:fldChar w:fldCharType="end"/>
        </w:r>
      </w:hyperlink>
    </w:p>
    <w:p>
      <w:pPr>
        <w:pStyle w:val="TOC2"/>
        <w:tabs>
          <w:tab w:val="right" w:leader="dot" w:pos="8306"/>
        </w:tabs>
      </w:pPr>
      <w:hyperlink w:anchor="_Toc12614" w:history="1">
        <w:r>
          <w:rPr>
            <w:rFonts w:ascii="宋体" w:eastAsia="宋体" w:hAnsi="宋体" w:cs="宋体" w:hint="eastAsia"/>
            <w:bCs w:val="0"/>
            <w:szCs w:val="28"/>
            <w:lang w:eastAsia="zh-CN"/>
          </w:rPr>
          <w:t>(四)、沿海货物运输行业流动资金管理</w:t>
        </w:r>
        <w:r>
          <w:tab/>
        </w:r>
        <w:r>
          <w:fldChar w:fldCharType="begin"/>
        </w:r>
        <w:r>
          <w:instrText xml:space="preserve"> PAGEREF _Toc12614 \h </w:instrText>
        </w:r>
        <w:r>
          <w:fldChar w:fldCharType="separate"/>
        </w:r>
        <w:r>
          <w:t>12</w:t>
        </w:r>
        <w:r>
          <w:fldChar w:fldCharType="end"/>
        </w:r>
      </w:hyperlink>
    </w:p>
    <w:p>
      <w:pPr>
        <w:pStyle w:val="TOC1"/>
        <w:tabs>
          <w:tab w:val="right" w:leader="dot" w:pos="8306"/>
        </w:tabs>
      </w:pPr>
      <w:hyperlink w:anchor="_Toc11916" w:history="1">
        <w:r>
          <w:rPr>
            <w:rFonts w:ascii="微软雅黑" w:eastAsia="微软雅黑" w:hAnsi="微软雅黑" w:cs="微软雅黑" w:hint="eastAsia"/>
            <w:color w:val="001CAC" w:themeColor="hyperlink" w:themeShade="BF"/>
            <w:szCs w:val="32"/>
            <w:lang w:eastAsia="zh-CN"/>
          </w:rPr>
          <w:t>二、项目管理与团队协作</w:t>
        </w:r>
        <w:r>
          <w:tab/>
        </w:r>
        <w:r>
          <w:fldChar w:fldCharType="begin"/>
        </w:r>
        <w:r>
          <w:instrText xml:space="preserve"> PAGEREF _Toc11916 \h </w:instrText>
        </w:r>
        <w:r>
          <w:fldChar w:fldCharType="separate"/>
        </w:r>
        <w:r>
          <w:t>14</w:t>
        </w:r>
        <w:r>
          <w:fldChar w:fldCharType="end"/>
        </w:r>
      </w:hyperlink>
    </w:p>
    <w:p>
      <w:pPr>
        <w:pStyle w:val="TOC2"/>
        <w:tabs>
          <w:tab w:val="right" w:leader="dot" w:pos="8306"/>
        </w:tabs>
      </w:pPr>
      <w:hyperlink w:anchor="_Toc28089" w:history="1">
        <w:r>
          <w:rPr>
            <w:rFonts w:ascii="宋体" w:eastAsia="宋体" w:hAnsi="宋体" w:cs="宋体" w:hint="eastAsia"/>
            <w:bCs w:val="0"/>
            <w:szCs w:val="28"/>
            <w:lang w:eastAsia="zh-CN"/>
          </w:rPr>
          <w:t>(一)、项目管理方法论</w:t>
        </w:r>
        <w:r>
          <w:tab/>
        </w:r>
        <w:r>
          <w:fldChar w:fldCharType="begin"/>
        </w:r>
        <w:r>
          <w:instrText xml:space="preserve"> PAGEREF _Toc28089 \h </w:instrText>
        </w:r>
        <w:r>
          <w:fldChar w:fldCharType="separate"/>
        </w:r>
        <w:r>
          <w:t>14</w:t>
        </w:r>
        <w:r>
          <w:fldChar w:fldCharType="end"/>
        </w:r>
      </w:hyperlink>
    </w:p>
    <w:p>
      <w:pPr>
        <w:pStyle w:val="TOC2"/>
        <w:tabs>
          <w:tab w:val="right" w:leader="dot" w:pos="8306"/>
        </w:tabs>
      </w:pPr>
      <w:hyperlink w:anchor="_Toc12197" w:history="1">
        <w:r>
          <w:rPr>
            <w:rFonts w:ascii="宋体" w:eastAsia="宋体" w:hAnsi="宋体" w:cs="宋体" w:hint="eastAsia"/>
            <w:bCs w:val="0"/>
            <w:szCs w:val="28"/>
            <w:lang w:eastAsia="zh-CN"/>
          </w:rPr>
          <w:t>(二)、团队组建与角色分工</w:t>
        </w:r>
        <w:r>
          <w:tab/>
        </w:r>
        <w:r>
          <w:fldChar w:fldCharType="begin"/>
        </w:r>
        <w:r>
          <w:instrText xml:space="preserve"> PAGEREF _Toc12197 \h </w:instrText>
        </w:r>
        <w:r>
          <w:fldChar w:fldCharType="separate"/>
        </w:r>
        <w:r>
          <w:t>15</w:t>
        </w:r>
        <w:r>
          <w:fldChar w:fldCharType="end"/>
        </w:r>
      </w:hyperlink>
    </w:p>
    <w:p>
      <w:pPr>
        <w:pStyle w:val="TOC2"/>
        <w:tabs>
          <w:tab w:val="right" w:leader="dot" w:pos="8306"/>
        </w:tabs>
      </w:pPr>
      <w:hyperlink w:anchor="_Toc15923" w:history="1">
        <w:r>
          <w:rPr>
            <w:rFonts w:ascii="宋体" w:eastAsia="宋体" w:hAnsi="宋体" w:cs="宋体" w:hint="eastAsia"/>
            <w:bCs w:val="0"/>
            <w:szCs w:val="28"/>
            <w:lang w:eastAsia="zh-CN"/>
          </w:rPr>
          <w:t>(三)、团队沟通与协作机制</w:t>
        </w:r>
        <w:r>
          <w:tab/>
        </w:r>
        <w:r>
          <w:fldChar w:fldCharType="begin"/>
        </w:r>
        <w:r>
          <w:instrText xml:space="preserve"> PAGEREF _Toc15923 \h </w:instrText>
        </w:r>
        <w:r>
          <w:fldChar w:fldCharType="separate"/>
        </w:r>
        <w:r>
          <w:t>16</w:t>
        </w:r>
        <w:r>
          <w:fldChar w:fldCharType="end"/>
        </w:r>
      </w:hyperlink>
    </w:p>
    <w:p>
      <w:pPr>
        <w:pStyle w:val="TOC2"/>
        <w:tabs>
          <w:tab w:val="right" w:leader="dot" w:pos="8306"/>
        </w:tabs>
      </w:pPr>
      <w:hyperlink w:anchor="_Toc23943" w:history="1">
        <w:r>
          <w:rPr>
            <w:rFonts w:ascii="宋体" w:eastAsia="宋体" w:hAnsi="宋体" w:cs="宋体" w:hint="eastAsia"/>
            <w:bCs w:val="0"/>
            <w:szCs w:val="28"/>
            <w:lang w:eastAsia="zh-CN"/>
          </w:rPr>
          <w:t>(四)、项目风险管理与应对</w:t>
        </w:r>
        <w:r>
          <w:tab/>
        </w:r>
        <w:r>
          <w:fldChar w:fldCharType="begin"/>
        </w:r>
        <w:r>
          <w:instrText xml:space="preserve"> PAGEREF _Toc23943 \h </w:instrText>
        </w:r>
        <w:r>
          <w:fldChar w:fldCharType="separate"/>
        </w:r>
        <w:r>
          <w:t>17</w:t>
        </w:r>
        <w:r>
          <w:fldChar w:fldCharType="end"/>
        </w:r>
      </w:hyperlink>
    </w:p>
    <w:p>
      <w:pPr>
        <w:pStyle w:val="TOC1"/>
        <w:tabs>
          <w:tab w:val="right" w:leader="dot" w:pos="8306"/>
        </w:tabs>
      </w:pPr>
      <w:hyperlink w:anchor="_Toc1732" w:history="1">
        <w:r>
          <w:rPr>
            <w:rFonts w:ascii="微软雅黑" w:eastAsia="微软雅黑" w:hAnsi="微软雅黑" w:cs="微软雅黑" w:hint="eastAsia"/>
            <w:color w:val="001CAC" w:themeColor="hyperlink" w:themeShade="BF"/>
            <w:szCs w:val="32"/>
            <w:lang w:eastAsia="zh-CN"/>
          </w:rPr>
          <w:t>三、制度建设与管理</w:t>
        </w:r>
        <w:r>
          <w:tab/>
        </w:r>
        <w:r>
          <w:fldChar w:fldCharType="begin"/>
        </w:r>
        <w:r>
          <w:instrText xml:space="preserve"> PAGEREF _Toc1732 \h </w:instrText>
        </w:r>
        <w:r>
          <w:fldChar w:fldCharType="separate"/>
        </w:r>
        <w:r>
          <w:t>18</w:t>
        </w:r>
        <w:r>
          <w:fldChar w:fldCharType="end"/>
        </w:r>
      </w:hyperlink>
    </w:p>
    <w:p>
      <w:pPr>
        <w:pStyle w:val="TOC2"/>
        <w:tabs>
          <w:tab w:val="right" w:leader="dot" w:pos="8306"/>
        </w:tabs>
      </w:pPr>
      <w:hyperlink w:anchor="_Toc31950" w:history="1">
        <w:r>
          <w:rPr>
            <w:rFonts w:ascii="宋体" w:eastAsia="宋体" w:hAnsi="宋体" w:cs="宋体" w:hint="eastAsia"/>
            <w:bCs w:val="0"/>
            <w:szCs w:val="28"/>
            <w:lang w:eastAsia="zh-CN"/>
          </w:rPr>
          <w:t>(一)、公司治理结构</w:t>
        </w:r>
        <w:r>
          <w:tab/>
        </w:r>
        <w:r>
          <w:fldChar w:fldCharType="begin"/>
        </w:r>
        <w:r>
          <w:instrText xml:space="preserve"> PAGEREF _Toc31950 \h </w:instrText>
        </w:r>
        <w:r>
          <w:fldChar w:fldCharType="separate"/>
        </w:r>
        <w:r>
          <w:t>18</w:t>
        </w:r>
        <w:r>
          <w:fldChar w:fldCharType="end"/>
        </w:r>
      </w:hyperlink>
    </w:p>
    <w:p>
      <w:pPr>
        <w:pStyle w:val="TOC2"/>
        <w:tabs>
          <w:tab w:val="right" w:leader="dot" w:pos="8306"/>
        </w:tabs>
      </w:pPr>
      <w:hyperlink w:anchor="_Toc28451" w:history="1">
        <w:r>
          <w:rPr>
            <w:rFonts w:ascii="宋体" w:eastAsia="宋体" w:hAnsi="宋体" w:cs="宋体" w:hint="eastAsia"/>
            <w:bCs w:val="0"/>
            <w:szCs w:val="28"/>
            <w:lang w:eastAsia="zh-CN"/>
          </w:rPr>
          <w:t>(二)、内部控制与审计</w:t>
        </w:r>
        <w:r>
          <w:tab/>
        </w:r>
        <w:r>
          <w:fldChar w:fldCharType="begin"/>
        </w:r>
        <w:r>
          <w:instrText xml:space="preserve"> PAGEREF _Toc28451 \h </w:instrText>
        </w:r>
        <w:r>
          <w:fldChar w:fldCharType="separate"/>
        </w:r>
        <w:r>
          <w:t>19</w:t>
        </w:r>
        <w:r>
          <w:fldChar w:fldCharType="end"/>
        </w:r>
      </w:hyperlink>
    </w:p>
    <w:p>
      <w:pPr>
        <w:pStyle w:val="TOC2"/>
        <w:tabs>
          <w:tab w:val="right" w:leader="dot" w:pos="8306"/>
        </w:tabs>
      </w:pPr>
      <w:hyperlink w:anchor="_Toc23991" w:history="1">
        <w:r>
          <w:rPr>
            <w:rFonts w:ascii="宋体" w:eastAsia="宋体" w:hAnsi="宋体" w:cs="宋体" w:hint="eastAsia"/>
            <w:bCs w:val="0"/>
            <w:szCs w:val="28"/>
            <w:lang w:eastAsia="zh-CN"/>
          </w:rPr>
          <w:t>(三)、法律法规合规体系</w:t>
        </w:r>
        <w:r>
          <w:tab/>
        </w:r>
        <w:r>
          <w:fldChar w:fldCharType="begin"/>
        </w:r>
        <w:r>
          <w:instrText xml:space="preserve"> PAGEREF _Toc23991 \h </w:instrText>
        </w:r>
        <w:r>
          <w:fldChar w:fldCharType="separate"/>
        </w:r>
        <w:r>
          <w:t>20</w:t>
        </w:r>
        <w:r>
          <w:fldChar w:fldCharType="end"/>
        </w:r>
      </w:hyperlink>
    </w:p>
    <w:p>
      <w:pPr>
        <w:pStyle w:val="TOC1"/>
        <w:tabs>
          <w:tab w:val="right" w:leader="dot" w:pos="8306"/>
        </w:tabs>
      </w:pPr>
      <w:hyperlink w:anchor="_Toc14447" w:history="1">
        <w:r>
          <w:rPr>
            <w:rFonts w:ascii="微软雅黑" w:eastAsia="微软雅黑" w:hAnsi="微软雅黑" w:cs="微软雅黑" w:hint="eastAsia"/>
            <w:color w:val="001CAC" w:themeColor="hyperlink" w:themeShade="BF"/>
            <w:szCs w:val="32"/>
            <w:lang w:eastAsia="zh-CN"/>
          </w:rPr>
          <w:t>四、资金筹措与投资分析</w:t>
        </w:r>
        <w:r>
          <w:tab/>
        </w:r>
        <w:r>
          <w:fldChar w:fldCharType="begin"/>
        </w:r>
        <w:r>
          <w:instrText xml:space="preserve"> PAGEREF _Toc14447 \h </w:instrText>
        </w:r>
        <w:r>
          <w:fldChar w:fldCharType="separate"/>
        </w:r>
        <w:r>
          <w:t>21</w:t>
        </w:r>
        <w:r>
          <w:fldChar w:fldCharType="end"/>
        </w:r>
      </w:hyperlink>
    </w:p>
    <w:p>
      <w:pPr>
        <w:pStyle w:val="TOC2"/>
        <w:tabs>
          <w:tab w:val="right" w:leader="dot" w:pos="8306"/>
        </w:tabs>
      </w:pPr>
      <w:hyperlink w:anchor="_Toc3932" w:history="1">
        <w:r>
          <w:rPr>
            <w:rFonts w:ascii="宋体" w:eastAsia="宋体" w:hAnsi="宋体" w:cs="宋体" w:hint="eastAsia"/>
            <w:bCs w:val="0"/>
            <w:szCs w:val="28"/>
            <w:lang w:eastAsia="zh-CN"/>
          </w:rPr>
          <w:t>(一)、资金需求与筹措计划</w:t>
        </w:r>
        <w:r>
          <w:tab/>
        </w:r>
        <w:r>
          <w:fldChar w:fldCharType="begin"/>
        </w:r>
        <w:r>
          <w:instrText xml:space="preserve"> PAGEREF _Toc3932 \h </w:instrText>
        </w:r>
        <w:r>
          <w:fldChar w:fldCharType="separate"/>
        </w:r>
        <w:r>
          <w:t>21</w:t>
        </w:r>
        <w:r>
          <w:fldChar w:fldCharType="end"/>
        </w:r>
      </w:hyperlink>
    </w:p>
    <w:p>
      <w:pPr>
        <w:pStyle w:val="TOC2"/>
        <w:tabs>
          <w:tab w:val="right" w:leader="dot" w:pos="8306"/>
        </w:tabs>
      </w:pPr>
      <w:hyperlink w:anchor="_Toc1545" w:history="1">
        <w:r>
          <w:rPr>
            <w:rFonts w:ascii="宋体" w:eastAsia="宋体" w:hAnsi="宋体" w:cs="宋体" w:hint="eastAsia"/>
            <w:bCs w:val="0"/>
            <w:szCs w:val="28"/>
            <w:lang w:eastAsia="zh-CN"/>
          </w:rPr>
          <w:t>(二)、投资分析与回报预期</w:t>
        </w:r>
        <w:r>
          <w:tab/>
        </w:r>
        <w:r>
          <w:fldChar w:fldCharType="begin"/>
        </w:r>
        <w:r>
          <w:instrText xml:space="preserve"> PAGEREF _Toc1545 \h </w:instrText>
        </w:r>
        <w:r>
          <w:fldChar w:fldCharType="separate"/>
        </w:r>
        <w:r>
          <w:t>21</w:t>
        </w:r>
        <w:r>
          <w:fldChar w:fldCharType="end"/>
        </w:r>
      </w:hyperlink>
    </w:p>
    <w:p>
      <w:pPr>
        <w:pStyle w:val="TOC1"/>
        <w:tabs>
          <w:tab w:val="right" w:leader="dot" w:pos="8306"/>
        </w:tabs>
      </w:pPr>
      <w:hyperlink w:anchor="_Toc23960" w:history="1">
        <w:r>
          <w:rPr>
            <w:rFonts w:ascii="微软雅黑" w:eastAsia="微软雅黑" w:hAnsi="微软雅黑" w:cs="微软雅黑" w:hint="eastAsia"/>
            <w:color w:val="001CAC" w:themeColor="hyperlink" w:themeShade="BF"/>
            <w:szCs w:val="32"/>
            <w:lang w:eastAsia="zh-CN"/>
          </w:rPr>
          <w:t>五、可持续发展与绿色经营</w:t>
        </w:r>
        <w:r>
          <w:tab/>
        </w:r>
        <w:r>
          <w:fldChar w:fldCharType="begin"/>
        </w:r>
        <w:r>
          <w:instrText xml:space="preserve"> PAGEREF _Toc23960 \h </w:instrText>
        </w:r>
        <w:r>
          <w:fldChar w:fldCharType="separate"/>
        </w:r>
        <w:r>
          <w:t>22</w:t>
        </w:r>
        <w:r>
          <w:fldChar w:fldCharType="end"/>
        </w:r>
      </w:hyperlink>
    </w:p>
    <w:p>
      <w:pPr>
        <w:pStyle w:val="TOC2"/>
        <w:tabs>
          <w:tab w:val="right" w:leader="dot" w:pos="8306"/>
        </w:tabs>
      </w:pPr>
      <w:hyperlink w:anchor="_Toc23123" w:history="1">
        <w:r>
          <w:rPr>
            <w:rFonts w:ascii="宋体" w:eastAsia="宋体" w:hAnsi="宋体" w:cs="宋体" w:hint="eastAsia"/>
            <w:bCs w:val="0"/>
            <w:szCs w:val="28"/>
            <w:lang w:eastAsia="zh-CN"/>
          </w:rPr>
          <w:t>(一)、可持续发展战略与目标</w:t>
        </w:r>
        <w:r>
          <w:tab/>
        </w:r>
        <w:r>
          <w:fldChar w:fldCharType="begin"/>
        </w:r>
        <w:r>
          <w:instrText xml:space="preserve"> PAGEREF _Toc23123 \h </w:instrText>
        </w:r>
        <w:r>
          <w:fldChar w:fldCharType="separate"/>
        </w:r>
        <w:r>
          <w:t>22</w:t>
        </w:r>
        <w:r>
          <w:fldChar w:fldCharType="end"/>
        </w:r>
      </w:hyperlink>
    </w:p>
    <w:p>
      <w:pPr>
        <w:pStyle w:val="TOC2"/>
        <w:tabs>
          <w:tab w:val="right" w:leader="dot" w:pos="8306"/>
        </w:tabs>
      </w:pPr>
      <w:hyperlink w:anchor="_Toc30552" w:history="1">
        <w:r>
          <w:rPr>
            <w:rFonts w:ascii="宋体" w:eastAsia="宋体" w:hAnsi="宋体" w:cs="宋体" w:hint="eastAsia"/>
            <w:bCs w:val="0"/>
            <w:szCs w:val="28"/>
            <w:lang w:eastAsia="zh-CN"/>
          </w:rPr>
          <w:t>(二)、环保政策与实践</w:t>
        </w:r>
        <w:r>
          <w:tab/>
        </w:r>
        <w:r>
          <w:fldChar w:fldCharType="begin"/>
        </w:r>
        <w:r>
          <w:instrText xml:space="preserve"> PAGEREF _Toc30552 \h </w:instrText>
        </w:r>
        <w:r>
          <w:fldChar w:fldCharType="separate"/>
        </w:r>
        <w:r>
          <w:t>24</w:t>
        </w:r>
        <w:r>
          <w:fldChar w:fldCharType="end"/>
        </w:r>
      </w:hyperlink>
    </w:p>
    <w:p>
      <w:pPr>
        <w:pStyle w:val="TOC2"/>
        <w:tabs>
          <w:tab w:val="right" w:leader="dot" w:pos="8306"/>
        </w:tabs>
      </w:pPr>
      <w:hyperlink w:anchor="_Toc20055" w:history="1">
        <w:r>
          <w:rPr>
            <w:rFonts w:ascii="宋体" w:eastAsia="宋体" w:hAnsi="宋体" w:cs="宋体" w:hint="eastAsia"/>
            <w:bCs w:val="0"/>
            <w:szCs w:val="28"/>
            <w:lang w:eastAsia="zh-CN"/>
          </w:rPr>
          <w:t>(三)、资源利用与循环经济</w:t>
        </w:r>
        <w:r>
          <w:tab/>
        </w:r>
        <w:r>
          <w:fldChar w:fldCharType="begin"/>
        </w:r>
        <w:r>
          <w:instrText xml:space="preserve"> PAGEREF _Toc20055 \h </w:instrText>
        </w:r>
        <w:r>
          <w:fldChar w:fldCharType="separate"/>
        </w:r>
        <w:r>
          <w:t>26</w:t>
        </w:r>
        <w:r>
          <w:fldChar w:fldCharType="end"/>
        </w:r>
      </w:hyperlink>
    </w:p>
    <w:p>
      <w:pPr>
        <w:pStyle w:val="TOC2"/>
        <w:tabs>
          <w:tab w:val="right" w:leader="dot" w:pos="8306"/>
        </w:tabs>
      </w:pPr>
      <w:hyperlink w:anchor="_Toc18466" w:history="1">
        <w:r>
          <w:rPr>
            <w:rFonts w:ascii="宋体" w:eastAsia="宋体" w:hAnsi="宋体" w:cs="宋体" w:hint="eastAsia"/>
            <w:bCs w:val="0"/>
            <w:szCs w:val="28"/>
            <w:lang w:eastAsia="zh-CN"/>
          </w:rPr>
          <w:t>(四)、碳中和与生态足迹</w:t>
        </w:r>
        <w:r>
          <w:tab/>
        </w:r>
        <w:r>
          <w:fldChar w:fldCharType="begin"/>
        </w:r>
        <w:r>
          <w:instrText xml:space="preserve"> PAGEREF _Toc18466 \h </w:instrText>
        </w:r>
        <w:r>
          <w:fldChar w:fldCharType="separate"/>
        </w:r>
        <w:r>
          <w:t>28</w:t>
        </w:r>
        <w:r>
          <w:fldChar w:fldCharType="end"/>
        </w:r>
      </w:hyperlink>
    </w:p>
    <w:p>
      <w:pPr>
        <w:pStyle w:val="TOC1"/>
        <w:tabs>
          <w:tab w:val="right" w:leader="dot" w:pos="8306"/>
        </w:tabs>
      </w:pPr>
      <w:hyperlink w:anchor="_Toc924" w:history="1">
        <w:r>
          <w:rPr>
            <w:rFonts w:ascii="微软雅黑" w:eastAsia="微软雅黑" w:hAnsi="微软雅黑" w:cs="微软雅黑" w:hint="eastAsia"/>
            <w:color w:val="001CAC" w:themeColor="hyperlink" w:themeShade="BF"/>
            <w:szCs w:val="32"/>
            <w:lang w:eastAsia="zh-CN"/>
          </w:rPr>
          <w:t>六、沿海货物运输行业市场营销分析</w:t>
        </w:r>
        <w:r>
          <w:tab/>
        </w:r>
        <w:r>
          <w:fldChar w:fldCharType="begin"/>
        </w:r>
        <w:r>
          <w:instrText xml:space="preserve"> PAGEREF _Toc924 \h </w:instrText>
        </w:r>
        <w:r>
          <w:fldChar w:fldCharType="separate"/>
        </w:r>
        <w:r>
          <w:t>30</w:t>
        </w:r>
        <w:r>
          <w:fldChar w:fldCharType="end"/>
        </w:r>
      </w:hyperlink>
    </w:p>
    <w:p>
      <w:pPr>
        <w:pStyle w:val="TOC2"/>
        <w:tabs>
          <w:tab w:val="right" w:leader="dot" w:pos="8306"/>
        </w:tabs>
      </w:pPr>
      <w:hyperlink w:anchor="_Toc10001" w:history="1">
        <w:r>
          <w:rPr>
            <w:rFonts w:ascii="宋体" w:eastAsia="宋体" w:hAnsi="宋体" w:cs="宋体" w:hint="eastAsia"/>
            <w:bCs w:val="0"/>
            <w:szCs w:val="28"/>
            <w:lang w:eastAsia="zh-CN"/>
          </w:rPr>
          <w:t>(一)、沿海货物运输行业市场营销总体思路</w:t>
        </w:r>
        <w:r>
          <w:tab/>
        </w:r>
        <w:r>
          <w:fldChar w:fldCharType="begin"/>
        </w:r>
        <w:r>
          <w:instrText xml:space="preserve"> PAGEREF _Toc10001 \h </w:instrText>
        </w:r>
        <w:r>
          <w:fldChar w:fldCharType="separate"/>
        </w:r>
        <w:r>
          <w:t>30</w:t>
        </w:r>
        <w:r>
          <w:fldChar w:fldCharType="end"/>
        </w:r>
      </w:hyperlink>
    </w:p>
    <w:p>
      <w:pPr>
        <w:pStyle w:val="TOC2"/>
        <w:tabs>
          <w:tab w:val="right" w:leader="dot" w:pos="8306"/>
        </w:tabs>
      </w:pPr>
      <w:hyperlink w:anchor="_Toc2487" w:history="1">
        <w:r>
          <w:rPr>
            <w:rFonts w:ascii="宋体" w:eastAsia="宋体" w:hAnsi="宋体" w:cs="宋体" w:hint="eastAsia"/>
            <w:bCs w:val="0"/>
            <w:szCs w:val="28"/>
            <w:lang w:eastAsia="zh-CN"/>
          </w:rPr>
          <w:t>(二)、沿海货物运输行业组织市场分析</w:t>
        </w:r>
        <w:r>
          <w:tab/>
        </w:r>
        <w:r>
          <w:fldChar w:fldCharType="begin"/>
        </w:r>
        <w:r>
          <w:instrText xml:space="preserve"> PAGEREF _Toc2487 \h </w:instrText>
        </w:r>
        <w:r>
          <w:fldChar w:fldCharType="separate"/>
        </w:r>
        <w:r>
          <w:t>31</w:t>
        </w:r>
        <w:r>
          <w:fldChar w:fldCharType="end"/>
        </w:r>
      </w:hyperlink>
    </w:p>
    <w:p>
      <w:pPr>
        <w:pStyle w:val="TOC2"/>
        <w:tabs>
          <w:tab w:val="right" w:leader="dot" w:pos="8306"/>
        </w:tabs>
      </w:pPr>
      <w:hyperlink w:anchor="_Toc20135" w:history="1">
        <w:r>
          <w:rPr>
            <w:rFonts w:ascii="宋体" w:eastAsia="宋体" w:hAnsi="宋体" w:cs="宋体" w:hint="eastAsia"/>
            <w:bCs w:val="0"/>
            <w:szCs w:val="28"/>
            <w:lang w:eastAsia="zh-CN"/>
          </w:rPr>
          <w:t>(三)、沿海货物运输行业目标市场营销战略</w:t>
        </w:r>
        <w:r>
          <w:tab/>
        </w:r>
        <w:r>
          <w:fldChar w:fldCharType="begin"/>
        </w:r>
        <w:r>
          <w:instrText xml:space="preserve"> PAGEREF _Toc20135 \h </w:instrText>
        </w:r>
        <w:r>
          <w:fldChar w:fldCharType="separate"/>
        </w:r>
        <w:r>
          <w:t>32</w:t>
        </w:r>
        <w:r>
          <w:fldChar w:fldCharType="end"/>
        </w:r>
      </w:hyperlink>
    </w:p>
    <w:p>
      <w:pPr>
        <w:pStyle w:val="TOC2"/>
        <w:tabs>
          <w:tab w:val="right" w:leader="dot" w:pos="8306"/>
        </w:tabs>
      </w:pPr>
      <w:hyperlink w:anchor="_Toc32093" w:history="1">
        <w:r>
          <w:rPr>
            <w:rFonts w:ascii="宋体" w:eastAsia="宋体" w:hAnsi="宋体" w:cs="宋体" w:hint="eastAsia"/>
            <w:bCs w:val="0"/>
            <w:szCs w:val="28"/>
            <w:lang w:eastAsia="zh-CN"/>
          </w:rPr>
          <w:t>(四)、沿海货物运输行业定价策略</w:t>
        </w:r>
        <w:r>
          <w:tab/>
        </w:r>
        <w:r>
          <w:fldChar w:fldCharType="begin"/>
        </w:r>
        <w:r>
          <w:instrText xml:space="preserve"> PAGEREF _Toc32093 \h </w:instrText>
        </w:r>
        <w:r>
          <w:fldChar w:fldCharType="separate"/>
        </w:r>
        <w:r>
          <w:t>34</w:t>
        </w:r>
        <w:r>
          <w:fldChar w:fldCharType="end"/>
        </w:r>
      </w:hyperlink>
    </w:p>
    <w:p>
      <w:pPr>
        <w:pStyle w:val="TOC2"/>
        <w:tabs>
          <w:tab w:val="right" w:leader="dot" w:pos="8306"/>
        </w:tabs>
      </w:pPr>
      <w:hyperlink w:anchor="_Toc27673" w:history="1">
        <w:r>
          <w:rPr>
            <w:rFonts w:ascii="宋体" w:eastAsia="宋体" w:hAnsi="宋体" w:cs="宋体" w:hint="eastAsia"/>
            <w:bCs w:val="0"/>
            <w:szCs w:val="28"/>
            <w:lang w:eastAsia="zh-CN"/>
          </w:rPr>
          <w:t>(五)、沿海货物运输行业促销策略</w:t>
        </w:r>
        <w:r>
          <w:tab/>
        </w:r>
        <w:r>
          <w:fldChar w:fldCharType="begin"/>
        </w:r>
        <w:r>
          <w:instrText xml:space="preserve"> PAGEREF _Toc27673 \h </w:instrText>
        </w:r>
        <w:r>
          <w:fldChar w:fldCharType="separate"/>
        </w:r>
        <w:r>
          <w:t>35</w:t>
        </w:r>
        <w:r>
          <w:fldChar w:fldCharType="end"/>
        </w:r>
      </w:hyperlink>
    </w:p>
    <w:p>
      <w:pPr>
        <w:pStyle w:val="TOC2"/>
        <w:tabs>
          <w:tab w:val="right" w:leader="dot" w:pos="8306"/>
        </w:tabs>
      </w:pPr>
      <w:hyperlink w:anchor="_Toc5372" w:history="1">
        <w:r>
          <w:rPr>
            <w:rFonts w:ascii="宋体" w:eastAsia="宋体" w:hAnsi="宋体" w:cs="宋体" w:hint="eastAsia"/>
            <w:bCs w:val="0"/>
            <w:szCs w:val="28"/>
            <w:lang w:eastAsia="zh-CN"/>
          </w:rPr>
          <w:t>(六)、沿海货物运输行业品牌策略</w:t>
        </w:r>
        <w:r>
          <w:tab/>
        </w:r>
        <w:r>
          <w:fldChar w:fldCharType="begin"/>
        </w:r>
        <w:r>
          <w:instrText xml:space="preserve"> PAGEREF _Toc5372 \h </w:instrText>
        </w:r>
        <w:r>
          <w:fldChar w:fldCharType="separate"/>
        </w:r>
        <w:r>
          <w:t>37</w:t>
        </w:r>
        <w:r>
          <w:fldChar w:fldCharType="end"/>
        </w:r>
      </w:hyperlink>
    </w:p>
    <w:p>
      <w:pPr>
        <w:pStyle w:val="TOC2"/>
        <w:tabs>
          <w:tab w:val="right" w:leader="dot" w:pos="8306"/>
        </w:tabs>
      </w:pPr>
      <w:hyperlink w:anchor="_Toc18942" w:history="1">
        <w:r>
          <w:rPr>
            <w:rFonts w:ascii="宋体" w:eastAsia="宋体" w:hAnsi="宋体" w:cs="宋体" w:hint="eastAsia"/>
            <w:bCs w:val="0"/>
            <w:szCs w:val="28"/>
            <w:lang w:eastAsia="zh-CN"/>
          </w:rPr>
          <w:t>(七)、沿海货物运输行业关系营销</w:t>
        </w:r>
        <w:r>
          <w:tab/>
        </w:r>
        <w:r>
          <w:fldChar w:fldCharType="begin"/>
        </w:r>
        <w:r>
          <w:instrText xml:space="preserve"> PAGEREF _Toc18942 \h </w:instrText>
        </w:r>
        <w:r>
          <w:fldChar w:fldCharType="separate"/>
        </w:r>
        <w:r>
          <w:t>40</w:t>
        </w:r>
        <w:r>
          <w:fldChar w:fldCharType="end"/>
        </w:r>
      </w:hyperlink>
    </w:p>
    <w:p>
      <w:pPr>
        <w:pStyle w:val="TOC2"/>
        <w:tabs>
          <w:tab w:val="right" w:leader="dot" w:pos="8306"/>
        </w:tabs>
      </w:pPr>
      <w:hyperlink w:anchor="_Toc12071" w:history="1">
        <w:r>
          <w:rPr>
            <w:rFonts w:ascii="宋体" w:eastAsia="宋体" w:hAnsi="宋体" w:cs="宋体" w:hint="eastAsia"/>
            <w:bCs w:val="0"/>
            <w:szCs w:val="28"/>
            <w:lang w:eastAsia="zh-CN"/>
          </w:rPr>
          <w:t>(八)、沿海货物运输行业体验营销</w:t>
        </w:r>
        <w:r>
          <w:tab/>
        </w:r>
        <w:r>
          <w:fldChar w:fldCharType="begin"/>
        </w:r>
        <w:r>
          <w:instrText xml:space="preserve"> PAGEREF _Toc12071 \h </w:instrText>
        </w:r>
        <w:r>
          <w:fldChar w:fldCharType="separate"/>
        </w:r>
        <w:r>
          <w:t>41</w:t>
        </w:r>
        <w:r>
          <w:fldChar w:fldCharType="end"/>
        </w:r>
      </w:hyperlink>
    </w:p>
    <w:p>
      <w:pPr>
        <w:pStyle w:val="TOC2"/>
        <w:tabs>
          <w:tab w:val="right" w:leader="dot" w:pos="8306"/>
        </w:tabs>
      </w:pPr>
      <w:hyperlink w:anchor="_Toc31121" w:history="1">
        <w:r>
          <w:rPr>
            <w:rFonts w:ascii="宋体" w:eastAsia="宋体" w:hAnsi="宋体" w:cs="宋体" w:hint="eastAsia"/>
            <w:bCs w:val="0"/>
            <w:szCs w:val="28"/>
            <w:lang w:eastAsia="zh-CN"/>
          </w:rPr>
          <w:t>(九)、沿海货物运输行业互联网营销</w:t>
        </w:r>
        <w:r>
          <w:tab/>
        </w:r>
        <w:r>
          <w:fldChar w:fldCharType="begin"/>
        </w:r>
        <w:r>
          <w:instrText xml:space="preserve"> PAGEREF _Toc31121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872" w:history="1">
        <w:r>
          <w:rPr>
            <w:rFonts w:ascii="微软雅黑" w:eastAsia="微软雅黑" w:hAnsi="微软雅黑" w:cs="微软雅黑" w:hint="eastAsia"/>
            <w:color w:val="001CAC" w:themeColor="hyperlink" w:themeShade="BF"/>
            <w:szCs w:val="32"/>
            <w:lang w:eastAsia="zh-CN"/>
          </w:rPr>
          <w:t>七、项目实施与进度安排</w:t>
        </w:r>
        <w:r>
          <w:tab/>
        </w:r>
        <w:r>
          <w:fldChar w:fldCharType="begin"/>
        </w:r>
        <w:r>
          <w:instrText xml:space="preserve"> PAGEREF _Toc22872 \h </w:instrText>
        </w:r>
        <w:r>
          <w:fldChar w:fldCharType="separate"/>
        </w:r>
        <w:r>
          <w:t>44</w:t>
        </w:r>
        <w:r>
          <w:fldChar w:fldCharType="end"/>
        </w:r>
      </w:hyperlink>
    </w:p>
    <w:p>
      <w:pPr>
        <w:pStyle w:val="TOC2"/>
        <w:tabs>
          <w:tab w:val="right" w:leader="dot" w:pos="8306"/>
        </w:tabs>
      </w:pPr>
      <w:hyperlink w:anchor="_Toc14049" w:history="1">
        <w:r>
          <w:rPr>
            <w:rFonts w:ascii="宋体" w:eastAsia="宋体" w:hAnsi="宋体" w:cs="宋体" w:hint="eastAsia"/>
            <w:bCs w:val="0"/>
            <w:szCs w:val="28"/>
            <w:lang w:eastAsia="zh-CN"/>
          </w:rPr>
          <w:t>(一)、项目计划与时间节点</w:t>
        </w:r>
        <w:r>
          <w:tab/>
        </w:r>
        <w:r>
          <w:fldChar w:fldCharType="begin"/>
        </w:r>
        <w:r>
          <w:instrText xml:space="preserve"> PAGEREF _Toc14049 \h </w:instrText>
        </w:r>
        <w:r>
          <w:fldChar w:fldCharType="separate"/>
        </w:r>
        <w:r>
          <w:t>44</w:t>
        </w:r>
        <w:r>
          <w:fldChar w:fldCharType="end"/>
        </w:r>
      </w:hyperlink>
    </w:p>
    <w:p>
      <w:pPr>
        <w:pStyle w:val="TOC2"/>
        <w:tabs>
          <w:tab w:val="right" w:leader="dot" w:pos="8306"/>
        </w:tabs>
      </w:pPr>
      <w:hyperlink w:anchor="_Toc14809" w:history="1">
        <w:r>
          <w:rPr>
            <w:rFonts w:ascii="宋体" w:eastAsia="宋体" w:hAnsi="宋体" w:cs="宋体" w:hint="eastAsia"/>
            <w:bCs w:val="0"/>
            <w:szCs w:val="28"/>
            <w:lang w:eastAsia="zh-CN"/>
          </w:rPr>
          <w:t>(二)、项目进度安排</w:t>
        </w:r>
        <w:r>
          <w:tab/>
        </w:r>
        <w:r>
          <w:fldChar w:fldCharType="begin"/>
        </w:r>
        <w:r>
          <w:instrText xml:space="preserve"> PAGEREF _Toc14809 \h </w:instrText>
        </w:r>
        <w:r>
          <w:fldChar w:fldCharType="separate"/>
        </w:r>
        <w:r>
          <w:t>46</w:t>
        </w:r>
        <w:r>
          <w:fldChar w:fldCharType="end"/>
        </w:r>
      </w:hyperlink>
    </w:p>
    <w:p>
      <w:pPr>
        <w:pStyle w:val="TOC2"/>
        <w:tabs>
          <w:tab w:val="right" w:leader="dot" w:pos="8306"/>
        </w:tabs>
      </w:pPr>
      <w:hyperlink w:anchor="_Toc26534" w:history="1">
        <w:r>
          <w:rPr>
            <w:rFonts w:ascii="宋体" w:eastAsia="宋体" w:hAnsi="宋体" w:cs="宋体" w:hint="eastAsia"/>
            <w:bCs w:val="0"/>
            <w:szCs w:val="28"/>
            <w:lang w:eastAsia="zh-CN"/>
          </w:rPr>
          <w:t>(三)、风险管理与对策</w:t>
        </w:r>
        <w:r>
          <w:tab/>
        </w:r>
        <w:r>
          <w:fldChar w:fldCharType="begin"/>
        </w:r>
        <w:r>
          <w:instrText xml:space="preserve"> PAGEREF _Toc26534 \h </w:instrText>
        </w:r>
        <w:r>
          <w:fldChar w:fldCharType="separate"/>
        </w:r>
        <w:r>
          <w:t>48</w:t>
        </w:r>
        <w:r>
          <w:fldChar w:fldCharType="end"/>
        </w:r>
      </w:hyperlink>
    </w:p>
    <w:p>
      <w:pPr>
        <w:pStyle w:val="TOC1"/>
        <w:tabs>
          <w:tab w:val="right" w:leader="dot" w:pos="8306"/>
        </w:tabs>
      </w:pPr>
      <w:hyperlink w:anchor="_Toc24015" w:history="1">
        <w:r>
          <w:rPr>
            <w:rFonts w:ascii="微软雅黑" w:eastAsia="微软雅黑" w:hAnsi="微软雅黑" w:cs="微软雅黑" w:hint="eastAsia"/>
            <w:color w:val="001CAC" w:themeColor="hyperlink" w:themeShade="BF"/>
            <w:szCs w:val="32"/>
            <w:lang w:eastAsia="zh-CN"/>
          </w:rPr>
          <w:t>八、项目技术流程</w:t>
        </w:r>
        <w:r>
          <w:tab/>
        </w:r>
        <w:r>
          <w:fldChar w:fldCharType="begin"/>
        </w:r>
        <w:r>
          <w:instrText xml:space="preserve"> PAGEREF _Toc24015 \h </w:instrText>
        </w:r>
        <w:r>
          <w:fldChar w:fldCharType="separate"/>
        </w:r>
        <w:r>
          <w:t>49</w:t>
        </w:r>
        <w:r>
          <w:fldChar w:fldCharType="end"/>
        </w:r>
      </w:hyperlink>
    </w:p>
    <w:p>
      <w:pPr>
        <w:pStyle w:val="TOC2"/>
        <w:tabs>
          <w:tab w:val="right" w:leader="dot" w:pos="8306"/>
        </w:tabs>
      </w:pPr>
      <w:hyperlink w:anchor="_Toc20884" w:history="1">
        <w:r>
          <w:rPr>
            <w:rFonts w:ascii="宋体" w:eastAsia="宋体" w:hAnsi="宋体" w:cs="宋体" w:hint="eastAsia"/>
            <w:bCs w:val="0"/>
            <w:szCs w:val="28"/>
            <w:lang w:eastAsia="zh-CN"/>
          </w:rPr>
          <w:t>(一)、技术方案选择</w:t>
        </w:r>
        <w:r>
          <w:tab/>
        </w:r>
        <w:r>
          <w:fldChar w:fldCharType="begin"/>
        </w:r>
        <w:r>
          <w:instrText xml:space="preserve"> PAGEREF _Toc20884 \h </w:instrText>
        </w:r>
        <w:r>
          <w:fldChar w:fldCharType="separate"/>
        </w:r>
        <w:r>
          <w:t>49</w:t>
        </w:r>
        <w:r>
          <w:fldChar w:fldCharType="end"/>
        </w:r>
      </w:hyperlink>
    </w:p>
    <w:p>
      <w:pPr>
        <w:pStyle w:val="TOC2"/>
        <w:tabs>
          <w:tab w:val="right" w:leader="dot" w:pos="8306"/>
        </w:tabs>
      </w:pPr>
      <w:hyperlink w:anchor="_Toc13497" w:history="1">
        <w:r>
          <w:rPr>
            <w:rFonts w:ascii="宋体" w:eastAsia="宋体" w:hAnsi="宋体" w:cs="宋体" w:hint="eastAsia"/>
            <w:bCs w:val="0"/>
            <w:szCs w:val="28"/>
            <w:lang w:eastAsia="zh-CN"/>
          </w:rPr>
          <w:t>(二)、设备选型方案</w:t>
        </w:r>
        <w:r>
          <w:tab/>
        </w:r>
        <w:r>
          <w:fldChar w:fldCharType="begin"/>
        </w:r>
        <w:r>
          <w:instrText xml:space="preserve"> PAGEREF _Toc13497 \h </w:instrText>
        </w:r>
        <w:r>
          <w:fldChar w:fldCharType="separate"/>
        </w:r>
        <w:r>
          <w:t>50</w:t>
        </w:r>
        <w:r>
          <w:fldChar w:fldCharType="end"/>
        </w:r>
      </w:hyperlink>
    </w:p>
    <w:p>
      <w:pPr>
        <w:pStyle w:val="TOC2"/>
        <w:tabs>
          <w:tab w:val="right" w:leader="dot" w:pos="8306"/>
        </w:tabs>
      </w:pPr>
      <w:hyperlink w:anchor="_Toc19548" w:history="1">
        <w:r>
          <w:rPr>
            <w:rFonts w:ascii="宋体" w:eastAsia="宋体" w:hAnsi="宋体" w:cs="宋体" w:hint="eastAsia"/>
            <w:bCs w:val="0"/>
            <w:szCs w:val="28"/>
            <w:lang w:eastAsia="zh-CN"/>
          </w:rPr>
          <w:t>(三)、技术流程与工艺设计</w:t>
        </w:r>
        <w:r>
          <w:tab/>
        </w:r>
        <w:r>
          <w:fldChar w:fldCharType="begin"/>
        </w:r>
        <w:r>
          <w:instrText xml:space="preserve"> PAGEREF _Toc19548 \h </w:instrText>
        </w:r>
        <w:r>
          <w:fldChar w:fldCharType="separate"/>
        </w:r>
        <w:r>
          <w:t>50</w:t>
        </w:r>
        <w:r>
          <w:fldChar w:fldCharType="end"/>
        </w:r>
      </w:hyperlink>
    </w:p>
    <w:p>
      <w:pPr>
        <w:pStyle w:val="TOC1"/>
        <w:tabs>
          <w:tab w:val="right" w:leader="dot" w:pos="8306"/>
        </w:tabs>
      </w:pPr>
      <w:hyperlink w:anchor="_Toc3307" w:history="1">
        <w:r>
          <w:rPr>
            <w:rFonts w:ascii="微软雅黑" w:eastAsia="微软雅黑" w:hAnsi="微软雅黑" w:cs="微软雅黑" w:hint="eastAsia"/>
            <w:color w:val="001CAC" w:themeColor="hyperlink" w:themeShade="BF"/>
            <w:szCs w:val="32"/>
            <w:lang w:eastAsia="zh-CN"/>
          </w:rPr>
          <w:t>九、沿海货物运输行业人力资源管理策略</w:t>
        </w:r>
        <w:r>
          <w:tab/>
        </w:r>
        <w:r>
          <w:fldChar w:fldCharType="begin"/>
        </w:r>
        <w:r>
          <w:instrText xml:space="preserve"> PAGEREF _Toc3307 \h </w:instrText>
        </w:r>
        <w:r>
          <w:fldChar w:fldCharType="separate"/>
        </w:r>
        <w:r>
          <w:t>52</w:t>
        </w:r>
        <w:r>
          <w:fldChar w:fldCharType="end"/>
        </w:r>
      </w:hyperlink>
    </w:p>
    <w:p>
      <w:pPr>
        <w:pStyle w:val="TOC2"/>
        <w:tabs>
          <w:tab w:val="right" w:leader="dot" w:pos="8306"/>
        </w:tabs>
      </w:pPr>
      <w:hyperlink w:anchor="_Toc5319" w:history="1">
        <w:r>
          <w:rPr>
            <w:rFonts w:ascii="宋体" w:eastAsia="宋体" w:hAnsi="宋体" w:cs="宋体" w:hint="eastAsia"/>
            <w:bCs w:val="0"/>
            <w:szCs w:val="28"/>
            <w:lang w:eastAsia="zh-CN"/>
          </w:rPr>
          <w:t>(一)、沿海货物运输行业人力资源管理原则</w:t>
        </w:r>
        <w:r>
          <w:tab/>
        </w:r>
        <w:r>
          <w:fldChar w:fldCharType="begin"/>
        </w:r>
        <w:r>
          <w:instrText xml:space="preserve"> PAGEREF _Toc5319 \h </w:instrText>
        </w:r>
        <w:r>
          <w:fldChar w:fldCharType="separate"/>
        </w:r>
        <w:r>
          <w:t>52</w:t>
        </w:r>
        <w:r>
          <w:fldChar w:fldCharType="end"/>
        </w:r>
      </w:hyperlink>
    </w:p>
    <w:p>
      <w:pPr>
        <w:pStyle w:val="TOC2"/>
        <w:tabs>
          <w:tab w:val="right" w:leader="dot" w:pos="8306"/>
        </w:tabs>
      </w:pPr>
      <w:hyperlink w:anchor="_Toc16580" w:history="1">
        <w:r>
          <w:rPr>
            <w:rFonts w:ascii="宋体" w:eastAsia="宋体" w:hAnsi="宋体" w:cs="宋体" w:hint="eastAsia"/>
            <w:bCs w:val="0"/>
            <w:szCs w:val="28"/>
            <w:lang w:eastAsia="zh-CN"/>
          </w:rPr>
          <w:t>(二)、沿海货物运输行业劳动关系管理</w:t>
        </w:r>
        <w:r>
          <w:tab/>
        </w:r>
        <w:r>
          <w:fldChar w:fldCharType="begin"/>
        </w:r>
        <w:r>
          <w:instrText xml:space="preserve"> PAGEREF _Toc16580 \h </w:instrText>
        </w:r>
        <w:r>
          <w:fldChar w:fldCharType="separate"/>
        </w:r>
        <w:r>
          <w:t>55</w:t>
        </w:r>
        <w:r>
          <w:fldChar w:fldCharType="end"/>
        </w:r>
      </w:hyperlink>
    </w:p>
    <w:p>
      <w:pPr>
        <w:pStyle w:val="TOC2"/>
        <w:tabs>
          <w:tab w:val="right" w:leader="dot" w:pos="8306"/>
        </w:tabs>
      </w:pPr>
      <w:hyperlink w:anchor="_Toc20875" w:history="1">
        <w:r>
          <w:rPr>
            <w:rFonts w:ascii="宋体" w:eastAsia="宋体" w:hAnsi="宋体" w:cs="宋体" w:hint="eastAsia"/>
            <w:bCs w:val="0"/>
            <w:szCs w:val="28"/>
            <w:lang w:eastAsia="zh-CN"/>
          </w:rPr>
          <w:t>(三)、沿海货物运输行业人员配置方案</w:t>
        </w:r>
        <w:r>
          <w:tab/>
        </w:r>
        <w:r>
          <w:fldChar w:fldCharType="begin"/>
        </w:r>
        <w:r>
          <w:instrText xml:space="preserve"> PAGEREF _Toc20875 \h </w:instrText>
        </w:r>
        <w:r>
          <w:fldChar w:fldCharType="separate"/>
        </w:r>
        <w:r>
          <w:t>56</w:t>
        </w:r>
        <w:r>
          <w:fldChar w:fldCharType="end"/>
        </w:r>
      </w:hyperlink>
    </w:p>
    <w:p>
      <w:pPr>
        <w:pStyle w:val="TOC2"/>
        <w:tabs>
          <w:tab w:val="right" w:leader="dot" w:pos="8306"/>
        </w:tabs>
      </w:pPr>
      <w:hyperlink w:anchor="_Toc690" w:history="1">
        <w:r>
          <w:rPr>
            <w:rFonts w:ascii="宋体" w:eastAsia="宋体" w:hAnsi="宋体" w:cs="宋体" w:hint="eastAsia"/>
            <w:bCs w:val="0"/>
            <w:szCs w:val="28"/>
            <w:lang w:eastAsia="zh-CN"/>
          </w:rPr>
          <w:t>(四)、沿海货物运输行业员工招聘方案</w:t>
        </w:r>
        <w:r>
          <w:tab/>
        </w:r>
        <w:r>
          <w:fldChar w:fldCharType="begin"/>
        </w:r>
        <w:r>
          <w:instrText xml:space="preserve"> PAGEREF _Toc690 \h </w:instrText>
        </w:r>
        <w:r>
          <w:fldChar w:fldCharType="separate"/>
        </w:r>
        <w:r>
          <w:t>57</w:t>
        </w:r>
        <w:r>
          <w:fldChar w:fldCharType="end"/>
        </w:r>
      </w:hyperlink>
    </w:p>
    <w:p>
      <w:pPr>
        <w:pStyle w:val="TOC2"/>
        <w:tabs>
          <w:tab w:val="right" w:leader="dot" w:pos="8306"/>
        </w:tabs>
      </w:pPr>
      <w:hyperlink w:anchor="_Toc8126" w:history="1">
        <w:r>
          <w:rPr>
            <w:rFonts w:ascii="宋体" w:eastAsia="宋体" w:hAnsi="宋体" w:cs="宋体" w:hint="eastAsia"/>
            <w:bCs w:val="0"/>
            <w:szCs w:val="28"/>
            <w:lang w:eastAsia="zh-CN"/>
          </w:rPr>
          <w:t>(五)、沿海货物运输行业绩效和薪酬管理方案</w:t>
        </w:r>
        <w:r>
          <w:tab/>
        </w:r>
        <w:r>
          <w:fldChar w:fldCharType="begin"/>
        </w:r>
        <w:r>
          <w:instrText xml:space="preserve"> PAGEREF _Toc8126 \h </w:instrText>
        </w:r>
        <w:r>
          <w:fldChar w:fldCharType="separate"/>
        </w:r>
        <w:r>
          <w:t>58</w:t>
        </w:r>
        <w:r>
          <w:fldChar w:fldCharType="end"/>
        </w:r>
      </w:hyperlink>
    </w:p>
    <w:p>
      <w:pPr>
        <w:pStyle w:val="TOC2"/>
        <w:tabs>
          <w:tab w:val="right" w:leader="dot" w:pos="8306"/>
        </w:tabs>
      </w:pPr>
      <w:hyperlink w:anchor="_Toc26179" w:history="1">
        <w:r>
          <w:rPr>
            <w:rFonts w:ascii="宋体" w:eastAsia="宋体" w:hAnsi="宋体" w:cs="宋体" w:hint="eastAsia"/>
            <w:bCs w:val="0"/>
            <w:szCs w:val="28"/>
            <w:lang w:eastAsia="zh-CN"/>
          </w:rPr>
          <w:t>(六)、沿海货物运输行业员工福利管理方案</w:t>
        </w:r>
        <w:r>
          <w:tab/>
        </w:r>
        <w:r>
          <w:fldChar w:fldCharType="begin"/>
        </w:r>
        <w:r>
          <w:instrText xml:space="preserve"> PAGEREF _Toc26179 \h </w:instrText>
        </w:r>
        <w:r>
          <w:fldChar w:fldCharType="separate"/>
        </w:r>
        <w:r>
          <w:t>60</w:t>
        </w:r>
        <w:r>
          <w:fldChar w:fldCharType="end"/>
        </w:r>
      </w:hyperlink>
    </w:p>
    <w:p>
      <w:pPr>
        <w:pStyle w:val="TOC1"/>
        <w:tabs>
          <w:tab w:val="right" w:leader="dot" w:pos="8306"/>
        </w:tabs>
      </w:pPr>
      <w:hyperlink w:anchor="_Toc27686" w:history="1">
        <w:r>
          <w:rPr>
            <w:rFonts w:ascii="微软雅黑" w:eastAsia="微软雅黑" w:hAnsi="微软雅黑" w:cs="微软雅黑" w:hint="eastAsia"/>
            <w:color w:val="001CAC" w:themeColor="hyperlink" w:themeShade="BF"/>
            <w:szCs w:val="32"/>
            <w:lang w:eastAsia="zh-CN"/>
          </w:rPr>
          <w:t>十、质量管理与持续改进</w:t>
        </w:r>
        <w:r>
          <w:tab/>
        </w:r>
        <w:r>
          <w:fldChar w:fldCharType="begin"/>
        </w:r>
        <w:r>
          <w:instrText xml:space="preserve"> PAGEREF _Toc27686 \h </w:instrText>
        </w:r>
        <w:r>
          <w:fldChar w:fldCharType="separate"/>
        </w:r>
        <w:r>
          <w:t>62</w:t>
        </w:r>
        <w:r>
          <w:fldChar w:fldCharType="end"/>
        </w:r>
      </w:hyperlink>
    </w:p>
    <w:p>
      <w:pPr>
        <w:pStyle w:val="TOC2"/>
        <w:tabs>
          <w:tab w:val="right" w:leader="dot" w:pos="8306"/>
        </w:tabs>
      </w:pPr>
      <w:hyperlink w:anchor="_Toc30421" w:history="1">
        <w:r>
          <w:rPr>
            <w:rFonts w:ascii="宋体" w:eastAsia="宋体" w:hAnsi="宋体" w:cs="宋体" w:hint="eastAsia"/>
            <w:bCs w:val="0"/>
            <w:szCs w:val="28"/>
            <w:lang w:eastAsia="zh-CN"/>
          </w:rPr>
          <w:t>(一)、质量管理体系建设</w:t>
        </w:r>
        <w:r>
          <w:tab/>
        </w:r>
        <w:r>
          <w:fldChar w:fldCharType="begin"/>
        </w:r>
        <w:r>
          <w:instrText xml:space="preserve"> PAGEREF _Toc30421 \h </w:instrText>
        </w:r>
        <w:r>
          <w:fldChar w:fldCharType="separate"/>
        </w:r>
        <w:r>
          <w:t>62</w:t>
        </w:r>
        <w:r>
          <w:fldChar w:fldCharType="end"/>
        </w:r>
      </w:hyperlink>
    </w:p>
    <w:p>
      <w:pPr>
        <w:pStyle w:val="TOC2"/>
        <w:tabs>
          <w:tab w:val="right" w:leader="dot" w:pos="8306"/>
        </w:tabs>
      </w:pPr>
      <w:hyperlink w:anchor="_Toc18351" w:history="1">
        <w:r>
          <w:rPr>
            <w:rFonts w:ascii="宋体" w:eastAsia="宋体" w:hAnsi="宋体" w:cs="宋体" w:hint="eastAsia"/>
            <w:bCs w:val="0"/>
            <w:szCs w:val="28"/>
            <w:lang w:eastAsia="zh-CN"/>
          </w:rPr>
          <w:t>(二)、生产过程控制与优化</w:t>
        </w:r>
        <w:r>
          <w:tab/>
        </w:r>
        <w:r>
          <w:fldChar w:fldCharType="begin"/>
        </w:r>
        <w:r>
          <w:instrText xml:space="preserve"> PAGEREF _Toc18351 \h </w:instrText>
        </w:r>
        <w:r>
          <w:fldChar w:fldCharType="separate"/>
        </w:r>
        <w:r>
          <w:t>63</w:t>
        </w:r>
        <w:r>
          <w:fldChar w:fldCharType="end"/>
        </w:r>
      </w:hyperlink>
    </w:p>
    <w:p>
      <w:pPr>
        <w:pStyle w:val="TOC2"/>
        <w:tabs>
          <w:tab w:val="right" w:leader="dot" w:pos="8306"/>
        </w:tabs>
      </w:pPr>
      <w:hyperlink w:anchor="_Toc28831" w:history="1">
        <w:r>
          <w:rPr>
            <w:rFonts w:ascii="宋体" w:eastAsia="宋体" w:hAnsi="宋体" w:cs="宋体" w:hint="eastAsia"/>
            <w:bCs w:val="0"/>
            <w:szCs w:val="28"/>
            <w:lang w:eastAsia="zh-CN"/>
          </w:rPr>
          <w:t>(三)、产品质量检验与测试</w:t>
        </w:r>
        <w:r>
          <w:tab/>
        </w:r>
        <w:r>
          <w:fldChar w:fldCharType="begin"/>
        </w:r>
        <w:r>
          <w:instrText xml:space="preserve"> PAGEREF _Toc28831 \h </w:instrText>
        </w:r>
        <w:r>
          <w:fldChar w:fldCharType="separate"/>
        </w:r>
        <w:r>
          <w:t>63</w:t>
        </w:r>
        <w:r>
          <w:fldChar w:fldCharType="end"/>
        </w:r>
      </w:hyperlink>
    </w:p>
    <w:p>
      <w:pPr>
        <w:pStyle w:val="TOC2"/>
        <w:tabs>
          <w:tab w:val="right" w:leader="dot" w:pos="8306"/>
        </w:tabs>
      </w:pPr>
      <w:hyperlink w:anchor="_Toc6339" w:history="1">
        <w:r>
          <w:rPr>
            <w:rFonts w:ascii="宋体" w:eastAsia="宋体" w:hAnsi="宋体" w:cs="宋体" w:hint="eastAsia"/>
            <w:bCs w:val="0"/>
            <w:szCs w:val="28"/>
            <w:lang w:eastAsia="zh-CN"/>
          </w:rPr>
          <w:t>(四)、用户反馈与质量改进</w:t>
        </w:r>
        <w:r>
          <w:tab/>
        </w:r>
        <w:r>
          <w:fldChar w:fldCharType="begin"/>
        </w:r>
        <w:r>
          <w:instrText xml:space="preserve"> PAGEREF _Toc6339 \h </w:instrText>
        </w:r>
        <w:r>
          <w:fldChar w:fldCharType="separate"/>
        </w:r>
        <w:r>
          <w:t>64</w:t>
        </w:r>
        <w:r>
          <w:fldChar w:fldCharType="end"/>
        </w:r>
      </w:hyperlink>
    </w:p>
    <w:p>
      <w:pPr>
        <w:pStyle w:val="TOC1"/>
        <w:tabs>
          <w:tab w:val="right" w:leader="dot" w:pos="8306"/>
        </w:tabs>
      </w:pPr>
      <w:hyperlink w:anchor="_Toc5930" w:history="1">
        <w:r>
          <w:rPr>
            <w:rFonts w:ascii="微软雅黑" w:eastAsia="微软雅黑" w:hAnsi="微软雅黑" w:cs="微软雅黑" w:hint="eastAsia"/>
            <w:color w:val="001CAC" w:themeColor="hyperlink" w:themeShade="BF"/>
            <w:szCs w:val="32"/>
            <w:lang w:eastAsia="zh-CN"/>
          </w:rPr>
          <w:t>十一、安全与劳动保护</w:t>
        </w:r>
        <w:r>
          <w:tab/>
        </w:r>
        <w:r>
          <w:fldChar w:fldCharType="begin"/>
        </w:r>
        <w:r>
          <w:instrText xml:space="preserve"> PAGEREF _Toc5930 \h </w:instrText>
        </w:r>
        <w:r>
          <w:fldChar w:fldCharType="separate"/>
        </w:r>
        <w:r>
          <w:t>65</w:t>
        </w:r>
        <w:r>
          <w:fldChar w:fldCharType="end"/>
        </w:r>
      </w:hyperlink>
    </w:p>
    <w:p>
      <w:pPr>
        <w:pStyle w:val="TOC2"/>
        <w:tabs>
          <w:tab w:val="right" w:leader="dot" w:pos="8306"/>
        </w:tabs>
      </w:pPr>
      <w:hyperlink w:anchor="_Toc22636" w:history="1">
        <w:r>
          <w:rPr>
            <w:rFonts w:ascii="宋体" w:eastAsia="宋体" w:hAnsi="宋体" w:cs="宋体" w:hint="eastAsia"/>
            <w:bCs w:val="0"/>
            <w:szCs w:val="28"/>
            <w:lang w:eastAsia="zh-CN"/>
          </w:rPr>
          <w:t>(一)、设计依据与法规合规</w:t>
        </w:r>
        <w:r>
          <w:tab/>
        </w:r>
        <w:r>
          <w:fldChar w:fldCharType="begin"/>
        </w:r>
        <w:r>
          <w:instrText xml:space="preserve"> PAGEREF _Toc22636 \h </w:instrText>
        </w:r>
        <w:r>
          <w:fldChar w:fldCharType="separate"/>
        </w:r>
        <w:r>
          <w:t>65</w:t>
        </w:r>
        <w:r>
          <w:fldChar w:fldCharType="end"/>
        </w:r>
      </w:hyperlink>
    </w:p>
    <w:p>
      <w:pPr>
        <w:pStyle w:val="TOC2"/>
        <w:tabs>
          <w:tab w:val="right" w:leader="dot" w:pos="8306"/>
        </w:tabs>
      </w:pPr>
      <w:hyperlink w:anchor="_Toc15478" w:history="1">
        <w:r>
          <w:rPr>
            <w:rFonts w:ascii="宋体" w:eastAsia="宋体" w:hAnsi="宋体" w:cs="宋体" w:hint="eastAsia"/>
            <w:bCs w:val="0"/>
            <w:szCs w:val="28"/>
            <w:lang w:eastAsia="zh-CN"/>
          </w:rPr>
          <w:t>(二)、劳动安全预期效果评价</w:t>
        </w:r>
        <w:r>
          <w:tab/>
        </w:r>
        <w:r>
          <w:fldChar w:fldCharType="begin"/>
        </w:r>
        <w:r>
          <w:instrText xml:space="preserve"> PAGEREF _Toc15478 \h </w:instrText>
        </w:r>
        <w:r>
          <w:fldChar w:fldCharType="separate"/>
        </w:r>
        <w:r>
          <w:t>65</w:t>
        </w:r>
        <w:r>
          <w:fldChar w:fldCharType="end"/>
        </w:r>
      </w:hyperlink>
    </w:p>
    <w:p>
      <w:pPr>
        <w:pStyle w:val="TOC2"/>
        <w:tabs>
          <w:tab w:val="right" w:leader="dot" w:pos="8306"/>
        </w:tabs>
      </w:pPr>
      <w:hyperlink w:anchor="_Toc16728" w:history="1">
        <w:r>
          <w:rPr>
            <w:rFonts w:ascii="宋体" w:eastAsia="宋体" w:hAnsi="宋体" w:cs="宋体" w:hint="eastAsia"/>
            <w:bCs w:val="0"/>
            <w:szCs w:val="28"/>
            <w:lang w:eastAsia="zh-CN"/>
          </w:rPr>
          <w:t>(三)、主要防范措施</w:t>
        </w:r>
        <w:r>
          <w:tab/>
        </w:r>
        <w:r>
          <w:fldChar w:fldCharType="begin"/>
        </w:r>
        <w:r>
          <w:instrText xml:space="preserve"> PAGEREF _Toc16728 \h </w:instrText>
        </w:r>
        <w:r>
          <w:fldChar w:fldCharType="separate"/>
        </w:r>
        <w:r>
          <w:t>65</w:t>
        </w:r>
        <w:r>
          <w:fldChar w:fldCharType="end"/>
        </w:r>
      </w:hyperlink>
    </w:p>
    <w:p>
      <w:pPr>
        <w:pStyle w:val="TOC1"/>
        <w:tabs>
          <w:tab w:val="right" w:leader="dot" w:pos="8306"/>
        </w:tabs>
      </w:pPr>
      <w:hyperlink w:anchor="_Toc26204" w:history="1">
        <w:r>
          <w:rPr>
            <w:rFonts w:ascii="微软雅黑" w:eastAsia="微软雅黑" w:hAnsi="微软雅黑" w:cs="微软雅黑" w:hint="eastAsia"/>
            <w:color w:val="001CAC" w:themeColor="hyperlink" w:themeShade="BF"/>
            <w:szCs w:val="32"/>
            <w:lang w:eastAsia="zh-CN"/>
          </w:rPr>
          <w:t>十二、制度运行与优化</w:t>
        </w:r>
        <w:r>
          <w:tab/>
        </w:r>
        <w:r>
          <w:fldChar w:fldCharType="begin"/>
        </w:r>
        <w:r>
          <w:instrText xml:space="preserve"> PAGEREF _Toc26204 \h </w:instrText>
        </w:r>
        <w:r>
          <w:fldChar w:fldCharType="separate"/>
        </w:r>
        <w:r>
          <w:t>66</w:t>
        </w:r>
        <w:r>
          <w:fldChar w:fldCharType="end"/>
        </w:r>
      </w:hyperlink>
    </w:p>
    <w:p>
      <w:pPr>
        <w:pStyle w:val="TOC2"/>
        <w:tabs>
          <w:tab w:val="right" w:leader="dot" w:pos="8306"/>
        </w:tabs>
      </w:pPr>
      <w:hyperlink w:anchor="_Toc18497" w:history="1">
        <w:r>
          <w:rPr>
            <w:rFonts w:ascii="宋体" w:eastAsia="宋体" w:hAnsi="宋体" w:cs="宋体" w:hint="eastAsia"/>
            <w:bCs w:val="0"/>
            <w:szCs w:val="28"/>
            <w:lang w:eastAsia="zh-CN"/>
          </w:rPr>
          <w:t>(一)、制度执行与监督</w:t>
        </w:r>
        <w:r>
          <w:tab/>
        </w:r>
        <w:r>
          <w:fldChar w:fldCharType="begin"/>
        </w:r>
        <w:r>
          <w:instrText xml:space="preserve"> PAGEREF _Toc18497 \h </w:instrText>
        </w:r>
        <w:r>
          <w:fldChar w:fldCharType="separate"/>
        </w:r>
        <w:r>
          <w:t>66</w:t>
        </w:r>
        <w:r>
          <w:fldChar w:fldCharType="end"/>
        </w:r>
      </w:hyperlink>
    </w:p>
    <w:p>
      <w:pPr>
        <w:pStyle w:val="TOC2"/>
        <w:tabs>
          <w:tab w:val="right" w:leader="dot" w:pos="8306"/>
        </w:tabs>
      </w:pPr>
      <w:hyperlink w:anchor="_Toc11246" w:history="1">
        <w:r>
          <w:rPr>
            <w:rFonts w:ascii="宋体" w:eastAsia="宋体" w:hAnsi="宋体" w:cs="宋体" w:hint="eastAsia"/>
            <w:bCs w:val="0"/>
            <w:szCs w:val="28"/>
            <w:lang w:eastAsia="zh-CN"/>
          </w:rPr>
          <w:t>(二)、制度优化与更新</w:t>
        </w:r>
        <w:r>
          <w:tab/>
        </w:r>
        <w:r>
          <w:fldChar w:fldCharType="begin"/>
        </w:r>
        <w:r>
          <w:instrText xml:space="preserve"> PAGEREF _Toc11246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p>
    <w:p>
      <w:pPr>
        <w:pStyle w:val="Heading1"/>
        <w:jc w:val="center"/>
        <w:rPr>
          <w:rFonts w:ascii="微软雅黑" w:eastAsia="微软雅黑" w:hAnsi="微软雅黑" w:cs="微软雅黑" w:hint="eastAsia"/>
          <w:color w:val="2E54A1" w:themeColor="accent1" w:themeShade="BF"/>
          <w:lang w:eastAsia="zh-CN"/>
        </w:rPr>
      </w:pPr>
      <w:bookmarkStart w:id="1" w:name="_Toc21334"/>
      <w:r>
        <w:rPr>
          <w:rFonts w:ascii="微软雅黑" w:eastAsia="微软雅黑" w:hAnsi="微软雅黑" w:cs="微软雅黑" w:hint="eastAsia"/>
          <w:color w:val="2E54A1" w:themeColor="accent1" w:themeShade="BF"/>
          <w:lang w:eastAsia="zh-CN"/>
        </w:rPr>
        <w:t>前言</w:t>
      </w:r>
      <w:bookmarkEnd w:id="1"/>
    </w:p>
    <w:p>
      <w:pPr>
        <w:spacing w:line="480" w:lineRule="auto"/>
        <w:ind w:firstLine="480" w:firstLineChars="200"/>
        <w:rPr>
          <w:rFonts w:ascii="宋体" w:eastAsia="宋体" w:hAnsi="宋体" w:cs="宋体" w:hint="eastAsia"/>
          <w:sz w:val="24"/>
          <w:szCs w:val="22"/>
        </w:rPr>
      </w:pPr>
      <w:r>
        <w:rPr>
          <w:rFonts w:ascii="宋体" w:eastAsia="宋体" w:hAnsi="宋体" w:cs="宋体" w:hint="eastAsia"/>
          <w:sz w:val="24"/>
          <w:szCs w:val="22"/>
          <w:lang w:eastAsia="zh-CN"/>
        </w:rPr>
        <w:t>沿海货物运输行业研究报告致力于对沿海货物运输行业进行详尽研究和分析，旨在为沿海货物运输行业相关从业人员提供参考和借鉴。报告所包含的内容仅供学术研究和学习交流，不可用作商业用途。通过对行业发展历程、市场趋势和竞争态势的深入考察，本报告力求准确呈现行业现状和未来发展方向，为读者提供全面而有价值的行业洞察和决策支持。</w:t>
      </w:r>
    </w:p>
    <w:p>
      <w:pPr>
        <w:pStyle w:val="Heading1"/>
        <w:spacing w:line="480" w:lineRule="auto"/>
        <w:rPr>
          <w:rFonts w:ascii="微软雅黑" w:eastAsia="微软雅黑" w:hAnsi="微软雅黑" w:cs="微软雅黑" w:hint="eastAsia"/>
          <w:color w:val="2E54A1" w:themeColor="accent1" w:themeShade="BF"/>
          <w:sz w:val="32"/>
          <w:szCs w:val="32"/>
          <w:lang w:eastAsia="zh-CN"/>
        </w:rPr>
      </w:pPr>
      <w:bookmarkStart w:id="2" w:name="_Toc1916"/>
      <w:r>
        <w:rPr>
          <w:rFonts w:ascii="微软雅黑" w:eastAsia="微软雅黑" w:hAnsi="微软雅黑" w:cs="微软雅黑" w:hint="eastAsia"/>
          <w:color w:val="2E54A1" w:themeColor="accent1" w:themeShade="BF"/>
          <w:sz w:val="32"/>
          <w:szCs w:val="32"/>
          <w:lang w:eastAsia="zh-CN"/>
        </w:rPr>
        <w:t>一、沿海货物运输行业投资管理策略</w:t>
      </w:r>
      <w:bookmarkEnd w:id="2"/>
    </w:p>
    <w:p>
      <w:pPr>
        <w:pStyle w:val="Heading2"/>
        <w:spacing w:line="480" w:lineRule="auto"/>
        <w:rPr>
          <w:rFonts w:ascii="宋体" w:eastAsia="宋体" w:hAnsi="宋体" w:cs="宋体" w:hint="eastAsia"/>
          <w:bCs w:val="0"/>
          <w:sz w:val="28"/>
          <w:szCs w:val="28"/>
          <w:lang w:eastAsia="zh-CN"/>
        </w:rPr>
      </w:pPr>
      <w:bookmarkStart w:id="3" w:name="_Toc10268"/>
      <w:r>
        <w:rPr>
          <w:rFonts w:ascii="宋体" w:eastAsia="宋体" w:hAnsi="宋体" w:cs="宋体" w:hint="eastAsia"/>
          <w:b/>
          <w:bCs w:val="0"/>
          <w:sz w:val="28"/>
          <w:szCs w:val="28"/>
          <w:lang w:eastAsia="zh-CN"/>
        </w:rPr>
        <w:t>(一)、沿海货物运输行业投资估算主要内容</w:t>
      </w:r>
      <w:bookmarkEnd w:id="3"/>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(一)设备投资成本</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创办沿海货物运输行业所需的设备投资是一项不可或缺的资金支出。这其中包括但不限于陈列架、货架、收银系统、电脑、打印机等各类硬件设备和相关软件。设备投资费用会因店铺规模和经营范围的不同而有所差异。在进行投资时，需要考虑设备的质量和品牌选择，以确保长期运营的稳定性。</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(二)装修施工费用</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开设沿海货物运输行业之前,装修施工费用是必须仔细考虑的一项重要开支。这包括店内外的装修所需的材料和劳务费用。首先，需要制定一份合理的装修方案，然后计算购买材料和雇佣工人所需的费用。装修施工费用的多少与店铺规模、地理位置和装修风格密切相关。</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(三)初期准备资金</w:t>
      </w:r>
    </w:p>
    <w:p>
      <w:pPr>
        <w:spacing w:line="480" w:lineRule="auto"/>
        <w:ind w:firstLine="420" w:firstLineChars="0"/>
        <w:rPr>
          <w:rFonts w:ascii="宋体" w:eastAsia="宋体" w:hAnsi="宋体" w:cs="宋体" w:hint="eastAsia"/>
          <w:sz w:val="24"/>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为了迎接开业初期的各种开支，需要提前准备一笔资金，即预备费。这些支出可能包括开业庆典、广告宣传、库存采购、员工工资和租金等。预备费的设立旨在应对初期可能出现的资金紧张情况，确保沿海货物运输行业在初始经营阶段能够平稳运营。具体预备费用的确定应根据当地市场条件和实际经验进行合理估算。</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(四)库存采购开支</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作为沿海货物运输行业的核心商品,库存采购费用是投资计划中不可忽视的一环。根据店铺大小和销售策略，需要提前购买一定数量的产品作为起步库存。库存采购费用取决于所选择的产品品牌、样式、数量和价格等因素。</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(五)运营成本</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沿海货物运输行业的运营成本包括员工工资、水电费、物业管理费、广告宣传费用、税务等方面的支出。这些成本每月都会发生，需要在投资计划中进行详细预算和分析。</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(六)租金与押金</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沿海货物运输行业的地理位置对业绩有着重要的影响,因此租金与押金是创办沿海货物运输行业时不可忽视的重要成本。具体租金和所需支付的押金金额将根据店铺面积、地段和租赁合同条款等因素确定。</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(七)其他开支</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除了以上主要开支,还有一些杂项费用需要纳入考虑,如保险费、专业咨询费用、法律事务费等。这些费用通常是一次性或定期性支出，需要在投资计划中列明并进行合理估算。</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(八)营销与推广费用</w:t>
      </w:r>
    </w:p>
    <w:p>
      <w:pPr>
        <w:spacing w:line="480" w:lineRule="auto"/>
        <w:ind w:firstLine="420" w:firstLineChars="0"/>
        <w:rPr>
          <w:rFonts w:ascii="宋体" w:eastAsia="宋体" w:hAnsi="宋体" w:cs="宋体" w:hint="eastAsia"/>
          <w:sz w:val="24"/>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成功经营沿海货物运输行业需要一定的营销与推广投入。这涵盖了广告宣传、促销活动、社交媒体推广等方面的费用。建立知名度和吸引顾客对于新开业的沿海货物运输行业至关重要，因此在投资计划中应充分考虑这一方面的支出。</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(九)技术与信息系统费用</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随着科技的不断发展,拥有高效的技术和信息系统对沿海货物运输行业的经营至关重要。这包括点-of-sale系统、库存管理软件、在线销售平台等。投资于这些技术和系统，有助于提高运营效率和顾客体验，但也需要在预算中予以充分考虑。</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(十)培训与人力资源开支</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为确保团队的专业水平和服务质量,需要投资于员工培训与人力资源开支。这包括新员工的培训费用、培训材料费用以及可能的员工福利成本。高素质的团队有助于提升沿海货物运输行业的服务水平和整体运营效能。</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(十一)紧急备用资金</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商业运营中，难以预测的紧急情况可能会发生。因此，设立一笔紧急备用资金是为了在遇到突发状况时能够迅速应对,确保沿海货物运输行业的稳定运营。紧急备用资金的具体数额可根据沿海货物运输行业经验和风险评估进行适当设定。</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(十二)持续改进与创新费用</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为保持竞争力，沿海货物运输行业需要不断进沿海货物运输行业务改进和创新。这可能涉及产品研发、服务创新以及市场调查等方面的费用。投资于持续改进与创新,有助于适应市场变化,满足顾客需求,提升品牌价值。</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结语</w:t>
      </w:r>
    </w:p>
    <w:p>
      <w:pPr>
        <w:spacing w:line="480" w:lineRule="auto"/>
        <w:ind w:firstLine="420" w:firstLineChars="0"/>
        <w:rPr>
          <w:rFonts w:ascii="宋体" w:eastAsia="宋体" w:hAnsi="宋体" w:cs="宋体" w:hint="eastAsia"/>
          <w:sz w:val="24"/>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综合考虑上述各项开支,沿海货物运输行业的投资计划不仅仅涉及设备购置、装修、预备费、库存采购和运营成本等基础开支，还需要考虑市场推广、技术与信息系统、员工培训、紧急备用资金以及持续创新等方面的投入。通过细致的预算和周密的规划，可为沿海货物运输行业的成功开业提供全面支持，并为未来的经营打下坚实基础。</w:t>
      </w:r>
    </w:p>
    <w:p>
      <w:pPr>
        <w:pStyle w:val="Heading2"/>
        <w:spacing w:line="480" w:lineRule="auto"/>
        <w:rPr>
          <w:rFonts w:ascii="宋体" w:eastAsia="宋体" w:hAnsi="宋体" w:cs="宋体" w:hint="eastAsia"/>
          <w:bCs w:val="0"/>
          <w:sz w:val="28"/>
          <w:szCs w:val="28"/>
          <w:lang w:eastAsia="zh-CN"/>
        </w:rPr>
      </w:pPr>
      <w:bookmarkStart w:id="4" w:name="_Toc26937"/>
      <w:r>
        <w:rPr>
          <w:rFonts w:ascii="宋体" w:eastAsia="宋体" w:hAnsi="宋体" w:cs="宋体" w:hint="eastAsia"/>
          <w:b/>
          <w:bCs w:val="0"/>
          <w:sz w:val="28"/>
          <w:szCs w:val="28"/>
          <w:lang w:eastAsia="zh-CN"/>
        </w:rPr>
        <w:t>(二)、沿海货物运输行业设备购置投资费用管理</w:t>
      </w:r>
      <w:bookmarkEnd w:id="4"/>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(一)制定投资计划</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沿海货物运输行业设备购置前，需要进行全面的投资计划。首先，确立所需设备的种类和数量，并进行市场价格的调查，以建立详尽的投资预算。此外，还需考虑到相关的配套设备、运输费用、以及设备安装等额外费用，确保投资计划的全面性和准确性。</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(二)设备选择与采购</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沿海货物运输行业设备的选择与采购是影响成本和效益的核心环节。首先，根据沿海货物运输行业的规模、特点和需求，对每个设备进行详细的性能、功能和品质评估，以确保选用的设备能够满足业务需求，并具有良好的性价比。其次，需综合考虑供应商的信誉、售后服务以及设备的维修保养等因素，选择可信赖的供应商进行采购，确保设备的质量和及时供货。</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(三)设备使用与维护</w:t>
      </w:r>
    </w:p>
    <w:p>
      <w:pPr>
        <w:spacing w:line="480" w:lineRule="auto"/>
        <w:ind w:firstLine="420" w:firstLineChars="0"/>
        <w:rPr>
          <w:rFonts w:ascii="宋体" w:eastAsia="宋体" w:hAnsi="宋体" w:cs="宋体" w:hint="eastAsia"/>
          <w:sz w:val="24"/>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宋体" w:eastAsia="宋体" w:hAnsi="宋体" w:cs="宋体" w:hint="eastAsia"/>
          <w:sz w:val="24"/>
          <w:szCs w:val="24"/>
          <w:lang w:eastAsia="zh-CN"/>
        </w:rPr>
        <w:t>设备购置后，沿海货物运输行业需要建立完善的设备使用与维护管理制度。首先，组织相关人员进行设备正确使用的培训，确保操作规范和安全可靠。其次，制定设备的维护保养计划，定期检查设备的运行状态，及时处理故障，以延长设备的使用寿命。同时，进行设备保险投保，以应对可能的意外损失和风险。</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(四)费用控制与效益评估</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沿海货物运输行业设备购置后，需要进行费用控制与效益评估。建立科学的成本核算体系，详细记录设备购置、使用和维护等相关费用，并定期进行比较分析，找出费用支出的优化空间。同时，定期评估设备的使用效果和经营效益，通过各项指标的分析，及时调整经营策略，提高设备的利用率和经济效益。</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(五)投资预算的动态调整</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沿海货物运输行业设备购置投资费用管理的关键在于实施动态的投资预算调整。由于市场环境和业务需求的不断变化，投资预算需要及时进行调整。定期进行市场调研，了解设备价格的波动和新技术的推出，以便灵活地调整预算计划，确保投资金额与市场变化相适应。</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(六)设备选型的创新与升级</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为提升设备的性能和效能,沿海货物运输行业应不断进行设备选型的创新与升级。密切关注沿海货物运输行业的最新技术趋势，选择符合未来发展方向的先进设备。通过采用更智能、高效的设备，可以提高工作效率，降低运营成本，从而提升整体经济效益。</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(七)灵活运用设备共享模式</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设备购置投资中,考虑采用设备共享模式也是一种有效的管理手段。与其他业务实体共享设备资源，不仅能够降低单一设备的购置成本，还能提高设备利用率。通过合理制定共享规则和管理流程，确保设备的合理分配和维护，以实现共赢的效果。</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(八)环保与能源管理</w:t>
      </w:r>
    </w:p>
    <w:p>
      <w:pPr>
        <w:spacing w:line="480" w:lineRule="auto"/>
        <w:ind w:firstLine="420" w:firstLineChars="0"/>
        <w:rPr>
          <w:rFonts w:ascii="宋体" w:eastAsia="宋体" w:hAnsi="宋体" w:cs="宋体" w:hint="eastAsia"/>
          <w:sz w:val="24"/>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沿海货物运输行业设备购置后，要注重环保和能源管理,以降低运营成本并提高社会责任感。采用节能设备、优化能源利用，不仅有助于降低能源开支，还能在市场中树立环保形象。通过实施绿色设备管理，不仅符合社会潮流，也有助于获取相关环保政策的支持。</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(九)建立设备数据监控系统</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借助现代科技手段,建立设备数据监控系统是提高设备管理效能的关键。通过实时监测设备的运行状态、维护记录等数据，及时发现潜在问题，预防设备故障。这样的系统有助于提高设备的可靠性和稳定性，减少维修成本，提升设备利用寿命。</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(十)制定灵活的维护计划</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设备使用与维护是设备管理的一个重要方面。制定灵活的维护计划，根据设备的工作强度和使用情况，科学安排维护时间，保障设备的长期稳定运行。在维护计划中可以包括定期检查、预防性维护和紧急维修等环节，以确保设备随时保持良好状态。</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通过以上的管理策略，沿海货物运输行业设备购置投资费用可以更加全面、灵活地得到管理。这样的管理手段不仅有助于提高设备的效益和经济效益，还能够适应市场变化，使沿海货物运输行业在设备管理方面更具竞争力。</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(十一)实施供应链协同</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设备购置不仅仅是对单一设备的投资，也牵涉到整个供应链的协同。与供应商建立紧密的合作关系，共同制定采购计划，优化物流流程，降低采购和运输成本。通过供应链协同，沿海货物运输行业能够更有效地获取设备，并在全流程中实现成本的最小化。</w:t>
      </w:r>
    </w:p>
    <w:p>
      <w:pPr>
        <w:spacing w:line="480" w:lineRule="auto"/>
        <w:ind w:firstLine="420" w:firstLineChars="0"/>
        <w:rPr>
          <w:rFonts w:ascii="宋体" w:eastAsia="宋体" w:hAnsi="宋体" w:cs="宋体" w:hint="eastAsia"/>
          <w:sz w:val="24"/>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宋体" w:eastAsia="宋体" w:hAnsi="宋体" w:cs="宋体" w:hint="eastAsia"/>
          <w:sz w:val="24"/>
          <w:szCs w:val="24"/>
          <w:lang w:eastAsia="zh-CN"/>
        </w:rPr>
        <w:t>(十二)引入设备定期更新策略</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随着科技的飞速发展，设备更新换代的速度也在不断加快。为了保持竞争力，沿海货物运输行业应引入设备定期更新策略。制定合理的设备更新计划，确保设备始终处于技术先进性的状态。通过定期更新，不仅提高了工作效率，也减少了因老旧设备导致的故障风险。</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(十三)制定设备回收与再利用政策</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为降低环境影响，沿海货物运输行业可以制定设备回收与再利用政策。在设备报废或更新时，采取合法的设备回收措施，对可再利用的部件进行拆解和再利用。这不仅有助于环保，还能在一定程度上降低新设备的采购成本。</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(十四)定期进行设备绩效评估</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建立定期的设备绩效评估机制是设备购置投资管理的重要一环。通过定期的绩效评估，可以深入了解设备的使用情况、效能表现以及维修记录等。根据评估结果，及时调整设备管理策略，提高设备的整体性能和可靠性。</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(十五)加强团队培训与技能提升</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为了更好地管理设备，沿海货物运输行业需要加强团队培训与技能提升。确保操作人员熟练掌握设备的使用方法，提高设备操作效率，减少人为因素对设备的影响。同时，培养一支专业的设备维护团队，提高对设备故障的及时排查和处理能力。</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(十六)面向未来的科技投资</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为了确保设备能够适应未来的商业发展,沿海货物运输行业应该进行面向未来的科技投资。关注新兴技术，如物联网、人工智能等，考虑将这些技术应用于设备管理中，以提高智能化和自动化水平，进一步提升设备的效能和运行效率。</w:t>
      </w:r>
    </w:p>
    <w:p>
      <w:pPr>
        <w:spacing w:line="480" w:lineRule="auto"/>
        <w:ind w:firstLine="420" w:firstLineChars="0"/>
        <w:rPr>
          <w:rFonts w:ascii="宋体" w:eastAsia="宋体" w:hAnsi="宋体" w:cs="宋体" w:hint="eastAsia"/>
          <w:sz w:val="24"/>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沿海货物运输行业能够更全面、科学地进行设备购置投资费用管理。这不仅有助于提高设备的使用效益，降低运营成本,还能够适应市场的变化，保持竞争力，确保沿海货物运输行业在设备管理方面持续取得成功。</w:t>
      </w:r>
    </w:p>
    <w:p>
      <w:pPr>
        <w:pStyle w:val="Heading2"/>
        <w:spacing w:line="480" w:lineRule="auto"/>
        <w:rPr>
          <w:rFonts w:ascii="宋体" w:eastAsia="宋体" w:hAnsi="宋体" w:cs="宋体" w:hint="eastAsia"/>
          <w:bCs w:val="0"/>
          <w:sz w:val="28"/>
          <w:szCs w:val="28"/>
          <w:lang w:eastAsia="zh-CN"/>
        </w:rPr>
      </w:pPr>
      <w:bookmarkStart w:id="5" w:name="_Toc28248"/>
      <w:r>
        <w:rPr>
          <w:rFonts w:ascii="宋体" w:eastAsia="宋体" w:hAnsi="宋体" w:cs="宋体" w:hint="eastAsia"/>
          <w:b/>
          <w:bCs w:val="0"/>
          <w:sz w:val="28"/>
          <w:szCs w:val="28"/>
          <w:lang w:eastAsia="zh-CN"/>
        </w:rPr>
        <w:t>(三)、沿海货物运输行业装修施工投资费用管理</w:t>
      </w:r>
      <w:bookmarkEnd w:id="5"/>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(一)预算策策</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沿海货物运输行业装修施工投资费用管理的过程中,预算制定显得尤为至关紧要。首先，对装修项目展开全面深入的分析和周密规划，明晰所需的材料、人力、设备等资源。根据市场行情和竞争对手情势，确定一个理性的预算金额。预算制定时需全方位考虑各类费用，包含但不仅限于建筑材料费、施工人员工资、工程设备租赁费等，同时设定相应的预算控制标准。</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(二)供应链伙伴选择</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装修施工进程中，选择适宜的供应链伙伴显得非常关键。变压器的装修项目涉及大量材料和设备的采购，因此必须找到价格公道、质量有保障的供应链伙伴。可通过市场调查、询价比较、实地勘查等方式评估和筛选供应链伙伴,展开谈判以争取到最优惠的价格和服务。</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(三)支出监控</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支出监控是对实际开支进行全方位监测和记录的一个重要步骤。在沿海货物运输行业装修施工中，需建立一个系统完备的支出监控体系，对每一项开支进行分类、档案和监测。这包括原材料采购、运输开支、施工人员的工资及社保、设备租赁费、差旅费等各个方面。透过精确的支出监控和深入分析，能够及时了解项目的财务状况，并采取相应的调整措施。</w:t>
      </w:r>
    </w:p>
    <w:p>
      <w:pPr>
        <w:spacing w:line="480" w:lineRule="auto"/>
        <w:ind w:firstLine="420" w:firstLineChars="0"/>
        <w:rPr>
          <w:rFonts w:ascii="宋体" w:eastAsia="宋体" w:hAnsi="宋体" w:cs="宋体" w:hint="eastAsia"/>
          <w:sz w:val="24"/>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宋体" w:eastAsia="宋体" w:hAnsi="宋体" w:cs="宋体" w:hint="eastAsia"/>
          <w:sz w:val="24"/>
          <w:szCs w:val="24"/>
          <w:lang w:eastAsia="zh-CN"/>
        </w:rPr>
        <w:t>(四)成本把控</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成本控制是沿海货物运输行业装修施工投资费用管理的至关紧要环节之一。通过多方面的途径进行成本把控：首先，要有序安排施工进度，精准掌控工期，减少人力资源浪费；其次，优化材料采购策略，争取更低的价格和折扣；同时，强化项目管理，提高施工效率，减少误工和返工，以期降低相关费用。</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(五)风险对策</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沿海货物运输行业装修施工投资费用管理的过程中,风险对策是一个不可忽视的环节。装修工程可能会面临一些突发情况，如施工延期、工程质量问题、材料供应商破产等风险。因此，需要建立一个完善的风险对策计划，及时识别、评估和应对各类风险，采取相应的措施来减轻风险对投资费用的不良影响。</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沿海货物运输行业装修施工投资费用管理需要全面考虑预算制定、供应链伙伴选择、支出监控、成本把控和风险对策等多个方面。通过科学合理的费用管理，不仅能够有效控制装修投资的费用，还能确保项目按照计划有序进行，对沿海货物运输行业的经营和发展具有重要意义。</w:t>
      </w:r>
    </w:p>
    <w:p>
      <w:pPr>
        <w:pStyle w:val="Heading2"/>
        <w:spacing w:line="480" w:lineRule="auto"/>
        <w:rPr>
          <w:rFonts w:ascii="宋体" w:eastAsia="宋体" w:hAnsi="宋体" w:cs="宋体" w:hint="eastAsia"/>
          <w:bCs w:val="0"/>
          <w:sz w:val="28"/>
          <w:szCs w:val="28"/>
          <w:lang w:eastAsia="zh-CN"/>
        </w:rPr>
      </w:pPr>
      <w:bookmarkStart w:id="6" w:name="_Toc12614"/>
      <w:r>
        <w:rPr>
          <w:rFonts w:ascii="宋体" w:eastAsia="宋体" w:hAnsi="宋体" w:cs="宋体" w:hint="eastAsia"/>
          <w:b/>
          <w:bCs w:val="0"/>
          <w:sz w:val="28"/>
          <w:szCs w:val="28"/>
          <w:lang w:eastAsia="zh-CN"/>
        </w:rPr>
        <w:t>(四)、沿海货物运输行业流动资金管理</w:t>
      </w:r>
      <w:bookmarkEnd w:id="6"/>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(一)现金管理</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现金管理是确保沿海货物运输行业正常运营的基本环节之一。首先，需要合理规划现金流，确保有足够的现金储备来应对日常运营所需。其次，通过建立紧密的财务监控系统，及时了解现金流动的情况，以便灵活调整资金的使用和投资确保企业在面临紧急情况时能够迅速做出反应。此外，优化支付体系，采用高效的支付工具，提高企业的支付效率，降低现金管理的运营成本。</w:t>
      </w:r>
    </w:p>
    <w:p>
      <w:pPr>
        <w:spacing w:line="480" w:lineRule="auto"/>
        <w:ind w:firstLine="420" w:firstLineChars="0"/>
        <w:rPr>
          <w:rFonts w:ascii="宋体" w:eastAsia="宋体" w:hAnsi="宋体" w:cs="宋体" w:hint="eastAsia"/>
          <w:sz w:val="24"/>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宋体" w:eastAsia="宋体" w:hAnsi="宋体" w:cs="宋体" w:hint="eastAsia"/>
          <w:sz w:val="24"/>
          <w:szCs w:val="24"/>
          <w:lang w:eastAsia="zh-CN"/>
        </w:rPr>
        <w:t>(二)库存管理</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库存管理是在确保供应链畅通的同时,避免资金过度囤积的关键。通过建立科学的库存管理系统，实现库存水平的最优化。这包括定期进行库存盘点，清理滞销品，确保库存与销售需求相匹配。与供应商建立紧密的合作关系，优化供应链，降低库存周转周期，以减少资金在库存中的占用，提高资金的利用效率。</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(三)应收账款管理</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应收账款管理旨在确保企业及时收回销售所产生的应收账款,以保持资金的流动性。建立严格的信用政策，对客户进行信用评估，以降低坏账风险。通过采用灵活的收款方式，促进客户及时付款，并及时催收逾期账款。同时，建立完善的应收账款监控系统，确保对逾期账款的及时发现和处理，以维护企业的资金安全。</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(四)流动资金周转率分析</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流动资金周转率是衡量企业资金运作效率的关键指标。通过定期对流动资金周转率进行分析，可以了解企业的资金运作状况。高效的流动资金周转率意味着企业能够迅速将投入的资金转化为营业收入提高资金的周转速度。通过分析周转率的波动情况，企业可以调整经营策略，优化资金运作，确保流动资金在业务中的最大化利用。</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(五)利用财务工具优化流动资金</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沿海货物运输行业的流动资金管理中,利用各类财务工具可以进一步优化企业的流动资金。这包括合理利用短期融资工具，如短期贷款和商业票据，以满足企业短期资金需求。此外，可以考虑采用供应链融资等创新性财务工具，以提高企业的融资效率和降低融资成本。</w:t>
      </w:r>
    </w:p>
    <w:p>
      <w:pPr>
        <w:spacing w:line="480" w:lineRule="auto"/>
        <w:ind w:firstLine="420" w:firstLineChars="0"/>
        <w:rPr>
          <w:rFonts w:ascii="宋体" w:eastAsia="宋体" w:hAnsi="宋体" w:cs="宋体" w:hint="eastAsia"/>
          <w:sz w:val="24"/>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宋体" w:eastAsia="宋体" w:hAnsi="宋体" w:cs="宋体" w:hint="eastAsia"/>
          <w:sz w:val="24"/>
          <w:szCs w:val="24"/>
          <w:lang w:eastAsia="zh-CN"/>
        </w:rPr>
        <w:t>(六)制定灵活的资金预测计划</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制定灵活的资金预测计划对于流动资金管理至关重要。通过对市场、沿海货物运输行业和经济状况的准确分析，可以预测未来资金的流动情况。在不同的经济环境下,调整资金预测计划,灵活应对市场的变化，确保企业能够在不同情况下保持流动性。</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(七)加强内部沟通和协同</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内部沟通和协同是流动资金管理成功的关键。确保财务、销售、采购和生产等部门之间有良好的沟通渠道,以便及时了解业务活动和资金需求。通过建立协同机制，可以更好地调配资源，优化供应链，提高现金回收速度，从而加强企业的资金管理效果。</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(八)定期进行绩效评估和优化</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流动资金管理是一个动态过程,因此需要定期进行绩效评估和优化。通过设立明确的评估指标，如现金回收周期、库存周转率等，对流动资金管理的效果进行监测。根据评估结果，及时调整流动资金管理策略，以适应不断变化的市场环境，保持流动资金管理的高效性和灵活性。</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沿海货物运输行业能够更全面、灵活地进行流动资金管理。这有助于确保企业在面对市场波动和经济变化时能够灵活应对,维持稳健的财务状况，为企业的可持续发展提供坚实的基础。</w:t>
      </w:r>
    </w:p>
    <w:p>
      <w:pPr>
        <w:pStyle w:val="Heading1"/>
        <w:spacing w:line="480" w:lineRule="auto"/>
        <w:rPr>
          <w:rFonts w:ascii="微软雅黑" w:eastAsia="微软雅黑" w:hAnsi="微软雅黑" w:cs="微软雅黑" w:hint="eastAsia"/>
          <w:color w:val="2E54A1" w:themeColor="accent1" w:themeShade="BF"/>
          <w:sz w:val="32"/>
          <w:szCs w:val="32"/>
          <w:lang w:eastAsia="zh-CN"/>
        </w:rPr>
      </w:pPr>
      <w:bookmarkStart w:id="7" w:name="_Toc11916"/>
      <w:r>
        <w:rPr>
          <w:rFonts w:ascii="微软雅黑" w:eastAsia="微软雅黑" w:hAnsi="微软雅黑" w:cs="微软雅黑" w:hint="eastAsia"/>
          <w:color w:val="2E54A1" w:themeColor="accent1" w:themeShade="BF"/>
          <w:sz w:val="32"/>
          <w:szCs w:val="32"/>
          <w:lang w:eastAsia="zh-CN"/>
        </w:rPr>
        <w:t>二、项目管理与团队协作</w:t>
      </w:r>
      <w:bookmarkEnd w:id="7"/>
    </w:p>
    <w:p>
      <w:pPr>
        <w:pStyle w:val="Heading2"/>
        <w:spacing w:line="480" w:lineRule="auto"/>
        <w:rPr>
          <w:rFonts w:ascii="宋体" w:eastAsia="宋体" w:hAnsi="宋体" w:cs="宋体" w:hint="eastAsia"/>
          <w:bCs w:val="0"/>
          <w:sz w:val="28"/>
          <w:szCs w:val="28"/>
          <w:lang w:eastAsia="zh-CN"/>
        </w:rPr>
      </w:pPr>
      <w:bookmarkStart w:id="8" w:name="_Toc28089"/>
      <w:r>
        <w:rPr>
          <w:rFonts w:ascii="宋体" w:eastAsia="宋体" w:hAnsi="宋体" w:cs="宋体" w:hint="eastAsia"/>
          <w:b/>
          <w:bCs w:val="0"/>
          <w:sz w:val="28"/>
          <w:szCs w:val="28"/>
          <w:lang w:eastAsia="zh-CN"/>
        </w:rPr>
        <w:t>(一)、项目管理方法论</w:t>
      </w:r>
      <w:bookmarkEnd w:id="8"/>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1.项目规划阶段：</w:t>
      </w:r>
    </w:p>
    <w:p>
      <w:pPr>
        <w:spacing w:line="480" w:lineRule="auto"/>
        <w:ind w:firstLine="420" w:firstLineChars="0"/>
        <w:rPr>
          <w:rFonts w:ascii="宋体" w:eastAsia="宋体" w:hAnsi="宋体" w:cs="宋体" w:hint="eastAsia"/>
          <w:sz w:val="24"/>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项目启动时,首先进行项目规划。这包括明确项目的目标、范围、时间表、预算以及相关的利益相关者。在这个阶段，可以采用传统的项目管理方法，如XXX框架，确定项目的基本参数，并建立项目团队和沟通机制。</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2.敏捷方法：</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项目执行过程中，特别是对于需求变化频繁或者需要快速交付的项目，可以采用敏捷方法。XX和XXX是两种广泛使用的敏捷方法，它们强调小团队的协作、快速迭代、灵活应对变化，并通过短周期的迭代实现产品或服务的逐步交付。</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3.融合式方法：</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有时候，项目可能需要结合多种方法，形成一种融合式的管理方式，以更好地适应项目的复杂性和特殊性。这种方法要求项目管理者具备跨足多个方法的知识和技能,根据实际情况选择和调整管理方法。</w:t>
      </w:r>
    </w:p>
    <w:p>
      <w:pPr>
        <w:pStyle w:val="Heading2"/>
        <w:spacing w:line="480" w:lineRule="auto"/>
        <w:rPr>
          <w:rFonts w:ascii="宋体" w:eastAsia="宋体" w:hAnsi="宋体" w:cs="宋体" w:hint="eastAsia"/>
          <w:bCs w:val="0"/>
          <w:sz w:val="28"/>
          <w:szCs w:val="28"/>
          <w:lang w:eastAsia="zh-CN"/>
        </w:rPr>
      </w:pPr>
      <w:bookmarkStart w:id="9" w:name="_Toc12197"/>
      <w:r>
        <w:rPr>
          <w:rFonts w:ascii="宋体" w:eastAsia="宋体" w:hAnsi="宋体" w:cs="宋体" w:hint="eastAsia"/>
          <w:b/>
          <w:bCs w:val="0"/>
          <w:sz w:val="28"/>
          <w:szCs w:val="28"/>
          <w:lang w:eastAsia="zh-CN"/>
        </w:rPr>
        <w:t>(二)、团队组建与角色分工</w:t>
      </w:r>
      <w:bookmarkEnd w:id="9"/>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项目启动的初期，我们进行了精心的团队组建，以确保项目的成功实施。首先，我们进行了团队成员的招募与选拔。通过仔细分析项目所需的技能和专业背景,我们选拔了一支具有多样化技能和经验的团队，以满足项目各个方面的需求。</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项目经理是整个团队的领导者，负责项目的整体规划、协调和控制。项目经理具有丰富的项目管理经验，能够有效地领导团队，推动项目朝着既定的目标前进。</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在团队中，我们还设立了项目协调员的角色。协调员负责协调团队内外的沟通，确保信息畅通，协助项目经理推动项目进展。</w:t>
      </w:r>
    </w:p>
    <w:p>
      <w:pPr>
        <w:spacing w:line="480" w:lineRule="auto"/>
        <w:ind w:firstLine="420" w:firstLineChars="0"/>
        <w:rPr>
          <w:rFonts w:ascii="宋体" w:eastAsia="宋体" w:hAnsi="宋体" w:cs="宋体" w:hint="eastAsia"/>
          <w:sz w:val="24"/>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技术专家是项目的中流砥柱,负责项目中的技术难题的解决和指导。他们在相关领域拥有丰富的经验和专业知识，为项目提供了坚实的技术支持。</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此外，我们组建了执行团队，包括各个职能领域的专业人员。这些人员在项目中扮演着具体执行任务的角色，他们的工作涉及到项目的具体实施、测试、优化等方面。</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为了更好地保证项目的顺利推进,我们明确了每个团队成员的角色分工。通过清晰的责任划分，每个成员都知道自己的任务和职责，从而提高了团队的协同效率。团队成员通过密切协作，充分发挥各自的专业优势，确保项目各个方面的工作都得到充分的关注和推动。</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总体而言，我们致力于构建一个高效协同的团队，每个成员都能在自己的领域发挥最大的潜力，共同为项目的成功实施贡献力量。通过明确的组织结构和角色分工，我们打造了一个团结合作、目标一致的项目团队。</w:t>
      </w:r>
    </w:p>
    <w:p>
      <w:pPr>
        <w:pStyle w:val="Heading2"/>
        <w:spacing w:line="480" w:lineRule="auto"/>
        <w:rPr>
          <w:rFonts w:ascii="宋体" w:eastAsia="宋体" w:hAnsi="宋体" w:cs="宋体" w:hint="eastAsia"/>
          <w:bCs w:val="0"/>
          <w:sz w:val="28"/>
          <w:szCs w:val="28"/>
          <w:lang w:eastAsia="zh-CN"/>
        </w:rPr>
      </w:pPr>
      <w:bookmarkStart w:id="10" w:name="_Toc15923"/>
      <w:r>
        <w:rPr>
          <w:rFonts w:ascii="宋体" w:eastAsia="宋体" w:hAnsi="宋体" w:cs="宋体" w:hint="eastAsia"/>
          <w:b/>
          <w:bCs w:val="0"/>
          <w:sz w:val="28"/>
          <w:szCs w:val="28"/>
          <w:lang w:eastAsia="zh-CN"/>
        </w:rPr>
        <w:t>(三)、团队沟通与协作机制</w:t>
      </w:r>
      <w:bookmarkEnd w:id="10"/>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在项目管理中，有效的团队沟通与协作是确保项目成功的关键。我们采用了一系列科学合理的机制来促进团队成员之间的沟通与协作，确保信息的畅通和工作的高效进行。</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首先，我们建立了定期团队会议的机制。这些会议定期召开，旨在让团队成员分享各自的进展、遇到的问题以及对项目的看法。通过会议,团队成员可以深入了解项目的整体情况,及时发现和解决问题，同时也促进了成员之间的交流与合作。</w:t>
      </w:r>
    </w:p>
    <w:p>
      <w:pPr>
        <w:spacing w:line="480" w:lineRule="auto"/>
        <w:ind w:firstLine="420" w:firstLineChars="0"/>
        <w:rPr>
          <w:rFonts w:ascii="宋体" w:eastAsia="宋体" w:hAnsi="宋体" w:cs="宋体" w:hint="eastAsia"/>
          <w:sz w:val="24"/>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为了方便跨部门协作，我们采用了在线协作平台。这个平台可以让团队成员随时随地共享文件、进行讨论，并实时更新项目的进展情况。通过在线协作平台,不同团队之间可以更加迅速地进行信息交流，减少沟通的时间成本，提高工作效率。</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在团队内部,我们建立了沟通渠道,包括即时通讯、电子邮件等。这些渠道确保了团队成员可以方便地进行一对一或小组之间的沟通，及时解决问题，保持信息的及时传递。</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除此之外，我们还注重团队文化的建设。鼓励开放、坦诚的沟通氛围，使每个团队成员都能够毫不保留地分享意见和建议。团队文化的融洽有助于建立更强大的协作机制，让团队成员在积极、向上的氛围中共同努力。</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通过这些团队沟通与协作机制的建立,我们确保了项目各个方面的信息流畅、协同高效。这不仅提升了团队的整体执行力，也为项目的成功实施翼定了坚实的基础。</w:t>
      </w:r>
    </w:p>
    <w:p>
      <w:pPr>
        <w:pStyle w:val="Heading2"/>
        <w:spacing w:line="480" w:lineRule="auto"/>
        <w:rPr>
          <w:rFonts w:ascii="宋体" w:eastAsia="宋体" w:hAnsi="宋体" w:cs="宋体" w:hint="eastAsia"/>
          <w:bCs w:val="0"/>
          <w:sz w:val="28"/>
          <w:szCs w:val="28"/>
          <w:lang w:eastAsia="zh-CN"/>
        </w:rPr>
      </w:pPr>
      <w:bookmarkStart w:id="11" w:name="_Toc23943"/>
      <w:r>
        <w:rPr>
          <w:rFonts w:ascii="宋体" w:eastAsia="宋体" w:hAnsi="宋体" w:cs="宋体" w:hint="eastAsia"/>
          <w:b/>
          <w:bCs w:val="0"/>
          <w:sz w:val="28"/>
          <w:szCs w:val="28"/>
          <w:lang w:eastAsia="zh-CN"/>
        </w:rPr>
        <w:t>(四)、项目风险管理与应对</w:t>
      </w:r>
      <w:bookmarkEnd w:id="11"/>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在项目管理中，风险是无法避免的不确定性因素，因此，有效的风险管理和应对措施对项目的成功至关重要。我们采用了一系列系统的方法来识别、评估和应对潜在的风险。</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风险识别：我们首先进行全面的风险识别工作。通过与团队成员、利益相关方和专业领域专家的充分沟通，我们确保覆盖项目各个方面的可能风险。这包括技术、市场、财务、人力资源等方面的潜在风险。我们注重从不同角度、多维度进行全面而系统的风险识别。</w:t>
      </w:r>
    </w:p>
    <w:p>
      <w:pPr>
        <w:spacing w:line="480" w:lineRule="auto"/>
        <w:ind w:firstLine="420" w:firstLineChars="0"/>
        <w:rPr>
          <w:rFonts w:ascii="宋体" w:eastAsia="宋体" w:hAnsi="宋体" w:cs="宋体" w:hint="eastAsia"/>
          <w:sz w:val="24"/>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风险评估：一且识别出潜在风险，我们采用科学的方法进行风险评估。这包括确定风险的可能性、影响程度，并综合考虑其在项目中的重要性。通过定量和定性的手段，我们对各项风险进行排序和分类，以便更好地分配资源和应对策略。</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风险规避：针对已经识别的高风险，我们制定规避策略。这可能涉及到调整项目计划、改变实施策略、寻找替代方案等。规避的目的是在风险出现之前采取措施，降低风险的发生概率或减轻其影响。</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风险缓解：针对难以规避的风险，我们制定缓解策略。这包括实施控制措施、建立备用计划、加强团队培训等。缓解策略的目的是降低风险的影响，尽可能减少潜在损失。</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风险转移：有些风险可能难以在项目内部解决，我们会考虑采用风险转移策略，如购买保险或与外部合作伙伴达成合作协议。这样可以将一部分风险转嫁给外部力量，降低项目自身的承担风险。</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风险监控与应对调整：风险管理是一个持续的过程。我们建立了定期的风险监控机制，随时关注项目中的各项风险。一旦风险发生概率或影响程度发生变化，我们迅速调整应对策略，确保项目始终处于可控状态。</w:t>
      </w:r>
    </w:p>
    <w:p>
      <w:pPr>
        <w:pStyle w:val="Heading1"/>
        <w:spacing w:line="480" w:lineRule="auto"/>
        <w:rPr>
          <w:rFonts w:ascii="微软雅黑" w:eastAsia="微软雅黑" w:hAnsi="微软雅黑" w:cs="微软雅黑" w:hint="eastAsia"/>
          <w:color w:val="2E54A1" w:themeColor="accent1" w:themeShade="BF"/>
          <w:sz w:val="32"/>
          <w:szCs w:val="32"/>
          <w:lang w:eastAsia="zh-CN"/>
        </w:rPr>
      </w:pPr>
      <w:bookmarkStart w:id="12" w:name="_Toc1732"/>
      <w:r>
        <w:rPr>
          <w:rFonts w:ascii="微软雅黑" w:eastAsia="微软雅黑" w:hAnsi="微软雅黑" w:cs="微软雅黑" w:hint="eastAsia"/>
          <w:color w:val="2E54A1" w:themeColor="accent1" w:themeShade="BF"/>
          <w:sz w:val="32"/>
          <w:szCs w:val="32"/>
          <w:lang w:eastAsia="zh-CN"/>
        </w:rPr>
        <w:t>三、制度建设与管理</w:t>
      </w:r>
      <w:bookmarkEnd w:id="12"/>
    </w:p>
    <w:p>
      <w:pPr>
        <w:pStyle w:val="Heading2"/>
        <w:spacing w:line="480" w:lineRule="auto"/>
        <w:rPr>
          <w:rFonts w:ascii="宋体" w:eastAsia="宋体" w:hAnsi="宋体" w:cs="宋体" w:hint="eastAsia"/>
          <w:bCs w:val="0"/>
          <w:sz w:val="28"/>
          <w:szCs w:val="28"/>
          <w:lang w:eastAsia="zh-CN"/>
        </w:rPr>
      </w:pPr>
      <w:bookmarkStart w:id="13" w:name="_Toc31950"/>
      <w:r>
        <w:rPr>
          <w:rFonts w:ascii="宋体" w:eastAsia="宋体" w:hAnsi="宋体" w:cs="宋体" w:hint="eastAsia"/>
          <w:b/>
          <w:bCs w:val="0"/>
          <w:sz w:val="28"/>
          <w:szCs w:val="28"/>
          <w:lang w:eastAsia="zh-CN"/>
        </w:rPr>
        <w:t>(一)、公司治理结构</w:t>
      </w:r>
      <w:bookmarkEnd w:id="13"/>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公司治理结构的建设中，我们坚持科学合理的原则，通过精心设计的治理框架，确保公司内部管理层次清晰，权责明晰。通过这一结构，我们在公司的各个层级建立了有效的沟通和反馈机制，使得信息能够迅速传递，决策能够得到及时的执行。高效透明的治理体系是公司健康发展的基石，我们追求创新，不断引入现代治理理念，确保公司在竞争激烈的市场环境中保持灵活性和应变能力。</w:t>
      </w:r>
    </w:p>
    <w:p>
      <w:pPr>
        <w:spacing w:line="480" w:lineRule="auto"/>
        <w:ind w:firstLine="420" w:firstLineChars="0"/>
        <w:rPr>
          <w:rFonts w:ascii="宋体" w:eastAsia="宋体" w:hAnsi="宋体" w:cs="宋体" w:hint="eastAsia"/>
          <w:sz w:val="24"/>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公司治理结构的科学建设也在于为公司各层级提供明确的指导和监督机制。通过规范的公司治理程序，我们确保公司各级管理层都能够明白公司的整体战略和目标,以及自身在这个体系中的具体职责。这不仅有助于激发每个管理层的积极性,更有助于实现整个公司的协同运作。同时，监督机制的建立让公司管理更具透明性，确保了决策的合法性和公正性。</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我们在公司治理方面不仅注重结构的完备，更注重其创新性。随着市场和公司自身的发展，我们不断优化治理机制，引入先进的管理理念和方法，以适应不断变化的环境。这种创新性的治理结构使公司能够更好地应对挑战，更灵活地调整战略，更高效地运营。</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整个公司治理结构建设的过程中,我们将一切努力都用于确保公司能够在不断变化的商业环境中保持竞争力。高效透明、科学创新的治理体系为公司提供了强大的支持，使得我们能够更好地实现公司战略目标，确保公司长期稳健发展。</w:t>
      </w:r>
    </w:p>
    <w:p>
      <w:pPr>
        <w:pStyle w:val="Heading2"/>
        <w:spacing w:line="480" w:lineRule="auto"/>
        <w:rPr>
          <w:rFonts w:ascii="宋体" w:eastAsia="宋体" w:hAnsi="宋体" w:cs="宋体" w:hint="eastAsia"/>
          <w:bCs w:val="0"/>
          <w:sz w:val="28"/>
          <w:szCs w:val="28"/>
          <w:lang w:eastAsia="zh-CN"/>
        </w:rPr>
      </w:pPr>
      <w:bookmarkStart w:id="14" w:name="_Toc28451"/>
      <w:r>
        <w:rPr>
          <w:rFonts w:ascii="宋体" w:eastAsia="宋体" w:hAnsi="宋体" w:cs="宋体" w:hint="eastAsia"/>
          <w:b/>
          <w:bCs w:val="0"/>
          <w:sz w:val="28"/>
          <w:szCs w:val="28"/>
          <w:lang w:eastAsia="zh-CN"/>
        </w:rPr>
        <w:t>(二)、内部控制与审计</w:t>
      </w:r>
      <w:bookmarkEnd w:id="14"/>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内部控制与审计在公司的持续稳健经营中扮演着至关重要的角色。我们不仅建立了严谨完善的内部控制制度，还通过科学合理的内部流程和规范来确保公司各项运营活动的合规性和规范性。内部控制的建立不仅仅是为了规遍管理，更是为了预防潜在的风险，保障公司业务的可持续性。通过明确的职责分工和审批流程，我们建立了一个严密的内部控制网络，以确保公司在日常运营中不受到内部瑕疵的影响。</w:t>
      </w:r>
    </w:p>
    <w:p>
      <w:pPr>
        <w:spacing w:line="480" w:lineRule="auto"/>
        <w:ind w:firstLine="420" w:firstLineChars="0"/>
        <w:rPr>
          <w:rFonts w:ascii="宋体" w:eastAsia="宋体" w:hAnsi="宋体" w:cs="宋体" w:hint="eastAsia"/>
          <w:sz w:val="24"/>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为了更加全面地了解和评估公司的内部运营情况,我们实施定期的内部审计。通过这一审计过程，我们对公司内部控制的有效性进行评估，及时发现潜在的问题并加以解决。内部审计不仅关注业务过程的执行，还关注财务信息的真实性和准确性。通过审计，我们确保公司财务报告的透明度和准确性,提高了决策的科学性和公司的整体运营效率。</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内部控制与审计的相互配合形成了一个相对完备的监督和检查体系。内部控制是日常运营的保障，而审计则是对内控有效性的验证和完善。通过这两者的有机结合，我们能够更全面地把握公司的运营状况，及时纠正存在的问题，降低内部操作风险，确保公司运营活动的正常有序进行。内部控制与审计的不断完善与提升将持续推动公司的持续稳健经营。</w:t>
      </w:r>
    </w:p>
    <w:p>
      <w:pPr>
        <w:pStyle w:val="Heading2"/>
        <w:spacing w:line="480" w:lineRule="auto"/>
        <w:rPr>
          <w:rFonts w:ascii="宋体" w:eastAsia="宋体" w:hAnsi="宋体" w:cs="宋体" w:hint="eastAsia"/>
          <w:bCs w:val="0"/>
          <w:sz w:val="28"/>
          <w:szCs w:val="28"/>
          <w:lang w:eastAsia="zh-CN"/>
        </w:rPr>
      </w:pPr>
      <w:bookmarkStart w:id="15" w:name="_Toc23991"/>
      <w:r>
        <w:rPr>
          <w:rFonts w:ascii="宋体" w:eastAsia="宋体" w:hAnsi="宋体" w:cs="宋体" w:hint="eastAsia"/>
          <w:b/>
          <w:bCs w:val="0"/>
          <w:sz w:val="28"/>
          <w:szCs w:val="28"/>
          <w:lang w:eastAsia="zh-CN"/>
        </w:rPr>
        <w:t>(三)、法律法规合规体系</w:t>
      </w:r>
      <w:bookmarkEnd w:id="15"/>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法律法规合规体系的建设方面,我们始终秉持着遵纪守法的原则，全面建设法律法规合规体系，以确保公司的各项经营活动在法律框架内合法合规进行。为了更好地达到这一目标，我们与专业的法律团队合作，进行全面的法律风险评估，以确保公司在运营过程中不会触碰到任何法律法规的红线。</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为了规范公司的经营活动,我们建立了一套严格的合规管理体系。该体系涵盖了公司所有的业务领域,确保在执行各项业务时能够遵循相关法规的要求，防范法律风险。通过合规管理体系，我们能够及时发现并纠正不符合法规的行为，确保公司经营的合法性和合规性。</w:t>
      </w:r>
    </w:p>
    <w:p>
      <w:pPr>
        <w:spacing w:line="480" w:lineRule="auto"/>
        <w:ind w:firstLine="420" w:firstLineChars="0"/>
        <w:rPr>
          <w:rFonts w:ascii="宋体" w:eastAsia="宋体" w:hAnsi="宋体" w:cs="宋体" w:hint="eastAsia"/>
          <w:sz w:val="24"/>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宋体" w:eastAsia="宋体" w:hAnsi="宋体" w:cs="宋体" w:hint="eastAsia"/>
          <w:sz w:val="24"/>
          <w:szCs w:val="24"/>
          <w:lang w:eastAsia="zh-CN"/>
        </w:rPr>
        <w:t>定期审查和更新法律法规合规体系是我们持续关注的一项工作。鉴于法规环境的不断变化,我们定期对公司的合规管理体系进行审查，确保其与最新的法规相符。同时,我们通过法律专业培训和信息发布，使公司内部的各级管理人员始终了解并遵循最新的法规要求。通过这一持续的法律法规合规体系建设,我们能够确保公司在竞争激烈的市场中始终保持经营的合法性、合规性和稳健性。</w:t>
      </w:r>
    </w:p>
    <w:p>
      <w:pPr>
        <w:pStyle w:val="Heading1"/>
        <w:spacing w:line="480" w:lineRule="auto"/>
        <w:rPr>
          <w:rFonts w:ascii="微软雅黑" w:eastAsia="微软雅黑" w:hAnsi="微软雅黑" w:cs="微软雅黑" w:hint="eastAsia"/>
          <w:color w:val="2E54A1" w:themeColor="accent1" w:themeShade="BF"/>
          <w:sz w:val="32"/>
          <w:szCs w:val="32"/>
          <w:lang w:eastAsia="zh-CN"/>
        </w:rPr>
      </w:pPr>
      <w:bookmarkStart w:id="16" w:name="_Toc14447"/>
      <w:r>
        <w:rPr>
          <w:rFonts w:ascii="微软雅黑" w:eastAsia="微软雅黑" w:hAnsi="微软雅黑" w:cs="微软雅黑" w:hint="eastAsia"/>
          <w:color w:val="2E54A1" w:themeColor="accent1" w:themeShade="BF"/>
          <w:sz w:val="32"/>
          <w:szCs w:val="32"/>
          <w:lang w:eastAsia="zh-CN"/>
        </w:rPr>
        <w:t>四、资金筹措与投资分析</w:t>
      </w:r>
      <w:bookmarkEnd w:id="16"/>
    </w:p>
    <w:p>
      <w:pPr>
        <w:pStyle w:val="Heading2"/>
        <w:spacing w:line="480" w:lineRule="auto"/>
        <w:rPr>
          <w:rFonts w:ascii="宋体" w:eastAsia="宋体" w:hAnsi="宋体" w:cs="宋体" w:hint="eastAsia"/>
          <w:bCs w:val="0"/>
          <w:sz w:val="28"/>
          <w:szCs w:val="28"/>
          <w:lang w:eastAsia="zh-CN"/>
        </w:rPr>
      </w:pPr>
      <w:bookmarkStart w:id="17" w:name="_Toc3932"/>
      <w:r>
        <w:rPr>
          <w:rFonts w:ascii="宋体" w:eastAsia="宋体" w:hAnsi="宋体" w:cs="宋体" w:hint="eastAsia"/>
          <w:b/>
          <w:bCs w:val="0"/>
          <w:sz w:val="28"/>
          <w:szCs w:val="28"/>
          <w:lang w:eastAsia="zh-CN"/>
        </w:rPr>
        <w:t>(一)、资金需求与筹措计划</w:t>
      </w:r>
      <w:bookmarkEnd w:id="17"/>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沿海货物运输行业项目启动之初,充足的资金是确保项目成功实施的关键要素。首先，我们进行了详细的资金需求分析，考虑到项目的各个阶段，包括研发、市场推广、运营等方面的费用。通过制定合理的预算，明确了项目整体的资金需求。为了筹措这些资金，我们制定了多元化的筹资计划。</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资金的筹措途径主要包括银行贷款、股权融资以及可能的政府补助。通过与多家银行洽谈贷款条件，我们力求获得较低利率和灵活的还款期限,以确保项目在财务方面的可持续性。同时,开展股权融资，吸引潜在投资者，为项目引入更多的资金。此外，积极了解相关的政府支持政策，争取符合条件的项目获得更多的补助和支持。</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在资金的使用方面，我们将资金重点用于项目的关键节点，如研发和市场推广阶段。通过科学合理的资金分配，确保了项目在关键领域的竞争力，提高了项目整体的成功概率。</w:t>
      </w:r>
    </w:p>
    <w:p>
      <w:pPr>
        <w:pStyle w:val="Heading2"/>
        <w:spacing w:line="480" w:lineRule="auto"/>
        <w:rPr>
          <w:rFonts w:ascii="宋体" w:eastAsia="宋体" w:hAnsi="宋体" w:cs="宋体" w:hint="eastAsia"/>
          <w:bCs w:val="0"/>
          <w:sz w:val="28"/>
          <w:szCs w:val="28"/>
          <w:lang w:eastAsia="zh-CN"/>
        </w:rPr>
      </w:pPr>
      <w:bookmarkStart w:id="18" w:name="_Toc1545"/>
      <w:r>
        <w:rPr>
          <w:rFonts w:ascii="宋体" w:eastAsia="宋体" w:hAnsi="宋体" w:cs="宋体" w:hint="eastAsia"/>
          <w:b/>
          <w:bCs w:val="0"/>
          <w:sz w:val="28"/>
          <w:szCs w:val="28"/>
          <w:lang w:eastAsia="zh-CN"/>
        </w:rPr>
        <w:t>(二)、投资分析与回报预期</w:t>
      </w:r>
      <w:bookmarkEnd w:id="18"/>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我们进行了全面的投资分析，考虑了项目的风险与回报。首先，通过对沿海货物运输行业趋势和市场规模的深入研究,我们对项目的市场地位和前景进行了合理的估算。同时，对竞争对手进行深入分析，识别了项目可能面临的潜在风险。</w:t>
      </w:r>
    </w:p>
    <w:p>
      <w:pPr>
        <w:spacing w:line="480" w:lineRule="auto"/>
        <w:ind w:firstLine="420" w:firstLineChars="0"/>
        <w:rPr>
          <w:rFonts w:ascii="宋体" w:eastAsia="宋体" w:hAnsi="宋体" w:cs="宋体" w:hint="eastAsia"/>
          <w:sz w:val="24"/>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在资金投入方面，我们对各个阶段的成本进行了详细的估算，包括初期投资、运营费用和市场推广费用等。通过制定详细的财务计划，我们清晰地了解了项目在不同时间段内的资金流动情况。</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在回报预期方面，我们通过制定合理的商业计划和财务模型，对项目的盈利能力进行了全面的评估。考虑到市场的不确定性，我们在回报预期中进行了风险分析,确保投资者能够清晰了解潜在的风险和回报比。</w:t>
      </w:r>
    </w:p>
    <w:p>
      <w:pPr>
        <w:pStyle w:val="Heading1"/>
        <w:spacing w:line="480" w:lineRule="auto"/>
        <w:rPr>
          <w:rFonts w:ascii="微软雅黑" w:eastAsia="微软雅黑" w:hAnsi="微软雅黑" w:cs="微软雅黑" w:hint="eastAsia"/>
          <w:color w:val="2E54A1" w:themeColor="accent1" w:themeShade="BF"/>
          <w:sz w:val="32"/>
          <w:szCs w:val="32"/>
          <w:lang w:eastAsia="zh-CN"/>
        </w:rPr>
      </w:pPr>
      <w:bookmarkStart w:id="19" w:name="_Toc23960"/>
      <w:r>
        <w:rPr>
          <w:rFonts w:ascii="微软雅黑" w:eastAsia="微软雅黑" w:hAnsi="微软雅黑" w:cs="微软雅黑" w:hint="eastAsia"/>
          <w:color w:val="2E54A1" w:themeColor="accent1" w:themeShade="BF"/>
          <w:sz w:val="32"/>
          <w:szCs w:val="32"/>
          <w:lang w:eastAsia="zh-CN"/>
        </w:rPr>
        <w:t>五、可持续发展与绿色经营</w:t>
      </w:r>
      <w:bookmarkEnd w:id="19"/>
    </w:p>
    <w:p>
      <w:pPr>
        <w:pStyle w:val="Heading2"/>
        <w:spacing w:line="480" w:lineRule="auto"/>
        <w:rPr>
          <w:rFonts w:ascii="宋体" w:eastAsia="宋体" w:hAnsi="宋体" w:cs="宋体" w:hint="eastAsia"/>
          <w:bCs w:val="0"/>
          <w:sz w:val="28"/>
          <w:szCs w:val="28"/>
          <w:lang w:eastAsia="zh-CN"/>
        </w:rPr>
      </w:pPr>
      <w:bookmarkStart w:id="20" w:name="_Toc23123"/>
      <w:r>
        <w:rPr>
          <w:rFonts w:ascii="宋体" w:eastAsia="宋体" w:hAnsi="宋体" w:cs="宋体" w:hint="eastAsia"/>
          <w:b/>
          <w:bCs w:val="0"/>
          <w:sz w:val="28"/>
          <w:szCs w:val="28"/>
          <w:lang w:eastAsia="zh-CN"/>
        </w:rPr>
        <w:t>(一)、可持续发展战略与目标</w:t>
      </w:r>
      <w:bookmarkEnd w:id="20"/>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一、可持续发展战略</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可持续发展战略是指社会、经济、环境三者协调、可持续发展的战略。这种战略旨在确保当代人的发展不损害未来世代的发展权利，同时强调对有限资源的合理分配和有效利用，以实现长期的、全面的社会发展。</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二、可持续发展战略的核心要素</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1.经济发展：在可持续发展战略中，经济发展不再是以牺牲环境为代价的，而是与环境保护相互促进。这种发展模式强调提高资源利用效率，减少环境污染，实现绿色、低碳的经济发展。</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2.环境保护：环境保护是可持续发展战略的重要组成部分。这包括采取措施减少环境污染，保护生物多样性，降低温室气体排放，以及提高应对环境变化的能力等。</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3.社会进步：可持续发展战略强调社会公平和公正，以及社会福利的普遍提高。这包括提供公平的教育和就业机会，改善医疗卫生条件，以及促进社会和谐稳定等。</w:t>
      </w:r>
    </w:p>
    <w:p>
      <w:pPr>
        <w:spacing w:line="480" w:lineRule="auto"/>
        <w:ind w:firstLine="420" w:firstLineChars="0"/>
        <w:rPr>
          <w:rFonts w:ascii="宋体" w:eastAsia="宋体" w:hAnsi="宋体" w:cs="宋体" w:hint="eastAsia"/>
          <w:sz w:val="24"/>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宋体" w:eastAsia="宋体" w:hAnsi="宋体" w:cs="宋体" w:hint="eastAsia"/>
          <w:sz w:val="24"/>
          <w:szCs w:val="24"/>
          <w:lang w:eastAsia="zh-CN"/>
        </w:rPr>
        <w:t>三、可持续发展战略的目标</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1.实现资源的高效利用：通过提高资源利用效率，减少浪费，实现资源的可持续利用。</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2.保护和恢复生态环境：采取措施保护生态环境，减少污染，恢复已经受损的环境。</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3.促进绿色经济发展：推动绿色经济的发展，鼓励企业采取环保措施，开发生态产品和服务。</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4.提升社会福祉：通过提供公平的教育和就业机会，改善医疗卫生条件，促进社会和谐稳定。</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5.建立合作机制：在国际层面，建立合作机制以应对全球性环境问题；在国内层面，各级政府和企业需要建立合作关系以实现可持续发展目标。</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6.应对气候变化：采取措施应对气候变化，包括减少温室气体排放，提高应对气候变化的能力等。</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7.推动创新和转型：鼓励科技创新和制度创新，推动经济社会的绿色转型。</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8.加强政策引导：通过制定和执行相关政策，引导企业和个人采取有利于可持续发展的行为。</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9.提高公众意识：加强环保宣传教育，提高公众的环保意识和参与度。</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10.构建全球伙伴关系：加强与其他国家和地区在环保和可持续发展方面的合作与交流，共同应对全球环境问题。</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四、实施可持续发展战略的挑战与机遇</w:t>
      </w:r>
    </w:p>
    <w:p>
      <w:pPr>
        <w:spacing w:line="480" w:lineRule="auto"/>
        <w:ind w:firstLine="420" w:firstLineChars="0"/>
        <w:rPr>
          <w:rFonts w:ascii="宋体" w:eastAsia="宋体" w:hAnsi="宋体" w:cs="宋体" w:hint="eastAsia"/>
          <w:sz w:val="24"/>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宋体" w:eastAsia="宋体" w:hAnsi="宋体" w:cs="宋体" w:hint="eastAsia"/>
          <w:sz w:val="24"/>
          <w:szCs w:val="24"/>
          <w:lang w:eastAsia="zh-CN"/>
        </w:rPr>
        <w:t>1.挑战：实施可持续发展战略面临着诸多挑战，如产业结构调整的困难、环保技术的制约、资源短缺的压力等。此外，不同地区和不同群体之间的环保意识和行动也存在差异，需要加强协调和合作。</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2.机遇：实施可持续发展战略也带来了许多机遇。随着环保技术和绿色经济的发展，新的就业机会和商业模式将不断涌现。同时，可持续发展的生活方式和消费模式也将促进社会公平和公正,提高人民的生活质量。</w:t>
      </w:r>
    </w:p>
    <w:p>
      <w:pPr>
        <w:pStyle w:val="Heading2"/>
        <w:spacing w:line="480" w:lineRule="auto"/>
        <w:rPr>
          <w:rFonts w:ascii="宋体" w:eastAsia="宋体" w:hAnsi="宋体" w:cs="宋体" w:hint="eastAsia"/>
          <w:bCs w:val="0"/>
          <w:sz w:val="28"/>
          <w:szCs w:val="28"/>
          <w:lang w:eastAsia="zh-CN"/>
        </w:rPr>
      </w:pPr>
      <w:bookmarkStart w:id="21" w:name="_Toc30552"/>
      <w:r>
        <w:rPr>
          <w:rFonts w:ascii="宋体" w:eastAsia="宋体" w:hAnsi="宋体" w:cs="宋体" w:hint="eastAsia"/>
          <w:b/>
          <w:bCs w:val="0"/>
          <w:sz w:val="28"/>
          <w:szCs w:val="28"/>
          <w:lang w:eastAsia="zh-CN"/>
        </w:rPr>
        <w:t>(二)、环保政策与实践</w:t>
      </w:r>
      <w:bookmarkEnd w:id="21"/>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一、环保政策概述</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环保政策是指政府为了保护自然环境、防止环境污染、维护生态平衡而制定的一系列法规和措施。环保政策不仅关注人类的生产和生活活动对于环境的影响，也重视自然界对于人类生存和发展的意义。</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二、环保政策的主要内容</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1.环境保护法规：政府制定了一系列环境保护法规，对环境行为进行规范和约束。例如《中华人民共和国环境保护法》、《中华人民共和国水污染防治法》等。</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2.污染物排放标准：为了控制环境污染，政府制定了各种污染物排放标准。企业必须符合相应的排放标准才能进行生产和经营活动。</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3.生态环境保护政策：政府采取了一系列生态环境保护政策，以维护生态平衡和提高环境质量。例如生态补偿机制、绿色GDP核算等。</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4.环境经济政策：政府通过财政、税收等手段调节企业和个人的环境行为。例如环境税、绿色金融等。</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5.环境管理制度：政府建立了环境影响评价、排污许可、环境监测等环境管理制度，以确保环境保护政策的执行和监督。</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三、环保实践的主要措施</w:t>
      </w:r>
    </w:p>
    <w:p>
      <w:pPr>
        <w:spacing w:line="480" w:lineRule="auto"/>
        <w:ind w:firstLine="420" w:firstLineChars="0"/>
        <w:rPr>
          <w:rFonts w:ascii="宋体" w:eastAsia="宋体" w:hAnsi="宋体" w:cs="宋体" w:hint="eastAsia"/>
          <w:sz w:val="24"/>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1.推广清洁能源：加大对清洁能源的扶持力度，鼓励使用太阳能、风能等可再生能源，减少对化石能源的依赖。</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2.实施节能减排：通过技术手段提高能源利用效率，减少污染物排放，实现节能减排的目标。</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3.建设生态工程：实施生态保护工程，修复生态环境，提高生态系统的稳定性。</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4.加强环境监测：建立环境监测体系，对环境质量进行实时监测和评估，为采取相应的环保措施提供科学依据。</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5.提高公众意识：加强环保宣传教育，提高公众的环保意识和参与度，引导公众形成良好的环境行为。</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6.开展国际合作：积极参与全球环境治理，与其他国家和地区共同研究和应对环境问题，推动全球环保事业的发展。</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7.推动企业创新：鼓励企业进行环保技术创新，提高企业的环保水平和竞争力。对于积极采取环保措施的企业给予政策和资金支持。</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8.强化法规执行：加大对环境违法行为的处罚力度，严格执法，确保各项环保政策和法规得到有效执行。</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9.建立奖惩机制：对于环保表现优秀的企业和个人给予奖励和表彰，同时对环境违法行为进行惩罚，形成正确的社会价值导向。</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10.促进绿色经济发展：推动绿色经济的发展，鼓励企业开展环保产业和循环经济项目，促进经济结构的绿色转型。</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四、环保政策与实践的意义</w:t>
      </w:r>
    </w:p>
    <w:p>
      <w:pPr>
        <w:spacing w:line="480" w:lineRule="auto"/>
        <w:ind w:firstLine="420" w:firstLineChars="0"/>
        <w:rPr>
          <w:rFonts w:ascii="宋体" w:eastAsia="宋体" w:hAnsi="宋体" w:cs="宋体" w:hint="eastAsia"/>
          <w:sz w:val="24"/>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环保政策与实践对于保护自然环境、维护生态平衡、促进可持续发展具有重要意义。通过制定和执行环保政策，可以有效地减少人类活动对环境的负面影响，保护生态系统的稳定性和生物多样性。同时，环保政策还可以促进经济、社会和环境的协调发展，提高人民的生活质量和幸福感。</w:t>
      </w:r>
    </w:p>
    <w:p>
      <w:pPr>
        <w:pStyle w:val="Heading2"/>
        <w:spacing w:line="480" w:lineRule="auto"/>
        <w:rPr>
          <w:rFonts w:ascii="宋体" w:eastAsia="宋体" w:hAnsi="宋体" w:cs="宋体" w:hint="eastAsia"/>
          <w:bCs w:val="0"/>
          <w:sz w:val="28"/>
          <w:szCs w:val="28"/>
          <w:lang w:eastAsia="zh-CN"/>
        </w:rPr>
      </w:pPr>
      <w:bookmarkStart w:id="22" w:name="_Toc20055"/>
      <w:r>
        <w:rPr>
          <w:rFonts w:ascii="宋体" w:eastAsia="宋体" w:hAnsi="宋体" w:cs="宋体" w:hint="eastAsia"/>
          <w:b/>
          <w:bCs w:val="0"/>
          <w:sz w:val="28"/>
          <w:szCs w:val="28"/>
          <w:lang w:eastAsia="zh-CN"/>
        </w:rPr>
        <w:t>(三)、资源利用与循环经济</w:t>
      </w:r>
      <w:bookmarkEnd w:id="22"/>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一、资源利用与循环经济</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资源利用是指对自然资源的开发、加工、转化和利用过程，而循环经济则是一种以资源的高效利用和循环利用为核心，以“减量化、再利用、资源化”为原则，以低消耗、低排放、高效率为基本特征的经济发展模式。循环经济侧重于对既有资源的循环利用，减少废弃物的产生，同时提高资源的利用效率，从而实现可持续发展。</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二、资源利用与循环经济的主要内容</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1.资源的有效利用：通过技术进步和科学管理，提高资源的利用效率，减少资源的浪费。</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2.废弃物的减量化：在生产和消费过程中，尽可能减少废弃物的产生，避免浪费。</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3.废弃物的回收和再利用：通过回收和再利用废弃物，将其转化为新的资源，实现资源的循环利用。</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4.环保产业的发展：鼓励和支持环保产业的发展，推动环保技术的创新和应用。</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5.政策引导和监管：通过制定相关政策和加强监管，引导企业和个人采取有利于资源高效利用和循环利用的行为。</w:t>
      </w:r>
    </w:p>
    <w:p>
      <w:pPr>
        <w:spacing w:line="480" w:lineRule="auto"/>
        <w:ind w:firstLine="420" w:firstLineChars="0"/>
        <w:rPr>
          <w:rFonts w:ascii="宋体" w:eastAsia="宋体" w:hAnsi="宋体" w:cs="宋体" w:hint="eastAsia"/>
          <w:sz w:val="24"/>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宋体" w:eastAsia="宋体" w:hAnsi="宋体" w:cs="宋体" w:hint="eastAsia"/>
          <w:sz w:val="24"/>
          <w:szCs w:val="24"/>
          <w:lang w:eastAsia="zh-CN"/>
        </w:rPr>
        <w:t>三、资源利用与循环经济的实践案例</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1.废弃物资源化：例如，农作物秸秆可以作为饲料、燃料等进行再利用；生活垃圾可以通过分类回收、资源化处理等方式转化为新的资源。</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2.产业协同：不同产业之间可以通过合作实现资源的共享和优化配置，提高资源利用效率。例如，工业余热可以用于供暖、农业灌溉等。</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3.绿色消费：推广绿色消费理念，鼓励消费者购买环保产品和使用可再生能源等。</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4.生态修复：通过生态修复技术，改善生态环境，提高生态系统的稳定性和可持续性。例如,通过植被恢复、湿地保护等方式改善自然环境。</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5.技术创新：推动环保技术创新，提高资源的开发利用水平。例如，发展太阳能、风能等可再生能源技术。</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6.政策引导：制定有利于资源高效利用和循环利用的政策，鼓励企业和个人参与循环经济发展。例如，对环保产业给予税收优惠、财政补贴等支持政策。</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7.国际合作：加强与其他国家和地区在环保和资源利用方面的合作与交流，共同应对全球环境问题。例如，参与全球环境治理合作项目等。</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四、资源利用与循环经济的意义</w:t>
      </w:r>
    </w:p>
    <w:p>
      <w:pPr>
        <w:spacing w:line="480" w:lineRule="auto"/>
        <w:ind w:firstLine="420" w:firstLineChars="0"/>
        <w:rPr>
          <w:rFonts w:ascii="宋体" w:eastAsia="宋体" w:hAnsi="宋体" w:cs="宋体" w:hint="eastAsia"/>
          <w:sz w:val="24"/>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宋体" w:eastAsia="宋体" w:hAnsi="宋体" w:cs="宋体" w:hint="eastAsia"/>
          <w:sz w:val="24"/>
          <w:szCs w:val="24"/>
          <w:lang w:eastAsia="zh-CN"/>
        </w:rPr>
        <w:t>资源利用与循环经济的发展对于实现可持续发展具有重要的意义。首先，循环经济可以减少资源的浪费和环境的污染，提高经济发展的质量；其次，循环经济可以促进产业升级和转型，推动绿色经济的发展；再次，循环经济可以提供更多的就业机会和经济增长点，促进社会的稳定和繁荣；最后，循环经济可以促进全球环保合作，推动全球可持续发展进程。</w:t>
      </w:r>
    </w:p>
    <w:p>
      <w:pPr>
        <w:pStyle w:val="Heading2"/>
        <w:spacing w:line="480" w:lineRule="auto"/>
        <w:rPr>
          <w:rFonts w:ascii="宋体" w:eastAsia="宋体" w:hAnsi="宋体" w:cs="宋体" w:hint="eastAsia"/>
          <w:bCs w:val="0"/>
          <w:sz w:val="28"/>
          <w:szCs w:val="28"/>
          <w:lang w:eastAsia="zh-CN"/>
        </w:rPr>
      </w:pPr>
      <w:bookmarkStart w:id="23" w:name="_Toc18466"/>
      <w:r>
        <w:rPr>
          <w:rFonts w:ascii="宋体" w:eastAsia="宋体" w:hAnsi="宋体" w:cs="宋体" w:hint="eastAsia"/>
          <w:b/>
          <w:bCs w:val="0"/>
          <w:sz w:val="28"/>
          <w:szCs w:val="28"/>
          <w:lang w:eastAsia="zh-CN"/>
        </w:rPr>
        <w:t>(四)、碳中和与生态足迹</w:t>
      </w:r>
      <w:bookmarkEnd w:id="23"/>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一、碳中和概述</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碳中和定义</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碳中和是指通过减少温室气体排放并采取补偿措施,将排放的碳释放量与吸收或降解的碳量达到平衡,从而减少对气候变化的负面影响。</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碳中和目标</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碳中和目标是指组织或国家设定的减少温室气体排放并实现碳中和的具体目标,如减少特定比例的排放量或在特定时间点实现碳中和。</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二、碳中和策略与措施</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温室气体排放减少</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能源效率改进：采取节能措施和使用高效能源设备，减少能源消耗和碳排放。</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可再生能源使用：增加可再生能源的比例，如太阳能、风能和水能等，减少对化石燃料的依赖。</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产业结构调整：促进低碳产业的发展，减少高碳产业的排放。</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碳补偿措施</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植树造林：通过植树造林项目，吸收大气中的二氧化碳，实现碳的固定和储存。</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碳捕捉与储存技术：采用碳捕捉与储存(CCS)技术，将工业排放的二氧化碳捕捉并储存于地下或其他介质中，防止其进入大气。</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碳交易与碳市场：参与碳交易市场，购买和销售碳配额，实现碳排放的补偿和减少。</w:t>
      </w:r>
    </w:p>
    <w:p>
      <w:pPr>
        <w:spacing w:line="480" w:lineRule="auto"/>
        <w:ind w:firstLine="420" w:firstLineChars="0"/>
        <w:rPr>
          <w:rFonts w:ascii="宋体" w:eastAsia="宋体" w:hAnsi="宋体" w:cs="宋体" w:hint="eastAsia"/>
          <w:sz w:val="24"/>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宋体" w:eastAsia="宋体" w:hAnsi="宋体" w:cs="宋体" w:hint="eastAsia"/>
          <w:sz w:val="24"/>
          <w:szCs w:val="24"/>
          <w:lang w:eastAsia="zh-CN"/>
        </w:rPr>
        <w:t>三、生态足迹概述</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生态足迹定义</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生态足迹是衡量个体、组织或国家对生态系统的资源消耗和环境影响的指标，包括土地、水、能源等资源的使用和碳排放等。</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生态足迹计算</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资源消耗计算：根据资源使用量和消耗方式，计算各种资源的生态足迹，包括土地、水、能源等。</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碳排放计算：根据温室气体排放量，特别是二氧化碳排放量，计算碳排放的生态足迹。</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四、生态足迹管理与减少</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资源管理与效率提升</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资源循环利用：推行循环经济模式，减少资源的浪费和消耗，提高资源的再利用率。</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节约用水：采取节水措施，如水资源回收利用、节水设备安装和水资源管理等，减少对水资源的需求。</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绿色能源使用：增加可再生能源的比例,减少对化石燃料的依赖，降低能源消耗和生态足迹。</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碳排放减少</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低碳交通：鼓励使用公共交通工具、推广电动车辆，并减少个人汽车使用，从而降低交通领域的碳排放。</w:t>
      </w:r>
    </w:p>
    <w:p>
      <w:pPr>
        <w:spacing w:line="480" w:lineRule="auto"/>
        <w:ind w:firstLine="420" w:firstLineChars="0"/>
        <w:rPr>
          <w:rFonts w:ascii="宋体" w:eastAsia="宋体" w:hAnsi="宋体" w:cs="宋体" w:hint="eastAsia"/>
          <w:sz w:val="24"/>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宋体" w:eastAsia="宋体" w:hAnsi="宋体" w:cs="宋体" w:hint="eastAsia"/>
          <w:sz w:val="24"/>
          <w:szCs w:val="24"/>
          <w:lang w:eastAsia="zh-CN"/>
        </w:rPr>
        <w:t>能源效率改进：采取节能措施,提高能源利用效率,减少碳排放。碳中和措施：采取碳中和策略和措施,实现碳排放的减少和补偿。</w:t>
      </w:r>
    </w:p>
    <w:p>
      <w:pPr>
        <w:pStyle w:val="Heading1"/>
        <w:spacing w:line="480" w:lineRule="auto"/>
        <w:rPr>
          <w:rFonts w:ascii="微软雅黑" w:eastAsia="微软雅黑" w:hAnsi="微软雅黑" w:cs="微软雅黑" w:hint="eastAsia"/>
          <w:color w:val="2E54A1" w:themeColor="accent1" w:themeShade="BF"/>
          <w:sz w:val="32"/>
          <w:szCs w:val="32"/>
          <w:lang w:eastAsia="zh-CN"/>
        </w:rPr>
      </w:pPr>
      <w:bookmarkStart w:id="24" w:name="_Toc924"/>
      <w:r>
        <w:rPr>
          <w:rFonts w:ascii="微软雅黑" w:eastAsia="微软雅黑" w:hAnsi="微软雅黑" w:cs="微软雅黑" w:hint="eastAsia"/>
          <w:color w:val="2E54A1" w:themeColor="accent1" w:themeShade="BF"/>
          <w:sz w:val="32"/>
          <w:szCs w:val="32"/>
          <w:lang w:eastAsia="zh-CN"/>
        </w:rPr>
        <w:t>六、沿海货物运输行业市场营销分析</w:t>
      </w:r>
      <w:bookmarkEnd w:id="24"/>
    </w:p>
    <w:p>
      <w:pPr>
        <w:pStyle w:val="Heading2"/>
        <w:spacing w:line="480" w:lineRule="auto"/>
        <w:rPr>
          <w:rFonts w:ascii="宋体" w:eastAsia="宋体" w:hAnsi="宋体" w:cs="宋体" w:hint="eastAsia"/>
          <w:bCs w:val="0"/>
          <w:sz w:val="28"/>
          <w:szCs w:val="28"/>
          <w:lang w:eastAsia="zh-CN"/>
        </w:rPr>
      </w:pPr>
      <w:bookmarkStart w:id="25" w:name="_Toc10001"/>
      <w:r>
        <w:rPr>
          <w:rFonts w:ascii="宋体" w:eastAsia="宋体" w:hAnsi="宋体" w:cs="宋体" w:hint="eastAsia"/>
          <w:b/>
          <w:bCs w:val="0"/>
          <w:sz w:val="28"/>
          <w:szCs w:val="28"/>
          <w:lang w:eastAsia="zh-CN"/>
        </w:rPr>
        <w:t>(一)、沿海货物运输行业市场营销总体思路</w:t>
      </w:r>
      <w:bookmarkEnd w:id="25"/>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在制定沿海货物运输行业市场营销总体思路时，我们将以全面、差异化和创新性为原则,以确保能够在竞争激烈的市场中脱颖而出。下面是我们的市场营销总体思路：</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1.精准定位目标市场</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首先，我们将深入分析市场，明确定位目标市场。通过细致入微的市场调研，了解潜在客户的需求、偏好和行为，确保我们的产品或服务能够精准地满足目标市场的需求。</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2.制定差异化营销策略</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在竞争激烈的市场中，差异化是成功的关键。我们将制定独特的营销策略，突显产品或服务的独特卖点，并通过品牌建设、创意广告等手段，塑造与竞争对手明显不同的品牌形象。</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3.多渠道宣传推广</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为确保产品或服务的广泛曝光,我们将采用多渠道宣传推广策略。结合线上和线下渠道，包括社交媒体、电视广告、展会参与等，以全方位、多层次地覆盖目标受众，提高品牌知名度。</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4.强化数字化营销</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数字化是现代市场营销的重要组成部分。我们将加强在数字平台上的营销活动，包括搜索引擎优化(SEO)、社交媒体营销、电子邮件营销等，以便更好地与目标受众互动，并实时了解市场反馈。</w:t>
      </w:r>
      <w:r>
        <w:rPr>
          <w:rFonts w:ascii="宋体" w:eastAsia="宋体" w:hAnsi="宋体" w:cs="宋体" w:hint="eastAsia"/>
          <w:sz w:val="24"/>
        </w:rPr>
        <w:br/>
      </w:r>
      <w:r>
        <w:rPr>
          <w:rFonts w:ascii="宋体" w:eastAsia="宋体" w:hAnsi="宋体" w:cs="宋体" w:hint="eastAsia"/>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2" w:history="1">
        <w:r>
          <w:rPr>
            <w:rFonts w:ascii="SimSun" w:eastAsia="SimSun" w:hAnsi="SimSun" w:cs="SimSun"/>
            <w:b/>
            <w:bCs/>
            <w:color w:val="0000EE"/>
            <w:kern w:val="0"/>
            <w:sz w:val="30"/>
            <w:szCs w:val="30"/>
            <w:u w:val="single" w:color="0000EE"/>
          </w:rPr>
          <w:t>https://d.book118.com/835323120012011042</w:t>
        </w:r>
      </w:hyperlink>
    </w:p>
    <w:p>
      <w:pPr>
        <w:spacing w:line="480" w:lineRule="auto"/>
        <w:ind w:firstLine="420" w:firstLineChars="0"/>
        <w:rPr>
          <w:rFonts w:ascii="宋体" w:eastAsia="宋体" w:hAnsi="宋体" w:cs="宋体" w:hint="eastAsia"/>
          <w:sz w:val="24"/>
        </w:rPr>
      </w:pPr>
    </w:p>
    <w:sectPr>
      <w:headerReference w:type="default" r:id="rId63"/>
      <w:footerReference w:type="default" r:id="rId64"/>
      <w:type w:val="nextPage"/>
      <w:pgSz w:w="11906" w:h="16838"/>
      <w:pgMar w:top="1440" w:right="1800" w:bottom="1440" w:left="1800" w:header="851" w:footer="992" w:gutter="0"/>
      <w:pgNumType w:start="3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2775B3"/>
    <w:rsid w:val="02623C3C"/>
    <w:rsid w:val="03734037"/>
    <w:rsid w:val="13614867"/>
    <w:rsid w:val="3DAC44EE"/>
    <w:rsid w:val="453746B4"/>
    <w:rsid w:val="482775B3"/>
    <w:rsid w:val="49C53810"/>
    <w:rsid w:val="4E155AC7"/>
    <w:rsid w:val="50930768"/>
    <w:rsid w:val="62A91464"/>
    <w:rsid w:val="692E1C42"/>
    <w:rsid w:val="710F4972"/>
  </w:rsids>
  <w:docVars>
    <w:docVar w:name="commondata" w:val="eyJoZGlkIjoiYjEzZTI3MzIxYzUxM2E3Y2YyMDVhZDRkMWU5YjExZD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qFormat="1"/>
    <w:lsdException w:name="toc 2" w:semiHidden="0" w:uiPriority="0" w:unhideWhenUsed="0" w:qFormat="1"/>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autoRedefine/>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autoRedefine/>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autoRedefine/>
    <w:qFormat/>
    <w:pPr>
      <w:tabs>
        <w:tab w:val="center" w:pos="4153"/>
        <w:tab w:val="right" w:pos="8306"/>
      </w:tabs>
      <w:snapToGrid w:val="0"/>
      <w:jc w:val="left"/>
    </w:pPr>
    <w:rPr>
      <w:sz w:val="18"/>
    </w:rPr>
  </w:style>
  <w:style w:type="paragraph" w:styleId="Header">
    <w:name w:val="header"/>
    <w:basedOn w:val="Normal"/>
    <w:autoRedefine/>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autoRedefine/>
    <w:qFormat/>
  </w:style>
  <w:style w:type="paragraph" w:styleId="TOC2">
    <w:name w:val="toc 2"/>
    <w:basedOn w:val="Normal"/>
    <w:next w:val="Normal"/>
    <w:autoRedefine/>
    <w:qFormat/>
    <w:pPr>
      <w:ind w:left="420" w:leftChars="200"/>
    </w:pPr>
  </w:style>
  <w:style w:type="character" w:styleId="PageNumber">
    <w:name w:val="page number"/>
    <w:basedOn w:val="DefaultParagraphFont"/>
    <w:autoRedefine/>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yperlink" Target="https://d.book118.com/835323120012011042" TargetMode="External" /><Relationship Id="rId63" Type="http://schemas.openxmlformats.org/officeDocument/2006/relationships/header" Target="header30.xml" /><Relationship Id="rId64" Type="http://schemas.openxmlformats.org/officeDocument/2006/relationships/footer" Target="footer30.xml" /><Relationship Id="rId65" Type="http://schemas.openxmlformats.org/officeDocument/2006/relationships/theme" Target="theme/theme1.xml" /><Relationship Id="rId66"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小海豹</cp:lastModifiedBy>
  <cp:revision>1</cp:revision>
  <dcterms:created xsi:type="dcterms:W3CDTF">2023-12-10T12:06:00Z</dcterms:created>
  <dcterms:modified xsi:type="dcterms:W3CDTF">2024-01-13T12:01:46Z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1E39AA5D4B7F4B19B7D16FD992F8235D_13</vt:lpwstr>
  </property>
  <property fmtid="{D5CDD505-2E9C-101B-9397-08002B2CF9AE}" pid="3" name="KSOProductBuildVer">
    <vt:lpwstr>2052-12.1.0.16120</vt:lpwstr>
  </property>
</Properties>
</file>