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11760200</wp:posOffset>
            </wp:positionH>
            <wp:positionV relativeFrom="topMargin">
              <wp:posOffset>10439400</wp:posOffset>
            </wp:positionV>
            <wp:extent cx="406400" cy="419100"/>
            <wp:wrapNone/>
            <wp:docPr id="1000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5"/>
                    <a:stretch>
                      <a:fillRect/>
                    </a:stretch>
                  </pic:blipFill>
                  <pic:spPr>
                    <a:xfrm>
                      <a:off x="0" y="0"/>
                      <a:ext cx="406400" cy="419100"/>
                    </a:xfrm>
                    <a:prstGeom prst="rect">
                      <a:avLst/>
                    </a:prstGeom>
                  </pic:spPr>
                </pic:pic>
              </a:graphicData>
            </a:graphic>
          </wp:anchor>
        </w:drawing>
      </w:r>
      <w:r>
        <w:rPr>
          <w:rFonts w:ascii="宋体" w:eastAsia="宋体" w:hAnsi="宋体" w:cs="宋体"/>
          <w:b/>
          <w:color w:val="auto"/>
          <w:sz w:val="32"/>
        </w:rPr>
        <w:t>西昌市</w:t>
      </w:r>
      <w:r>
        <w:rPr>
          <w:rFonts w:ascii="Times New Roman" w:eastAsia="Times New Roman" w:hAnsi="Times New Roman" w:cs="Times New Roman"/>
          <w:b/>
          <w:color w:val="auto"/>
          <w:sz w:val="32"/>
        </w:rPr>
        <w:t>2023</w:t>
      </w:r>
      <w:r>
        <w:rPr>
          <w:rFonts w:ascii="宋体" w:eastAsia="宋体" w:hAnsi="宋体" w:cs="宋体"/>
          <w:b/>
          <w:color w:val="auto"/>
          <w:sz w:val="32"/>
        </w:rPr>
        <w:t>—</w:t>
      </w:r>
      <w:r>
        <w:rPr>
          <w:rFonts w:ascii="Times New Roman" w:eastAsia="Times New Roman" w:hAnsi="Times New Roman" w:cs="Times New Roman"/>
          <w:b/>
          <w:color w:val="auto"/>
          <w:sz w:val="32"/>
        </w:rPr>
        <w:t>2024</w:t>
      </w:r>
      <w:r>
        <w:rPr>
          <w:rFonts w:ascii="宋体" w:eastAsia="宋体" w:hAnsi="宋体" w:cs="宋体"/>
          <w:b/>
          <w:color w:val="auto"/>
          <w:sz w:val="32"/>
        </w:rPr>
        <w:t>学年度上期期末检测</w:t>
      </w:r>
    </w:p>
    <w:p w:rsidR="00FC5860" w:rsidRPr="00BE1BCD">
      <w:pPr>
        <w:spacing w:line="285" w:lineRule="auto"/>
        <w:jc w:val="center"/>
      </w:pPr>
      <w:r>
        <w:rPr>
          <w:rFonts w:ascii="宋体" w:eastAsia="宋体" w:hAnsi="宋体" w:cs="宋体"/>
          <w:b/>
          <w:color w:val="auto"/>
          <w:sz w:val="32"/>
        </w:rPr>
        <w:t>高一生物</w:t>
      </w:r>
    </w:p>
    <w:p w:rsidR="00FC5860" w:rsidRPr="00BE1BCD">
      <w:pPr>
        <w:spacing w:line="285" w:lineRule="auto"/>
        <w:jc w:val="both"/>
      </w:pPr>
      <w:r>
        <w:rPr>
          <w:rFonts w:ascii="宋体" w:eastAsia="宋体" w:hAnsi="宋体" w:cs="宋体"/>
          <w:b/>
          <w:color w:val="auto"/>
          <w:sz w:val="24"/>
        </w:rPr>
        <w:t>注意事项：</w:t>
      </w:r>
    </w:p>
    <w:p w:rsidR="00FC5860" w:rsidRPr="00BE1BCD">
      <w:pPr>
        <w:spacing w:line="285"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本试卷分为第</w:t>
      </w:r>
      <w:r>
        <w:rPr>
          <w:rFonts w:ascii="Times New Roman" w:eastAsia="Times New Roman" w:hAnsi="Times New Roman" w:cs="Times New Roman"/>
          <w:b/>
          <w:color w:val="auto"/>
          <w:sz w:val="24"/>
        </w:rPr>
        <w:t>I</w:t>
      </w:r>
      <w:r>
        <w:rPr>
          <w:rFonts w:ascii="宋体" w:eastAsia="宋体" w:hAnsi="宋体" w:cs="宋体"/>
          <w:b/>
          <w:color w:val="auto"/>
          <w:sz w:val="24"/>
        </w:rPr>
        <w:t>卷（选择题）和第Ⅱ卷（非选择题）两部分，试题卷</w:t>
      </w:r>
      <w:r>
        <w:rPr>
          <w:rFonts w:ascii="Times New Roman" w:eastAsia="Times New Roman" w:hAnsi="Times New Roman" w:cs="Times New Roman"/>
          <w:b/>
          <w:color w:val="auto"/>
          <w:sz w:val="24"/>
        </w:rPr>
        <w:t>8</w:t>
      </w:r>
      <w:r>
        <w:rPr>
          <w:rFonts w:ascii="宋体" w:eastAsia="宋体" w:hAnsi="宋体" w:cs="宋体"/>
          <w:b/>
          <w:color w:val="auto"/>
          <w:sz w:val="24"/>
        </w:rPr>
        <w:t>页，答题卡</w:t>
      </w:r>
      <w:r>
        <w:rPr>
          <w:rFonts w:ascii="Times New Roman" w:eastAsia="Times New Roman" w:hAnsi="Times New Roman" w:cs="Times New Roman"/>
          <w:b/>
          <w:color w:val="auto"/>
          <w:sz w:val="24"/>
        </w:rPr>
        <w:t>2</w:t>
      </w:r>
      <w:r>
        <w:rPr>
          <w:rFonts w:ascii="宋体" w:eastAsia="宋体" w:hAnsi="宋体" w:cs="宋体"/>
          <w:b/>
          <w:color w:val="auto"/>
          <w:sz w:val="24"/>
        </w:rPr>
        <w:t>页。全卷满分为</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75</w:t>
      </w:r>
      <w:r>
        <w:rPr>
          <w:rFonts w:ascii="宋体" w:eastAsia="宋体" w:hAnsi="宋体" w:cs="宋体"/>
          <w:b/>
          <w:color w:val="auto"/>
          <w:sz w:val="24"/>
        </w:rPr>
        <w:t>分钟。</w:t>
      </w:r>
    </w:p>
    <w:p w:rsidR="00FC5860" w:rsidRPr="00BE1BCD">
      <w:pPr>
        <w:spacing w:line="285"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答题前考生务必将自己的姓名、准考证号用</w:t>
      </w:r>
      <w:r>
        <w:rPr>
          <w:rFonts w:ascii="Times New Roman" w:eastAsia="Times New Roman" w:hAnsi="Times New Roman" w:cs="Times New Roman"/>
          <w:b/>
          <w:color w:val="auto"/>
          <w:sz w:val="24"/>
        </w:rPr>
        <w:t>0.5</w:t>
      </w:r>
      <w:r>
        <w:rPr>
          <w:rFonts w:ascii="宋体" w:eastAsia="宋体" w:hAnsi="宋体" w:cs="宋体"/>
          <w:b/>
          <w:color w:val="auto"/>
          <w:sz w:val="24"/>
        </w:rPr>
        <w:t>毫米的黑色签字笔填写在答题卡上，并将条形码粘贴在答题卡的指定位置；选择题使用</w:t>
      </w:r>
      <w:r>
        <w:rPr>
          <w:rFonts w:ascii="Times New Roman" w:eastAsia="Times New Roman" w:hAnsi="Times New Roman" w:cs="Times New Roman"/>
          <w:b/>
          <w:color w:val="auto"/>
          <w:sz w:val="24"/>
        </w:rPr>
        <w:t>2B</w:t>
      </w:r>
      <w:r>
        <w:rPr>
          <w:rFonts w:ascii="宋体" w:eastAsia="宋体" w:hAnsi="宋体" w:cs="宋体"/>
          <w:b/>
          <w:color w:val="auto"/>
          <w:sz w:val="24"/>
        </w:rPr>
        <w:t>铅笔填涂在答题卡对应题目标号的位置上，其他试题用</w:t>
      </w:r>
      <w:r>
        <w:rPr>
          <w:rFonts w:ascii="Times New Roman" w:eastAsia="Times New Roman" w:hAnsi="Times New Roman" w:cs="Times New Roman"/>
          <w:b/>
          <w:color w:val="auto"/>
          <w:sz w:val="24"/>
        </w:rPr>
        <w:t>0.5</w:t>
      </w:r>
      <w:r>
        <w:rPr>
          <w:rFonts w:ascii="宋体" w:eastAsia="宋体" w:hAnsi="宋体" w:cs="宋体"/>
          <w:b/>
          <w:color w:val="auto"/>
          <w:sz w:val="24"/>
        </w:rPr>
        <w:t>毫米黑色签字笔书写在答题卡对应题框内，不得超越题框区域。考试结束后将答题卡收回。</w:t>
      </w:r>
    </w:p>
    <w:p w:rsidR="00FC5860" w:rsidRPr="00BE1BCD">
      <w:pPr>
        <w:spacing w:line="285" w:lineRule="auto"/>
        <w:jc w:val="center"/>
      </w:pPr>
      <w:r>
        <w:rPr>
          <w:rFonts w:ascii="宋体" w:eastAsia="宋体" w:hAnsi="宋体" w:cs="宋体"/>
          <w:b/>
          <w:color w:val="auto"/>
          <w:sz w:val="24"/>
        </w:rPr>
        <w:t>第Ⅰ卷</w:t>
      </w:r>
      <w:r>
        <w:rPr>
          <w:rFonts w:ascii="Times New Roman" w:eastAsia="Times New Roman" w:hAnsi="Times New Roman" w:cs="Times New Roman"/>
          <w:b/>
          <w:color w:val="auto"/>
          <w:sz w:val="24"/>
        </w:rPr>
        <w:t xml:space="preserve">  </w:t>
      </w:r>
      <w:r>
        <w:rPr>
          <w:rFonts w:ascii="宋体" w:eastAsia="宋体" w:hAnsi="宋体" w:cs="宋体"/>
          <w:b/>
          <w:color w:val="auto"/>
          <w:sz w:val="24"/>
        </w:rPr>
        <w:t>选择题（共</w:t>
      </w:r>
      <w:r>
        <w:rPr>
          <w:rFonts w:ascii="Times New Roman" w:eastAsia="Times New Roman" w:hAnsi="Times New Roman" w:cs="Times New Roman"/>
          <w:b/>
          <w:color w:val="auto"/>
          <w:sz w:val="24"/>
        </w:rPr>
        <w:t>60</w:t>
      </w:r>
      <w:r>
        <w:rPr>
          <w:rFonts w:ascii="宋体" w:eastAsia="宋体" w:hAnsi="宋体" w:cs="宋体"/>
          <w:b/>
          <w:color w:val="auto"/>
          <w:sz w:val="24"/>
        </w:rPr>
        <w:t>分）</w:t>
      </w:r>
    </w:p>
    <w:p w:rsidR="00FC5860" w:rsidRPr="00BE1BCD">
      <w:pPr>
        <w:spacing w:line="285" w:lineRule="auto"/>
        <w:jc w:val="both"/>
      </w:pPr>
      <w:r>
        <w:rPr>
          <w:rFonts w:ascii="宋体" w:eastAsia="宋体" w:hAnsi="宋体" w:cs="宋体"/>
          <w:b/>
          <w:color w:val="auto"/>
          <w:sz w:val="24"/>
        </w:rPr>
        <w:t>一、选择题（本题共</w:t>
      </w:r>
      <w:r>
        <w:rPr>
          <w:rFonts w:ascii="Times New Roman" w:eastAsia="Times New Roman" w:hAnsi="Times New Roman" w:cs="Times New Roman"/>
          <w:b/>
          <w:color w:val="auto"/>
          <w:sz w:val="24"/>
        </w:rPr>
        <w:t>40</w:t>
      </w:r>
      <w:r>
        <w:rPr>
          <w:rFonts w:ascii="宋体" w:eastAsia="宋体" w:hAnsi="宋体" w:cs="宋体"/>
          <w:b/>
          <w:color w:val="auto"/>
          <w:sz w:val="24"/>
        </w:rPr>
        <w:t>小题，每小题</w:t>
      </w:r>
      <w:r>
        <w:rPr>
          <w:rFonts w:ascii="Times New Roman" w:eastAsia="Times New Roman" w:hAnsi="Times New Roman" w:cs="Times New Roman"/>
          <w:b/>
          <w:color w:val="auto"/>
          <w:sz w:val="24"/>
        </w:rPr>
        <w:t>1.5</w:t>
      </w:r>
      <w:r>
        <w:rPr>
          <w:rFonts w:ascii="宋体" w:eastAsia="宋体" w:hAnsi="宋体" w:cs="宋体"/>
          <w:b/>
          <w:color w:val="auto"/>
          <w:sz w:val="24"/>
        </w:rPr>
        <w:t>分，共</w:t>
      </w:r>
      <w:r>
        <w:rPr>
          <w:rFonts w:ascii="Times New Roman" w:eastAsia="Times New Roman" w:hAnsi="Times New Roman" w:cs="Times New Roman"/>
          <w:b/>
          <w:color w:val="auto"/>
          <w:sz w:val="24"/>
        </w:rPr>
        <w:t>60</w:t>
      </w:r>
      <w:r>
        <w:rPr>
          <w:rFonts w:ascii="宋体" w:eastAsia="宋体" w:hAnsi="宋体" w:cs="宋体"/>
          <w:b/>
          <w:color w:val="auto"/>
          <w:sz w:val="24"/>
        </w:rPr>
        <w:t>分。每小题只有一个选项符合题目要求）</w:t>
      </w:r>
    </w:p>
    <w:p w:rsidR="00FC5860" w:rsidRPr="00BE1BCD">
      <w:pPr>
        <w:spacing w:line="360" w:lineRule="auto"/>
        <w:jc w:val="left"/>
      </w:pPr>
      <w:r>
        <w:rPr>
          <w:color w:val="auto"/>
        </w:rPr>
        <w:t xml:space="preserve">1. </w:t>
      </w:r>
      <w:r>
        <w:rPr>
          <w:rFonts w:ascii="宋体" w:eastAsia="宋体" w:hAnsi="宋体" w:cs="宋体"/>
          <w:color w:val="auto"/>
        </w:rPr>
        <w:t>胡杨树有“英雄树”之美称，且这种树只生活在大漠荒原中，则组成胡杨树的元素和有机化合物中含量最多的分别是（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H</w:t>
      </w:r>
      <w:r>
        <w:rPr>
          <w:rFonts w:ascii="宋体" w:eastAsia="宋体" w:hAnsi="宋体" w:cs="宋体"/>
          <w:color w:val="auto"/>
        </w:rPr>
        <w:t>和蛋白质</w:t>
      </w:r>
      <w:r w:rsidRPr="00BE1BCD" w:rsidR="00FC5860">
        <w:tab/>
      </w:r>
      <w:r w:rsidRPr="00BE1BCD" w:rsidR="00FC5860">
        <w:t xml:space="preserve">B. </w:t>
      </w:r>
      <w:r>
        <w:rPr>
          <w:rFonts w:ascii="Times New Roman" w:eastAsia="Times New Roman" w:hAnsi="Times New Roman" w:cs="Times New Roman"/>
          <w:color w:val="auto"/>
        </w:rPr>
        <w:t>H</w:t>
      </w:r>
      <w:r>
        <w:rPr>
          <w:rFonts w:ascii="宋体" w:eastAsia="宋体" w:hAnsi="宋体" w:cs="宋体"/>
          <w:color w:val="auto"/>
        </w:rPr>
        <w:t>和水</w:t>
      </w:r>
      <w:r w:rsidRPr="00BE1BCD" w:rsidR="00FC5860">
        <w:tab/>
      </w:r>
      <w:r w:rsidRPr="00BE1BCD" w:rsidR="00FC5860">
        <w:t xml:space="preserve">C. </w:t>
      </w:r>
      <w:r>
        <w:rPr>
          <w:rFonts w:ascii="Times New Roman" w:eastAsia="Times New Roman" w:hAnsi="Times New Roman" w:cs="Times New Roman"/>
          <w:color w:val="auto"/>
        </w:rPr>
        <w:t>O</w:t>
      </w:r>
      <w:r>
        <w:rPr>
          <w:rFonts w:ascii="宋体" w:eastAsia="宋体" w:hAnsi="宋体" w:cs="宋体"/>
          <w:color w:val="auto"/>
        </w:rPr>
        <w:t>和蛋白质</w:t>
      </w:r>
      <w:r w:rsidRPr="00BE1BCD" w:rsidR="00FC5860">
        <w:tab/>
      </w:r>
      <w:r w:rsidRPr="00BE1BCD" w:rsidR="00FC5860">
        <w:t xml:space="preserve">D. </w:t>
      </w:r>
      <w:r>
        <w:rPr>
          <w:rFonts w:ascii="Times New Roman" w:eastAsia="Times New Roman" w:hAnsi="Times New Roman" w:cs="Times New Roman"/>
          <w:color w:val="auto"/>
        </w:rPr>
        <w:t>O</w:t>
      </w:r>
      <w:r>
        <w:rPr>
          <w:rFonts w:ascii="宋体" w:eastAsia="宋体" w:hAnsi="宋体" w:cs="宋体"/>
          <w:color w:val="auto"/>
        </w:rPr>
        <w:t>和水</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 xml:space="preserve">1、组成细胞的化合物含量：水：85%～90%，蛋白质：7%～10%，脂质：1%～2%，无机盐1%～1.5%，糖类和核酸无机盐1%～1.5%。 </w:t>
      </w:r>
    </w:p>
    <w:p>
      <w:pPr>
        <w:spacing w:line="360" w:lineRule="auto"/>
        <w:jc w:val="left"/>
        <w:textAlignment w:val="center"/>
        <w:rPr>
          <w:color w:val="000000"/>
        </w:rPr>
      </w:pPr>
      <w:r>
        <w:rPr>
          <w:color w:val="000000"/>
        </w:rPr>
        <w:t>2、C、H、O、N基本元素占鲜重的比例从大到小的顺序是：O＞C＞H＞N。</w:t>
      </w:r>
    </w:p>
    <w:p>
      <w:pPr>
        <w:spacing w:line="360" w:lineRule="auto"/>
        <w:jc w:val="left"/>
        <w:textAlignment w:val="center"/>
        <w:rPr>
          <w:color w:val="000000"/>
        </w:rPr>
      </w:pPr>
      <w:r>
        <w:rPr>
          <w:color w:val="000000"/>
        </w:rPr>
        <w:t>3、C、H、O、N基本元素占干重的比例从大到小的顺序是：C＞O＞N＞H。</w:t>
      </w:r>
    </w:p>
    <w:p>
      <w:pPr>
        <w:spacing w:line="360" w:lineRule="auto"/>
        <w:jc w:val="left"/>
        <w:textAlignment w:val="center"/>
        <w:rPr>
          <w:color w:val="000000"/>
        </w:rPr>
      </w:pPr>
      <w:r>
        <w:rPr>
          <w:color w:val="000000"/>
        </w:rPr>
        <w:t>【详解】</w:t>
      </w:r>
      <w:r>
        <w:rPr>
          <w:color w:val="000000"/>
        </w:rPr>
        <w:t>由分析可知，蛋白质在细胞中占7%～10%，是细胞中的含量最多的有机化合物，而水是细胞中含量最多的化合物，水中氧元素含量最多；故组成胡杨树的元素和有机化合物中含量最多的分别是O和蛋白质，故C符合题意。</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【点睛】</w:t>
      </w:r>
    </w:p>
    <w:p>
      <w:pPr>
        <w:spacing w:line="360" w:lineRule="auto"/>
        <w:jc w:val="both"/>
        <w:textAlignment w:val="center"/>
        <w:rPr>
          <w:color w:val="000000"/>
        </w:rPr>
      </w:pPr>
      <w:r>
        <w:rPr>
          <w:color w:val="000000"/>
        </w:rPr>
        <w:t xml:space="preserve">2. </w:t>
      </w:r>
      <w:r>
        <w:rPr>
          <w:rFonts w:ascii="宋体" w:eastAsia="宋体" w:hAnsi="宋体" w:cs="宋体"/>
          <w:color w:val="000000"/>
        </w:rPr>
        <w:t>对比人体皮肤纵切片和迎春叶横切片的光学显微镜图象，下列说法不正确的是（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33"/>
          <w:cols w:space="720"/>
          <w:titlePg w:val="0"/>
          <w:docGrid w:type="lines" w:linePitch="312"/>
        </w:sectPr>
      </w:pPr>
      <w:r>
        <w:rPr>
          <w:color w:val="000000"/>
        </w:rPr>
        <w:drawing>
          <wp:inline>
            <wp:extent cx="5238750" cy="172426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238750" cy="1724265"/>
                    </a:xfrm>
                    <a:prstGeom prst="rect">
                      <a:avLst/>
                    </a:prstGeom>
                  </pic:spPr>
                </pic:pic>
              </a:graphicData>
            </a:graphic>
          </wp:inline>
        </w:drawing>
      </w:r>
      <w:r>
        <w:rPr>
          <w:color w:val="000000"/>
        </w:rPr>
        <w:t xml:space="preserve">A. </w:t>
      </w:r>
    </w:p>
    <w:p>
      <w:pPr>
        <w:spacing w:line="360" w:lineRule="auto"/>
        <w:jc w:val="left"/>
        <w:textAlignment w:val="center"/>
        <w:rPr>
          <w:color w:val="000000"/>
        </w:rPr>
      </w:pPr>
      <w:r>
        <w:rPr>
          <w:rFonts w:ascii="宋体" w:eastAsia="宋体" w:hAnsi="宋体" w:cs="宋体"/>
          <w:color w:val="000000"/>
        </w:rPr>
        <w:t>迎春叶叶肉细胞和人体皮肤细胞均有细胞膜、细胞质和细胞核</w:t>
      </w:r>
    </w:p>
    <w:p>
      <w:pPr>
        <w:spacing w:line="360" w:lineRule="auto"/>
        <w:jc w:val="left"/>
        <w:textAlignment w:val="center"/>
        <w:rPr>
          <w:color w:val="000000"/>
        </w:rPr>
      </w:pPr>
      <w:r>
        <w:rPr>
          <w:color w:val="000000"/>
        </w:rPr>
        <w:t xml:space="preserve">B. </w:t>
      </w:r>
      <w:r>
        <w:rPr>
          <w:rFonts w:ascii="宋体" w:eastAsia="宋体" w:hAnsi="宋体" w:cs="宋体"/>
          <w:color w:val="000000"/>
        </w:rPr>
        <w:t>迎春叶叶肉细胞和人体皮肤细胞均有</w:t>
      </w:r>
      <w:r>
        <w:rPr>
          <w:rFonts w:ascii="Times New Roman" w:eastAsia="Times New Roman" w:hAnsi="Times New Roman" w:cs="Times New Roman"/>
          <w:color w:val="000000"/>
        </w:rPr>
        <w:t>DNA</w:t>
      </w:r>
      <w:r>
        <w:rPr>
          <w:rFonts w:ascii="宋体" w:eastAsia="宋体" w:hAnsi="宋体" w:cs="宋体"/>
          <w:color w:val="000000"/>
        </w:rPr>
        <w:t>和</w:t>
      </w:r>
      <w:r>
        <w:rPr>
          <w:rFonts w:ascii="Times New Roman" w:eastAsia="Times New Roman" w:hAnsi="Times New Roman" w:cs="Times New Roman"/>
          <w:color w:val="000000"/>
        </w:rPr>
        <w:t>RNA</w:t>
      </w:r>
    </w:p>
    <w:p>
      <w:pPr>
        <w:spacing w:line="360" w:lineRule="auto"/>
        <w:jc w:val="left"/>
        <w:textAlignment w:val="center"/>
        <w:rPr>
          <w:color w:val="000000"/>
        </w:rPr>
      </w:pPr>
      <w:r>
        <w:rPr>
          <w:color w:val="000000"/>
        </w:rPr>
        <w:t xml:space="preserve">C. </w:t>
      </w:r>
      <w:r>
        <w:rPr>
          <w:rFonts w:ascii="宋体" w:eastAsia="宋体" w:hAnsi="宋体" w:cs="宋体"/>
          <w:color w:val="000000"/>
        </w:rPr>
        <w:t>人体皮肤和迎春叶均由多种组织构成，并能行使一定功能，所以两者都称为器官</w:t>
      </w:r>
    </w:p>
    <w:p>
      <w:pPr>
        <w:spacing w:line="360" w:lineRule="auto"/>
        <w:jc w:val="left"/>
        <w:textAlignment w:val="center"/>
        <w:rPr>
          <w:color w:val="000000"/>
        </w:rPr>
      </w:pPr>
      <w:r>
        <w:rPr>
          <w:color w:val="000000"/>
        </w:rPr>
        <w:t xml:space="preserve">D. </w:t>
      </w:r>
      <w:r>
        <w:rPr>
          <w:rFonts w:ascii="宋体" w:eastAsia="宋体" w:hAnsi="宋体" w:cs="宋体"/>
          <w:color w:val="000000"/>
        </w:rPr>
        <w:t>人和迎春树在生命系统中具有相同的结构层次</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命活动离不开细胞，细胞是生物体结构和功能的基本单位，单细胞生物单个细胞就能完成各种生命活动，多细胞生物依赖各种分化的细胞密切合作，共同完成一系列复杂的生命活动，病毒虽然没有细胞结构，但它不能独立生活，只有寄生在活细胞中才能表现出生命活性。</w:t>
      </w:r>
    </w:p>
    <w:p>
      <w:pPr>
        <w:spacing w:line="360" w:lineRule="auto"/>
        <w:jc w:val="left"/>
        <w:textAlignment w:val="center"/>
        <w:rPr>
          <w:color w:val="000000"/>
        </w:rPr>
      </w:pPr>
      <w:r>
        <w:rPr>
          <w:color w:val="000000"/>
        </w:rPr>
        <w:t>【详解】</w:t>
      </w:r>
      <w:r>
        <w:rPr>
          <w:color w:val="000000"/>
        </w:rPr>
        <w:t>A、迎春叶叶肉细胞和人体皮肤细胞都是真核细胞，均有细胞膜、细胞质和细胞核，A正确；</w:t>
      </w:r>
    </w:p>
    <w:p>
      <w:pPr>
        <w:spacing w:line="360" w:lineRule="auto"/>
        <w:jc w:val="left"/>
        <w:textAlignment w:val="center"/>
        <w:rPr>
          <w:color w:val="000000"/>
        </w:rPr>
      </w:pPr>
      <w:r>
        <w:rPr>
          <w:color w:val="000000"/>
        </w:rPr>
        <w:t>B、迎春叶叶肉细胞和人体皮肤细胞均有DNA和RNA，其中DNA为遗传物质，B正确；</w:t>
      </w:r>
    </w:p>
    <w:p>
      <w:pPr>
        <w:spacing w:line="360" w:lineRule="auto"/>
        <w:jc w:val="left"/>
        <w:textAlignment w:val="center"/>
        <w:rPr>
          <w:color w:val="000000"/>
        </w:rPr>
      </w:pPr>
      <w:r>
        <w:rPr>
          <w:color w:val="000000"/>
        </w:rPr>
        <w:t>C、人体皮肤和迎春叶均由多种组织构成，并能行使一定功能，所以两者都称为器官，其中迎春叶是营养器官，而皮肤是人体最大的器官，C正确；</w:t>
      </w:r>
    </w:p>
    <w:p>
      <w:pPr>
        <w:spacing w:line="360" w:lineRule="auto"/>
        <w:jc w:val="left"/>
        <w:textAlignment w:val="center"/>
        <w:rPr>
          <w:color w:val="000000"/>
        </w:rPr>
      </w:pPr>
      <w:r>
        <w:rPr>
          <w:color w:val="000000"/>
        </w:rPr>
        <w:t>D、人具有系统这一结构层次而迎春树没有，D错误。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3. </w:t>
      </w:r>
      <w:r>
        <w:rPr>
          <w:rFonts w:ascii="宋体" w:eastAsia="宋体" w:hAnsi="宋体" w:cs="宋体"/>
          <w:color w:val="000000"/>
        </w:rPr>
        <w:t>沙眼衣原体是一类原核生物，有较复杂的、能进行一定代谢活动的酶系统，但缺乏细胞呼吸所需的酶，不能合成高能化合物，营严格的细胞内寄生生活。下列说法正确的是（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沙眼衣原体是独立的生命系统，其系统的边界是细胞壁</w:t>
      </w:r>
    </w:p>
    <w:p>
      <w:pPr>
        <w:spacing w:line="360" w:lineRule="auto"/>
        <w:jc w:val="left"/>
        <w:textAlignment w:val="center"/>
        <w:rPr>
          <w:color w:val="000000"/>
        </w:rPr>
      </w:pPr>
      <w:r>
        <w:rPr>
          <w:color w:val="000000"/>
        </w:rPr>
        <w:t xml:space="preserve">B. </w:t>
      </w:r>
      <w:r>
        <w:rPr>
          <w:rFonts w:ascii="宋体" w:eastAsia="宋体" w:hAnsi="宋体" w:cs="宋体"/>
          <w:color w:val="000000"/>
        </w:rPr>
        <w:t>沙眼衣原体能在无细胞的培养基中繁殖，其遗传物质是</w:t>
      </w:r>
      <w:r>
        <w:rPr>
          <w:rFonts w:ascii="Times New Roman" w:eastAsia="Times New Roman" w:hAnsi="Times New Roman" w:cs="Times New Roman"/>
          <w:color w:val="000000"/>
        </w:rPr>
        <w:t>DNA</w:t>
      </w:r>
    </w:p>
    <w:p>
      <w:pPr>
        <w:spacing w:line="360" w:lineRule="auto"/>
        <w:jc w:val="left"/>
        <w:textAlignment w:val="center"/>
        <w:rPr>
          <w:color w:val="000000"/>
        </w:rPr>
      </w:pPr>
      <w:r>
        <w:rPr>
          <w:color w:val="000000"/>
        </w:rPr>
        <w:t xml:space="preserve">C. </w:t>
      </w:r>
      <w:r>
        <w:rPr>
          <w:rFonts w:ascii="宋体" w:eastAsia="宋体" w:hAnsi="宋体" w:cs="宋体"/>
          <w:color w:val="000000"/>
        </w:rPr>
        <w:t>沙眼衣原体缺乏细胞呼吸所需的酶，需要从宿主细胞体内摄取</w:t>
      </w:r>
      <w:r>
        <w:rPr>
          <w:rFonts w:ascii="Times New Roman" w:eastAsia="Times New Roman" w:hAnsi="Times New Roman" w:cs="Times New Roman"/>
          <w:color w:val="000000"/>
        </w:rPr>
        <w:t>ATP</w:t>
      </w:r>
    </w:p>
    <w:p>
      <w:pPr>
        <w:spacing w:line="360" w:lineRule="auto"/>
        <w:jc w:val="left"/>
        <w:textAlignment w:val="center"/>
        <w:rPr>
          <w:color w:val="000000"/>
        </w:rPr>
      </w:pPr>
      <w:r>
        <w:rPr>
          <w:color w:val="000000"/>
        </w:rPr>
        <w:t xml:space="preserve">D. </w:t>
      </w:r>
      <w:r>
        <w:rPr>
          <w:rFonts w:ascii="宋体" w:eastAsia="宋体" w:hAnsi="宋体" w:cs="宋体"/>
          <w:color w:val="000000"/>
        </w:rPr>
        <w:t>沙眼衣原体细胞内核糖体的形成与核仁有关</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由原核细胞构成的生物叫原核生物，由真核细胞构成的生物叫真核生物；原核细胞与真核细胞相比，最大的区别是原核细胞没有被核膜包被的成形的细胞核，没有核膜、核仁和染色体，原核细胞只有核糖体一种细胞器，但原核生物含有细胞膜、细胞质等结构，也含有核酸和蛋白质等物质。</w:t>
      </w:r>
    </w:p>
    <w:p>
      <w:pPr>
        <w:spacing w:line="360" w:lineRule="auto"/>
        <w:jc w:val="left"/>
        <w:textAlignment w:val="center"/>
        <w:rPr>
          <w:color w:val="000000"/>
        </w:rPr>
      </w:pPr>
      <w:r>
        <w:rPr>
          <w:color w:val="000000"/>
        </w:rPr>
        <w:t>【详解】</w:t>
      </w:r>
      <w:r>
        <w:rPr>
          <w:color w:val="000000"/>
        </w:rPr>
        <w:t>A、沙眼衣原体是原核生物，具有独立的生命系统，其系统的边界是细胞膜，其细胞结构中的细胞壁具有全透性，A错误；</w:t>
      </w:r>
    </w:p>
    <w:p>
      <w:pPr>
        <w:spacing w:line="360" w:lineRule="auto"/>
        <w:jc w:val="left"/>
        <w:textAlignment w:val="center"/>
        <w:rPr>
          <w:color w:val="000000"/>
        </w:rPr>
      </w:pPr>
      <w:r>
        <w:rPr>
          <w:color w:val="000000"/>
        </w:rPr>
        <w:t>B、结合题干“营严格的细胞内寄生生活”可知沙眼衣原体不能在无细胞的培养基中繁殖，B错误；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34"/>
          <w:cols w:space="720"/>
          <w:titlePg w:val="0"/>
          <w:docGrid w:type="lines" w:linePitch="312"/>
        </w:sectPr>
      </w:pPr>
      <w:r>
        <w:rPr>
          <w:color w:val="000000"/>
        </w:rPr>
        <w:t>C、结合题干“但缺乏细胞呼吸所需的酶，不能合成高能化合物，营严格的细胞内寄生生活”推测，沙眼衣原体缺乏细胞呼吸所需的酶，需要从宿主细胞体内摄取ATP，C正确；</w:t>
      </w:r>
    </w:p>
    <w:p>
      <w:pPr>
        <w:spacing w:line="360" w:lineRule="auto"/>
        <w:jc w:val="left"/>
        <w:textAlignment w:val="center"/>
        <w:rPr>
          <w:color w:val="000000"/>
        </w:rPr>
      </w:pPr>
      <w:r>
        <w:rPr>
          <w:color w:val="000000"/>
        </w:rPr>
        <w:t>D、沙眼衣原体细胞为原核细胞，其细胞结构中没有核仁，因此其细胞内核糖体的形成与核仁无关，D错误。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4. </w:t>
      </w:r>
      <w:r>
        <w:rPr>
          <w:rFonts w:ascii="宋体" w:eastAsia="宋体" w:hAnsi="宋体" w:cs="宋体"/>
          <w:color w:val="000000"/>
        </w:rPr>
        <w:t>下列关于统一性和差异性的叙述，错误的是（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酵母菌和蓝细菌都有细胞壁、细胞膜、核糖体和核酸，这体现了真核细胞和原核细胞的统一性</w:t>
      </w:r>
    </w:p>
    <w:p>
      <w:pPr>
        <w:spacing w:line="360" w:lineRule="auto"/>
        <w:jc w:val="left"/>
        <w:textAlignment w:val="center"/>
        <w:rPr>
          <w:color w:val="000000"/>
        </w:rPr>
      </w:pPr>
      <w:r>
        <w:rPr>
          <w:color w:val="000000"/>
        </w:rPr>
        <w:t xml:space="preserve">B. </w:t>
      </w:r>
      <w:r>
        <w:rPr>
          <w:rFonts w:ascii="宋体" w:eastAsia="宋体" w:hAnsi="宋体" w:cs="宋体"/>
          <w:color w:val="000000"/>
        </w:rPr>
        <w:t>细胞学说揭示了动物和植物的统一性和差异性，从而阐明了生物界的统一性和差异性</w:t>
      </w:r>
    </w:p>
    <w:p>
      <w:pPr>
        <w:spacing w:line="360" w:lineRule="auto"/>
        <w:jc w:val="left"/>
        <w:textAlignment w:val="center"/>
        <w:rPr>
          <w:color w:val="000000"/>
        </w:rPr>
      </w:pPr>
      <w:r>
        <w:rPr>
          <w:color w:val="000000"/>
        </w:rPr>
        <w:t xml:space="preserve">C. </w:t>
      </w:r>
      <w:r>
        <w:rPr>
          <w:rFonts w:ascii="宋体" w:eastAsia="宋体" w:hAnsi="宋体" w:cs="宋体"/>
          <w:color w:val="000000"/>
        </w:rPr>
        <w:t>组成细胞的化学元素，在无机自然界中都能够找到，没有一种化学元素为细胞所特有，而细胞中的各种元素的相对含量与无机自然界大不相同，这体现了生物界与非生物界的统一性和差异性</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ATP</w:t>
      </w:r>
      <w:r>
        <w:rPr>
          <w:rFonts w:ascii="宋体" w:eastAsia="宋体" w:hAnsi="宋体" w:cs="宋体"/>
          <w:color w:val="000000"/>
        </w:rPr>
        <w:t>与</w:t>
      </w:r>
      <w:r>
        <w:rPr>
          <w:rFonts w:ascii="Times New Roman" w:eastAsia="Times New Roman" w:hAnsi="Times New Roman" w:cs="Times New Roman"/>
          <w:color w:val="000000"/>
        </w:rPr>
        <w:t>ADP</w:t>
      </w:r>
      <w:r>
        <w:rPr>
          <w:rFonts w:ascii="宋体" w:eastAsia="宋体" w:hAnsi="宋体" w:cs="宋体"/>
          <w:color w:val="000000"/>
        </w:rPr>
        <w:t>相互转化的能量供应机制，在所有生物的细胞内都是一样的，这体现了生物界的统一性</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细胞学说指出一切动植物都是由细胞发育而来，揭示了动物和植物的统一性，从而阐明了生物界的统一性；细胞学说揭示了细胞的统一性和生物体结构的统一性，使人们认识到各种生物之间存在共同的结构基础，支持所有生物有共同祖先的进化观点。</w:t>
      </w:r>
    </w:p>
    <w:p>
      <w:pPr>
        <w:spacing w:line="360" w:lineRule="auto"/>
        <w:jc w:val="left"/>
        <w:textAlignment w:val="center"/>
        <w:rPr>
          <w:color w:val="000000"/>
        </w:rPr>
      </w:pPr>
      <w:r>
        <w:rPr>
          <w:color w:val="000000"/>
        </w:rPr>
        <w:t>2、生物界与非生物界的统一性与差异性：统一性：构成生物体的元素在无机自然界都可以找到，没有一种是生物所特有的。差异性：组成生物体的元素在生物体体内和无机自然界中的含量相差很大。</w:t>
      </w:r>
    </w:p>
    <w:p>
      <w:pPr>
        <w:spacing w:line="360" w:lineRule="auto"/>
        <w:jc w:val="left"/>
        <w:textAlignment w:val="center"/>
        <w:rPr>
          <w:color w:val="000000"/>
        </w:rPr>
      </w:pPr>
      <w:r>
        <w:rPr>
          <w:color w:val="000000"/>
        </w:rPr>
        <w:t>【详解】</w:t>
      </w:r>
      <w:r>
        <w:rPr>
          <w:color w:val="000000"/>
        </w:rPr>
        <w:t>A、酵母菌为真核生物，蓝细菌为原核生物，两者均有细胞壁、细胞膜、核糖体和核酸，这体现了真核细胞和原核细胞的统一性，A正确；</w:t>
      </w:r>
    </w:p>
    <w:p>
      <w:pPr>
        <w:spacing w:line="360" w:lineRule="auto"/>
        <w:jc w:val="left"/>
        <w:textAlignment w:val="center"/>
        <w:rPr>
          <w:color w:val="000000"/>
        </w:rPr>
      </w:pPr>
      <w:r>
        <w:rPr>
          <w:color w:val="000000"/>
        </w:rPr>
        <w:t>B、细胞学说揭示了动物和植物的统一性，从而阐明了生物界的统一性，并未揭示差异性，B错误；</w:t>
      </w:r>
    </w:p>
    <w:p>
      <w:pPr>
        <w:spacing w:line="360" w:lineRule="auto"/>
        <w:jc w:val="left"/>
        <w:textAlignment w:val="center"/>
        <w:rPr>
          <w:color w:val="000000"/>
        </w:rPr>
      </w:pPr>
      <w:r>
        <w:rPr>
          <w:color w:val="000000"/>
        </w:rPr>
        <w:t>C、组成细胞的化学元素，在无机自然界中都能找到，没有一种化学元素为细胞所特有，这体现生物界和非生物界具有统一性；但是细胞与非生物相比，各种元素的含量又大不相同，这体现了生物界和非生物界具有差异性，C正确；</w:t>
      </w:r>
    </w:p>
    <w:p>
      <w:pPr>
        <w:spacing w:line="360" w:lineRule="auto"/>
        <w:jc w:val="left"/>
        <w:textAlignment w:val="center"/>
        <w:rPr>
          <w:color w:val="000000"/>
        </w:rPr>
      </w:pPr>
      <w:r>
        <w:rPr>
          <w:color w:val="000000"/>
        </w:rPr>
        <w:t>D、细胞中绝大多数的需要能量的生命活动都由ATP直接供能，细胞内ATP与ADP相互转化的能量供应机制是生物界的共性，这体现了生物界的统一性，D正确。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5. </w:t>
      </w:r>
      <w:r>
        <w:rPr>
          <w:rFonts w:ascii="宋体" w:eastAsia="宋体" w:hAnsi="宋体" w:cs="宋体"/>
          <w:color w:val="000000"/>
        </w:rPr>
        <w:t>某生物兴趣小组在野外发现一种组织颜色为白色的不知名野果，该小组把这些野果带回实验室欲鉴定其中是否含有还原糖、脂肪和蛋白质，下列叙述正确的是（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若在该野果的组织样液中加入斐林试剂并水浴加热出现较深的砖红色，说明该野果中含有大量的葡萄糖</w:t>
      </w:r>
    </w:p>
    <w:p>
      <w:pPr>
        <w:spacing w:line="360" w:lineRule="auto"/>
        <w:jc w:val="left"/>
        <w:textAlignment w:val="center"/>
        <w:rPr>
          <w:color w:val="000000"/>
        </w:rPr>
      </w:pPr>
      <w:r>
        <w:rPr>
          <w:color w:val="000000"/>
        </w:rPr>
        <w:t xml:space="preserve">B. </w:t>
      </w:r>
      <w:r>
        <w:rPr>
          <w:rFonts w:ascii="宋体" w:eastAsia="宋体" w:hAnsi="宋体" w:cs="宋体"/>
          <w:color w:val="000000"/>
        </w:rPr>
        <w:t>对该野果进行脂肪的鉴定实验时临时切片用苏丹Ⅲ染液染色后，需洗去浮色再用显微镜观察</w:t>
      </w:r>
    </w:p>
    <w:p>
      <w:pPr>
        <w:spacing w:line="360" w:lineRule="auto"/>
        <w:jc w:val="left"/>
        <w:textAlignment w:val="center"/>
        <w:rPr>
          <w:color w:val="000000"/>
        </w:rPr>
        <w:sectPr w:rsidSect="00C321EB">
          <w:type w:val="nextPage"/>
          <w:pgSz w:w="11906" w:h="16838"/>
          <w:pgMar w:top="910" w:right="1080" w:bottom="1440" w:left="1080" w:header="152" w:footer="0" w:gutter="0"/>
          <w:pgNumType w:start="35"/>
          <w:cols w:space="720"/>
          <w:titlePg w:val="0"/>
          <w:docGrid w:type="lines" w:linePitch="312"/>
        </w:sectPr>
      </w:pPr>
      <w:r>
        <w:rPr>
          <w:color w:val="000000"/>
        </w:rPr>
        <w:t xml:space="preserve">C. </w:t>
      </w:r>
      <w:r>
        <w:rPr>
          <w:rFonts w:ascii="宋体" w:eastAsia="宋体" w:hAnsi="宋体" w:cs="宋体"/>
          <w:color w:val="000000"/>
        </w:rPr>
        <w:t>进行蛋白质的鉴定时需将双缩脲试剂</w:t>
      </w:r>
      <w:r>
        <w:rPr>
          <w:rFonts w:ascii="Times New Roman" w:eastAsia="Times New Roman" w:hAnsi="Times New Roman" w:cs="Times New Roman"/>
          <w:color w:val="000000"/>
        </w:rPr>
        <w:t>A</w:t>
      </w:r>
      <w:r>
        <w:rPr>
          <w:rFonts w:ascii="宋体" w:eastAsia="宋体" w:hAnsi="宋体" w:cs="宋体"/>
          <w:color w:val="000000"/>
        </w:rPr>
        <w:t>液和</w:t>
      </w:r>
      <w:r>
        <w:rPr>
          <w:rFonts w:ascii="Times New Roman" w:eastAsia="Times New Roman" w:hAnsi="Times New Roman" w:cs="Times New Roman"/>
          <w:color w:val="000000"/>
        </w:rPr>
        <w:t>B</w:t>
      </w:r>
      <w:r>
        <w:rPr>
          <w:rFonts w:ascii="宋体" w:eastAsia="宋体" w:hAnsi="宋体" w:cs="宋体"/>
          <w:color w:val="000000"/>
        </w:rPr>
        <w:t>液等量混匀后加入组织样液摇匀会呈现紫色</w:t>
      </w:r>
      <w:r>
        <w:rPr>
          <w:color w:val="000000"/>
        </w:rPr>
        <w:t xml:space="preserve">D. </w:t>
      </w:r>
      <w:r>
        <w:rPr>
          <w:rFonts w:ascii="宋体" w:eastAsia="宋体" w:hAnsi="宋体" w:cs="宋体"/>
          <w:color w:val="000000"/>
        </w:rPr>
        <w:t>进行还原糖鉴定实验结束时将剩余的斐林试剂装入棕色瓶，以便长期保存备用</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生物组织中化合物的鉴定：</w:t>
      </w:r>
    </w:p>
    <w:p>
      <w:pPr>
        <w:spacing w:line="360" w:lineRule="auto"/>
        <w:jc w:val="left"/>
        <w:textAlignment w:val="center"/>
        <w:rPr>
          <w:color w:val="000000"/>
        </w:rPr>
      </w:pPr>
      <w:r>
        <w:rPr>
          <w:color w:val="000000"/>
        </w:rPr>
        <w:t>（1）斐林试剂可用于鉴定还原糖，在水浴加热的条件下，产生砖红色沉淀。斐林试剂只能检验生物组织中还原糖（如葡萄糖、麦芽糖、果糖）存在与否，而不能鉴定非还原性糖（如淀粉）。</w:t>
      </w:r>
    </w:p>
    <w:p>
      <w:pPr>
        <w:spacing w:line="360" w:lineRule="auto"/>
        <w:jc w:val="left"/>
        <w:textAlignment w:val="center"/>
        <w:rPr>
          <w:color w:val="000000"/>
        </w:rPr>
      </w:pPr>
      <w:r>
        <w:rPr>
          <w:color w:val="000000"/>
        </w:rPr>
        <w:t>（2）蛋白质可与双缩脲试剂产生紫色反应。</w:t>
      </w:r>
    </w:p>
    <w:p>
      <w:pPr>
        <w:spacing w:line="360" w:lineRule="auto"/>
        <w:jc w:val="left"/>
        <w:textAlignment w:val="center"/>
        <w:rPr>
          <w:color w:val="000000"/>
        </w:rPr>
      </w:pPr>
      <w:r>
        <w:rPr>
          <w:color w:val="000000"/>
        </w:rPr>
        <w:t>（3）脂肪可用苏丹Ⅲ染液鉴定，呈橘黄色。</w:t>
      </w:r>
    </w:p>
    <w:p>
      <w:pPr>
        <w:spacing w:line="360" w:lineRule="auto"/>
        <w:jc w:val="left"/>
        <w:textAlignment w:val="center"/>
        <w:rPr>
          <w:color w:val="000000"/>
        </w:rPr>
      </w:pPr>
      <w:r>
        <w:rPr>
          <w:color w:val="000000"/>
        </w:rPr>
        <w:t>【详解】</w:t>
      </w:r>
      <w:r>
        <w:rPr>
          <w:color w:val="000000"/>
        </w:rPr>
        <w:t>A、对该野果的组织样液中加入斐林试剂并水浴加热出现较深的砖红色，只能说明该野果中含有大量的还原糖，不一定是葡萄糖，A错误；</w:t>
      </w:r>
    </w:p>
    <w:p>
      <w:pPr>
        <w:spacing w:line="360" w:lineRule="auto"/>
        <w:jc w:val="left"/>
        <w:textAlignment w:val="center"/>
        <w:rPr>
          <w:color w:val="000000"/>
        </w:rPr>
      </w:pPr>
      <w:r>
        <w:rPr>
          <w:color w:val="000000"/>
        </w:rPr>
        <w:t>B、脂肪鉴定可用苏丹Ⅲ染液染色，脂肪能与苏丹Ⅲ染液反应形成橘黄色，需用50%酒精洗去浮色再用显微镜观察，B正确；</w:t>
      </w:r>
    </w:p>
    <w:p>
      <w:pPr>
        <w:spacing w:line="360" w:lineRule="auto"/>
        <w:jc w:val="left"/>
        <w:textAlignment w:val="center"/>
        <w:rPr>
          <w:color w:val="000000"/>
        </w:rPr>
      </w:pPr>
      <w:r>
        <w:rPr>
          <w:color w:val="000000"/>
        </w:rPr>
        <w:t>C、双缩脲试剂用于鉴定蛋白质，使用时要先加A液后再加入B液，C错误；</w:t>
      </w:r>
    </w:p>
    <w:p>
      <w:pPr>
        <w:spacing w:line="360" w:lineRule="auto"/>
        <w:jc w:val="left"/>
        <w:textAlignment w:val="center"/>
        <w:rPr>
          <w:color w:val="000000"/>
        </w:rPr>
      </w:pPr>
      <w:r>
        <w:rPr>
          <w:color w:val="000000"/>
        </w:rPr>
        <w:t>D、斐林试剂应该现配现用，D错误。</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6. </w:t>
      </w:r>
      <w:r>
        <w:rPr>
          <w:rFonts w:ascii="宋体" w:eastAsia="宋体" w:hAnsi="宋体" w:cs="宋体"/>
          <w:color w:val="000000"/>
        </w:rPr>
        <w:t>生物在不同的环境条件下及不同的生长发育时期，含水量及水的存在形式有差异。下列有关叙述与水没有直接联系的是（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黑藻细胞中叶绿体围绕液泡环流</w:t>
      </w:r>
    </w:p>
    <w:p>
      <w:pPr>
        <w:spacing w:line="360" w:lineRule="auto"/>
        <w:jc w:val="left"/>
        <w:textAlignment w:val="center"/>
        <w:rPr>
          <w:color w:val="000000"/>
        </w:rPr>
      </w:pPr>
      <w:r>
        <w:rPr>
          <w:color w:val="000000"/>
        </w:rPr>
        <w:t xml:space="preserve">B. </w:t>
      </w:r>
      <w:r>
        <w:rPr>
          <w:rFonts w:ascii="宋体" w:eastAsia="宋体" w:hAnsi="宋体" w:cs="宋体"/>
          <w:color w:val="000000"/>
        </w:rPr>
        <w:t>血浆运输营养物质和代谢废物</w:t>
      </w:r>
    </w:p>
    <w:p>
      <w:pPr>
        <w:spacing w:line="360" w:lineRule="auto"/>
        <w:jc w:val="left"/>
        <w:textAlignment w:val="center"/>
        <w:rPr>
          <w:color w:val="000000"/>
        </w:rPr>
      </w:pPr>
      <w:r>
        <w:rPr>
          <w:color w:val="000000"/>
        </w:rPr>
        <w:t xml:space="preserve">C. </w:t>
      </w:r>
      <w:r>
        <w:rPr>
          <w:rFonts w:ascii="宋体" w:eastAsia="宋体" w:hAnsi="宋体" w:cs="宋体"/>
          <w:color w:val="000000"/>
        </w:rPr>
        <w:t>草履虫的细胞膜上的分子流动</w:t>
      </w:r>
    </w:p>
    <w:p>
      <w:pPr>
        <w:spacing w:line="360" w:lineRule="auto"/>
        <w:jc w:val="left"/>
        <w:textAlignment w:val="center"/>
        <w:rPr>
          <w:color w:val="000000"/>
        </w:rPr>
      </w:pPr>
      <w:r>
        <w:rPr>
          <w:color w:val="000000"/>
        </w:rPr>
        <w:t xml:space="preserve">D. </w:t>
      </w:r>
      <w:r>
        <w:rPr>
          <w:rFonts w:ascii="宋体" w:eastAsia="宋体" w:hAnsi="宋体" w:cs="宋体"/>
          <w:color w:val="000000"/>
        </w:rPr>
        <w:t>天竺葵的绿叶在光下释放出氧气</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细胞中的水有两种存在形式，自由水和结合水。自由水与结合水的关系：自由水和结合水可相互转化。自由水是良好的溶剂，是细胞内许多化学反应的介质，自由水还参与细胞内的化学反应，自由水自由移动对于运输营养物质和代谢废物具有重要作用。</w:t>
      </w:r>
    </w:p>
    <w:p>
      <w:pPr>
        <w:spacing w:line="360" w:lineRule="auto"/>
        <w:jc w:val="left"/>
        <w:textAlignment w:val="center"/>
        <w:rPr>
          <w:color w:val="000000"/>
        </w:rPr>
      </w:pPr>
      <w:r>
        <w:rPr>
          <w:color w:val="000000"/>
        </w:rPr>
        <w:t>【详解】</w:t>
      </w:r>
      <w:r>
        <w:rPr>
          <w:color w:val="000000"/>
        </w:rPr>
        <w:t>A、黑藻细胞中叶绿体围绕液泡环流是因为细胞质基质的主要成分为水，具有流动性，A正确；</w:t>
      </w:r>
    </w:p>
    <w:p>
      <w:pPr>
        <w:spacing w:line="360" w:lineRule="auto"/>
        <w:jc w:val="left"/>
        <w:textAlignment w:val="center"/>
        <w:rPr>
          <w:color w:val="000000"/>
        </w:rPr>
      </w:pPr>
      <w:r>
        <w:rPr>
          <w:color w:val="000000"/>
        </w:rPr>
        <w:t>B、血浆运输营养物质和代谢废物依赖于自由水的流动，B正确；</w:t>
      </w:r>
    </w:p>
    <w:p>
      <w:pPr>
        <w:spacing w:line="360" w:lineRule="auto"/>
        <w:jc w:val="left"/>
        <w:textAlignment w:val="center"/>
        <w:rPr>
          <w:color w:val="000000"/>
        </w:rPr>
      </w:pPr>
      <w:r>
        <w:rPr>
          <w:color w:val="000000"/>
        </w:rPr>
        <w:t>C、</w:t>
      </w:r>
      <w:r>
        <w:rPr>
          <w:rFonts w:ascii="宋体" w:eastAsia="宋体" w:hAnsi="宋体" w:cs="宋体"/>
          <w:color w:val="000000"/>
        </w:rPr>
        <w:t>草履虫</w:t>
      </w:r>
      <w:r>
        <w:rPr>
          <w:color w:val="000000"/>
        </w:rPr>
        <w:t>的</w:t>
      </w:r>
      <w:r>
        <w:rPr>
          <w:rFonts w:ascii="宋体" w:eastAsia="宋体" w:hAnsi="宋体" w:cs="宋体"/>
          <w:color w:val="000000"/>
        </w:rPr>
        <w:t>细胞膜</w:t>
      </w:r>
      <w:r>
        <w:rPr>
          <w:color w:val="000000"/>
        </w:rPr>
        <w:t>上的分子流动与磷脂和蛋白质的运动有关，与水没有直接联系，C错误；</w:t>
      </w:r>
    </w:p>
    <w:p>
      <w:pPr>
        <w:spacing w:line="360" w:lineRule="auto"/>
        <w:jc w:val="left"/>
        <w:textAlignment w:val="center"/>
        <w:rPr>
          <w:color w:val="000000"/>
        </w:rPr>
      </w:pPr>
      <w:r>
        <w:rPr>
          <w:color w:val="000000"/>
        </w:rPr>
        <w:t>D、</w:t>
      </w:r>
      <w:r>
        <w:rPr>
          <w:rFonts w:ascii="宋体" w:eastAsia="宋体" w:hAnsi="宋体" w:cs="宋体"/>
          <w:color w:val="000000"/>
        </w:rPr>
        <w:t>天竺葵</w:t>
      </w:r>
      <w:r>
        <w:rPr>
          <w:color w:val="000000"/>
        </w:rPr>
        <w:t>的绿叶在光下能进行光反应，水的光解产生氧气，D正确。</w:t>
      </w:r>
    </w:p>
    <w:p>
      <w:pPr>
        <w:spacing w:line="360" w:lineRule="auto"/>
        <w:jc w:val="both"/>
        <w:textAlignment w:val="center"/>
        <w:rPr>
          <w:color w:val="000000"/>
        </w:rPr>
        <w:sectPr w:rsidSect="00C321EB">
          <w:type w:val="nextPage"/>
          <w:pgSz w:w="11906" w:h="16838"/>
          <w:pgMar w:top="910" w:right="1080" w:bottom="1440" w:left="1080" w:header="152" w:footer="0" w:gutter="0"/>
          <w:pgNumType w:start="36"/>
          <w:cols w:space="720"/>
          <w:titlePg w:val="0"/>
          <w:docGrid w:type="lines" w:linePitch="312"/>
        </w:sectPr>
      </w:pPr>
      <w:r>
        <w:rPr>
          <w:color w:val="000000"/>
        </w:rPr>
        <w:t>故选C。</w:t>
      </w:r>
      <w:r>
        <w:rPr>
          <w:color w:val="000000"/>
        </w:rPr>
        <w:t xml:space="preserve">7. </w:t>
      </w:r>
      <w:r>
        <w:rPr>
          <w:rFonts w:ascii="宋体" w:eastAsia="宋体" w:hAnsi="宋体" w:cs="宋体"/>
          <w:color w:val="000000"/>
        </w:rPr>
        <w:t>“焦边”是由缺钾所引起的植物叶片边缘出现枯黄色的现象。某同学欲探究钾对植物生长情况的影响，配制了两种培养液进行实验，培养液主要成分的配方如下表所示。下列叙述错误的是（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91"/>
        <w:gridCol w:w="1322"/>
        <w:gridCol w:w="831"/>
        <w:gridCol w:w="1392"/>
        <w:gridCol w:w="1520"/>
        <w:gridCol w:w="1579"/>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组别</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培养液类别</w:t>
            </w:r>
          </w:p>
        </w:tc>
        <w:tc>
          <w:tcPr>
            <w:gridSpan w:val="4"/>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培养液所含主要成分的质量浓度</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mg·L</w:t>
            </w:r>
            <w:r>
              <w:rPr>
                <w:rFonts w:ascii="Times New Roman" w:eastAsia="Times New Roman" w:hAnsi="Times New Roman" w:cs="Times New Roman"/>
                <w:color w:val="000000"/>
                <w:vertAlign w:val="superscript"/>
              </w:rPr>
              <w:t>-1</w:t>
            </w:r>
            <w:r>
              <w:rPr>
                <w:rFonts w:ascii="宋体" w:eastAsia="宋体" w:hAnsi="宋体" w:cs="宋体"/>
                <w:color w:val="000000"/>
              </w:rPr>
              <w:t>）</w:t>
            </w:r>
          </w:p>
        </w:tc>
      </w:tr>
      <w:tr>
        <w:tblPrEx>
          <w:tblCellMar>
            <w:top w:w="120" w:type="dxa"/>
            <w:left w:w="120" w:type="dxa"/>
            <w:bottom w:w="120" w:type="dxa"/>
            <w:right w:w="120" w:type="dxa"/>
          </w:tblCellMar>
        </w:tblPrEx>
        <w:trPr>
          <w:cantSplit w:val="0"/>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KNO</w:t>
            </w:r>
            <w:r>
              <w:rPr>
                <w:rFonts w:ascii="Times New Roman" w:eastAsia="Times New Roman" w:hAnsi="Times New Roman" w:cs="Times New Roman"/>
                <w:color w:val="000000"/>
                <w:vertAlign w:val="subscript"/>
              </w:rP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CaCl</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·2H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O</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MgSO</w:t>
            </w:r>
            <w:r>
              <w:rPr>
                <w:rFonts w:ascii="Times New Roman" w:eastAsia="Times New Roman" w:hAnsi="Times New Roman" w:cs="Times New Roman"/>
                <w:color w:val="000000"/>
                <w:vertAlign w:val="subscript"/>
              </w:rPr>
              <w:t>4</w:t>
            </w:r>
            <w:r>
              <w:rPr>
                <w:rFonts w:ascii="Times New Roman" w:eastAsia="Times New Roman" w:hAnsi="Times New Roman" w:cs="Times New Roman"/>
                <w:color w:val="000000"/>
              </w:rPr>
              <w:t>·7H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O</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NH</w:t>
            </w:r>
            <w:r>
              <w:rPr>
                <w:rFonts w:ascii="Times New Roman" w:eastAsia="Times New Roman" w:hAnsi="Times New Roman" w:cs="Times New Roman"/>
                <w:color w:val="000000"/>
                <w:vertAlign w:val="subscript"/>
              </w:rPr>
              <w:t>4</w:t>
            </w:r>
            <w:r>
              <w:rPr>
                <w:rFonts w:ascii="宋体" w:eastAsia="宋体" w:hAnsi="宋体" w:cs="宋体"/>
                <w:color w:val="000000"/>
              </w:rPr>
              <w:t>）</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SO</w:t>
            </w:r>
            <w:r>
              <w:rPr>
                <w:rFonts w:ascii="Times New Roman" w:eastAsia="Times New Roman" w:hAnsi="Times New Roman" w:cs="Times New Roman"/>
                <w:color w:val="000000"/>
                <w:vertAlign w:val="subscript"/>
              </w:rPr>
              <w:t>4</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完全培养液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25000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134</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缺素培养液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134</w:t>
            </w:r>
          </w:p>
        </w:tc>
      </w:tr>
    </w:tbl>
    <w:p>
      <w:pPr>
        <w:spacing w:line="360" w:lineRule="auto"/>
        <w:jc w:val="both"/>
        <w:textAlignment w:val="center"/>
        <w:rPr>
          <w:color w:val="000000"/>
        </w:rPr>
      </w:pPr>
    </w:p>
    <w:p>
      <w:pPr>
        <w:spacing w:line="360" w:lineRule="auto"/>
        <w:jc w:val="left"/>
        <w:textAlignment w:val="center"/>
        <w:rPr>
          <w:color w:val="000000"/>
        </w:rPr>
      </w:pPr>
      <w:r>
        <w:rPr>
          <w:color w:val="000000"/>
        </w:rPr>
        <w:t xml:space="preserve">A. </w:t>
      </w:r>
      <w:r>
        <w:rPr>
          <w:rFonts w:ascii="宋体" w:eastAsia="宋体" w:hAnsi="宋体" w:cs="宋体"/>
          <w:color w:val="000000"/>
        </w:rPr>
        <w:t>在配制培养液时，培养液的浓度不宜过高，否则细胞可能会因失水影响植株的生长</w:t>
      </w:r>
    </w:p>
    <w:p>
      <w:pPr>
        <w:spacing w:line="360" w:lineRule="auto"/>
        <w:jc w:val="left"/>
        <w:textAlignment w:val="center"/>
        <w:rPr>
          <w:color w:val="000000"/>
        </w:rPr>
      </w:pPr>
      <w:r>
        <w:rPr>
          <w:color w:val="000000"/>
        </w:rPr>
        <w:t xml:space="preserve">B. </w:t>
      </w:r>
      <w:r>
        <w:rPr>
          <w:rFonts w:ascii="宋体" w:eastAsia="宋体" w:hAnsi="宋体" w:cs="宋体"/>
          <w:color w:val="000000"/>
        </w:rPr>
        <w:t>“焦边”现象体现无机盐对维持细胞正常形态有重要作用</w:t>
      </w:r>
    </w:p>
    <w:p>
      <w:pPr>
        <w:spacing w:line="360" w:lineRule="auto"/>
        <w:jc w:val="left"/>
        <w:textAlignment w:val="center"/>
        <w:rPr>
          <w:color w:val="000000"/>
        </w:rPr>
      </w:pPr>
      <w:r>
        <w:rPr>
          <w:color w:val="000000"/>
        </w:rPr>
        <w:t xml:space="preserve">C. </w:t>
      </w:r>
      <w:r>
        <w:rPr>
          <w:rFonts w:ascii="宋体" w:eastAsia="宋体" w:hAnsi="宋体" w:cs="宋体"/>
          <w:color w:val="000000"/>
        </w:rPr>
        <w:t>缺素培养液缺</w:t>
      </w:r>
      <w:r>
        <w:rPr>
          <w:rFonts w:ascii="Times New Roman" w:eastAsia="Times New Roman" w:hAnsi="Times New Roman" w:cs="Times New Roman"/>
          <w:color w:val="000000"/>
        </w:rPr>
        <w:t>K</w:t>
      </w:r>
      <w:r>
        <w:rPr>
          <w:rFonts w:ascii="Times New Roman" w:eastAsia="Times New Roman" w:hAnsi="Times New Roman" w:cs="Times New Roman"/>
          <w:color w:val="000000"/>
          <w:vertAlign w:val="superscript"/>
        </w:rPr>
        <w:t>+</w:t>
      </w:r>
      <w:r>
        <w:rPr>
          <w:rFonts w:ascii="宋体" w:eastAsia="宋体" w:hAnsi="宋体" w:cs="宋体"/>
          <w:color w:val="000000"/>
        </w:rPr>
        <w:t>也缺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8pt;height:19pt" o:oleicon="f" o:ole="">
            <v:imagedata r:id="rId7" o:title="eqId6b3068951721d93d114476f07b8d3dad"/>
          </v:shape>
          <o:OLEObject Type="Embed" ProgID="Equation.DSMT4" ShapeID="_x0000_i1025" DrawAspect="Content" ObjectID="_1" r:id="rId8"/>
        </w:object>
      </w:r>
      <w:r>
        <w:rPr>
          <w:rFonts w:ascii="宋体" w:eastAsia="宋体" w:hAnsi="宋体" w:cs="宋体"/>
          <w:color w:val="000000"/>
        </w:rPr>
        <w:t>，无法排除硝酸根离子对实验结果的影响</w:t>
      </w:r>
    </w:p>
    <w:p>
      <w:pPr>
        <w:spacing w:line="360" w:lineRule="auto"/>
        <w:jc w:val="left"/>
        <w:textAlignment w:val="center"/>
        <w:rPr>
          <w:color w:val="000000"/>
        </w:rPr>
      </w:pPr>
      <w:r>
        <w:rPr>
          <w:color w:val="000000"/>
        </w:rPr>
        <w:t xml:space="preserve">D. </w:t>
      </w:r>
      <w:r>
        <w:rPr>
          <w:rFonts w:ascii="宋体" w:eastAsia="宋体" w:hAnsi="宋体" w:cs="宋体"/>
          <w:color w:val="000000"/>
        </w:rPr>
        <w:t>对出现缺钾症状的植株提供合理的栽培改善应适当补充钾肥</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根据对照原则分析，本实验中</w:t>
      </w:r>
      <w:r>
        <w:rPr>
          <w:rFonts w:ascii="Times New Roman" w:eastAsia="Times New Roman" w:hAnsi="Times New Roman" w:cs="Times New Roman"/>
          <w:color w:val="000000"/>
        </w:rPr>
        <w:t>A</w:t>
      </w:r>
      <w:r>
        <w:rPr>
          <w:rFonts w:ascii="宋体" w:eastAsia="宋体" w:hAnsi="宋体" w:cs="宋体"/>
          <w:color w:val="000000"/>
        </w:rPr>
        <w:t>组是对照组，</w:t>
      </w:r>
      <w:r>
        <w:rPr>
          <w:rFonts w:ascii="Times New Roman" w:eastAsia="Times New Roman" w:hAnsi="Times New Roman" w:cs="Times New Roman"/>
          <w:color w:val="000000"/>
        </w:rPr>
        <w:t>B</w:t>
      </w:r>
      <w:r>
        <w:rPr>
          <w:rFonts w:ascii="宋体" w:eastAsia="宋体" w:hAnsi="宋体" w:cs="宋体"/>
          <w:color w:val="000000"/>
        </w:rPr>
        <w:t>组是实验组。</w:t>
      </w:r>
    </w:p>
    <w:p>
      <w:pPr>
        <w:spacing w:line="360" w:lineRule="auto"/>
        <w:jc w:val="left"/>
        <w:textAlignment w:val="center"/>
        <w:rPr>
          <w:color w:val="000000"/>
        </w:rPr>
      </w:pPr>
      <w:r>
        <w:rPr>
          <w:color w:val="000000"/>
        </w:rPr>
        <w:t>【详解】</w:t>
      </w:r>
      <w:r>
        <w:rPr>
          <w:color w:val="000000"/>
        </w:rPr>
        <w:t>A、</w:t>
      </w:r>
      <w:r>
        <w:rPr>
          <w:rFonts w:ascii="宋体" w:eastAsia="宋体" w:hAnsi="宋体" w:cs="宋体"/>
          <w:color w:val="000000"/>
        </w:rPr>
        <w:t>若营养液的浓度过高，则植物细胞会因外界溶液浓度过大导致细胞失水，</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color w:val="000000"/>
        </w:rPr>
        <w:t>B、</w:t>
      </w:r>
      <w:r>
        <w:rPr>
          <w:rFonts w:ascii="宋体" w:eastAsia="宋体" w:hAnsi="宋体" w:cs="宋体"/>
          <w:color w:val="000000"/>
        </w:rPr>
        <w:t>该实验能证明缺钾会导致植物出现“焦边”现象，</w:t>
      </w:r>
      <w:r>
        <w:rPr>
          <w:rFonts w:ascii="宋体" w:eastAsia="宋体" w:hAnsi="宋体" w:cs="宋体"/>
          <w:color w:val="000000"/>
        </w:rPr>
        <w:t>体现无机盐对维持正常的生命活动有重要作用，</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color w:val="000000"/>
        </w:rPr>
        <w:t>C、</w:t>
      </w:r>
      <w:r>
        <w:rPr>
          <w:rFonts w:ascii="宋体" w:eastAsia="宋体" w:hAnsi="宋体" w:cs="宋体"/>
          <w:color w:val="000000"/>
        </w:rPr>
        <w:t>缺素培养液缺</w:t>
      </w:r>
      <w:r>
        <w:rPr>
          <w:rFonts w:ascii="Times New Roman" w:eastAsia="Times New Roman" w:hAnsi="Times New Roman" w:cs="Times New Roman"/>
          <w:color w:val="000000"/>
        </w:rPr>
        <w:t>K</w:t>
      </w:r>
      <w:r>
        <w:rPr>
          <w:color w:val="000000"/>
          <w:vertAlign w:val="superscript"/>
        </w:rPr>
        <w:t>+</w:t>
      </w:r>
      <w:r>
        <w:rPr>
          <w:rFonts w:ascii="宋体" w:eastAsia="宋体" w:hAnsi="宋体" w:cs="宋体"/>
          <w:color w:val="000000"/>
        </w:rPr>
        <w:t>也缺</w:t>
      </w:r>
      <w:r>
        <w:rPr>
          <w:color w:val="000000"/>
        </w:rPr>
        <w:t>NO</w:t>
      </w:r>
      <w:r>
        <w:rPr>
          <w:color w:val="000000"/>
          <w:vertAlign w:val="subscript"/>
        </w:rPr>
        <w:t>3</w:t>
      </w:r>
      <w:r>
        <w:rPr>
          <w:color w:val="000000"/>
          <w:vertAlign w:val="superscript"/>
        </w:rPr>
        <w:t>-</w:t>
      </w:r>
      <w:r>
        <w:rPr>
          <w:rFonts w:ascii="宋体" w:eastAsia="宋体" w:hAnsi="宋体" w:cs="宋体"/>
          <w:color w:val="000000"/>
        </w:rPr>
        <w:t>，</w:t>
      </w:r>
      <w:r>
        <w:rPr>
          <w:rFonts w:ascii="宋体" w:eastAsia="宋体" w:hAnsi="宋体" w:cs="宋体"/>
          <w:color w:val="000000"/>
        </w:rPr>
        <w:t>并不是单一变量，</w:t>
      </w:r>
      <w:r>
        <w:rPr>
          <w:rFonts w:ascii="宋体" w:eastAsia="宋体" w:hAnsi="宋体" w:cs="宋体"/>
          <w:color w:val="000000"/>
        </w:rPr>
        <w:t>无法排除硝酸根离子对实验结果的影响，</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color w:val="000000"/>
        </w:rPr>
        <w:t>D、</w:t>
      </w:r>
      <w:r>
        <w:rPr>
          <w:rFonts w:ascii="宋体" w:eastAsia="宋体" w:hAnsi="宋体" w:cs="宋体"/>
          <w:color w:val="000000"/>
        </w:rPr>
        <w:t>该实验能证明缺钾会导致植物出现“焦边”现象，</w:t>
      </w:r>
      <w:r>
        <w:rPr>
          <w:rFonts w:ascii="宋体" w:eastAsia="宋体" w:hAnsi="宋体" w:cs="宋体"/>
          <w:color w:val="000000"/>
        </w:rPr>
        <w:t>对出现缺钾症状的植株提供合理的栽培改善应适当补充钾肥，</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PET-CT</w:t>
      </w:r>
      <w:r>
        <w:rPr>
          <w:rFonts w:ascii="宋体" w:eastAsia="宋体" w:hAnsi="宋体" w:cs="宋体"/>
          <w:color w:val="000000"/>
        </w:rPr>
        <w:t>是一种使用示踪剂的影像学检查方法。所用示踪剂由细胞能量代谢的主要能源物质改造而来，进入细胞后不易被代谢，可以反映细胞摄取能源物质的量。由此可知，这种示踪剂是一种改造过的（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维生素</w:t>
      </w:r>
      <w:r>
        <w:rPr>
          <w:color w:val="000000"/>
        </w:rPr>
        <w:tab/>
      </w:r>
      <w:r>
        <w:rPr>
          <w:color w:val="000000"/>
        </w:rPr>
        <w:t xml:space="preserve">B. </w:t>
      </w:r>
      <w:r>
        <w:rPr>
          <w:rFonts w:ascii="宋体" w:eastAsia="宋体" w:hAnsi="宋体" w:cs="宋体"/>
          <w:color w:val="000000"/>
        </w:rPr>
        <w:t>葡萄糖</w:t>
      </w:r>
      <w:r>
        <w:rPr>
          <w:color w:val="000000"/>
        </w:rPr>
        <w:tab/>
      </w:r>
      <w:r>
        <w:rPr>
          <w:color w:val="000000"/>
        </w:rPr>
        <w:t xml:space="preserve">C. </w:t>
      </w:r>
      <w:r>
        <w:rPr>
          <w:rFonts w:ascii="宋体" w:eastAsia="宋体" w:hAnsi="宋体" w:cs="宋体"/>
          <w:color w:val="000000"/>
        </w:rPr>
        <w:t>氨基酸</w:t>
      </w:r>
      <w:r>
        <w:rPr>
          <w:color w:val="000000"/>
        </w:rPr>
        <w:tab/>
      </w:r>
      <w:r>
        <w:rPr>
          <w:color w:val="000000"/>
        </w:rPr>
        <w:t xml:space="preserve">D. </w:t>
      </w:r>
      <w:r>
        <w:rPr>
          <w:rFonts w:ascii="宋体" w:eastAsia="宋体" w:hAnsi="宋体" w:cs="宋体"/>
          <w:color w:val="000000"/>
        </w:rPr>
        <w:t>核苷酸</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糖类一般由C、H、O三种元素组成，分为单糖、二糖和多糖，是主要的能源物质。常见的单糖有葡萄糖、果糖、半乳糖、核糖和脱氧核糖等。</w:t>
      </w:r>
      <w:r>
        <w:rPr>
          <w:color w:val="000000"/>
        </w:rPr>
        <w:t>【详解】</w:t>
      </w:r>
      <w:r>
        <w:rPr>
          <w:color w:val="000000"/>
        </w:rPr>
        <w:t>分析题意可知，该示踪剂由细胞能量代谢的主要能源物质改造而来，应是糖类，且又知该物质进入细胞后不易被代谢，可以反映细胞摄取能源物质的量，则该物质应是被称为“生命的燃料”的葡萄糖。B符合题意。</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https://d.book118.com/835330022114011114</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oleObject" Target="embeddings/oleObject1.bin" /><Relationship Id="rId9" Type="http://schemas.openxmlformats.org/officeDocument/2006/relationships/hyperlink" Target="https://d.book118.com/83533002211401111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3417498307411968</dc:description>
  <cp:lastModifiedBy>学科网试题生产平台</cp:lastModifiedBy>
  <cp:revision>8</cp:revision>
  <dcterms:created xsi:type="dcterms:W3CDTF">2024-01-26T13:30:55Z</dcterms:created>
  <dcterms:modified xsi:type="dcterms:W3CDTF">2024-01-26T13:30:55Z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