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玉树藏族自治州（玉树县）囊谦县（香达） 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（广东省广州市越秀区九年级（下）期中物理试卷）关于下列图象，说法正确的是（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87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同种物质质量与密度成正比，塑料的密度比水小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96pt;height:78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0～5s甲、乙两车做匀速直线运动，甲的速度比乙小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08pt;height:82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是晶体熔化过程温度变化规律，熔点是70℃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99pt;height:89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液体压强随深度增大而增大，甲液体密度比乙小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（2020年秋•金华校级期中）有两只烧杯分别盛有水和盐水，但没有贴上标签．下面有四组器材，其中不能用来鉴别的是（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51pt;height:6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0pt;height:6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0pt;height:68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0pt;height:68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（浙江省温州市乐清市七年级（下）期末物理试卷）在硬纸板上剪出一个三角形的小孔，将它放在阳光下，调整纸板与地面之间的高度，使得地面上形成一个清晰的光斑．此光斑的形状可能是（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.圆形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.长方形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（河北省石家庄市长安区八年级（上）期中物理试卷）关于声音，下列说法正确的是（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https://d.book118.com/835332340201011042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83533234020101104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