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2024年屏蔽泵行业趋势报告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29351"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_Toc29351 \h </w:instrText>
        </w:r>
        <w:r>
          <w:fldChar w:fldCharType="separate"/>
        </w:r>
        <w:r>
          <w:t>4</w:t>
        </w:r>
        <w:r>
          <w:fldChar w:fldCharType="end"/>
        </w:r>
      </w:hyperlink>
    </w:p>
    <w:p>
      <w:pPr>
        <w:pStyle w:val="TOC1"/>
        <w:tabs>
          <w:tab w:val="right" w:leader="dot" w:pos="8306"/>
        </w:tabs>
      </w:pPr>
      <w:hyperlink w:anchor="_Toc14137" w:history="1">
        <w:r>
          <w:rPr>
            <w:rFonts w:ascii="微软雅黑" w:eastAsia="微软雅黑" w:hAnsi="微软雅黑" w:cs="微软雅黑" w:hint="eastAsia"/>
            <w:color w:val="001CAC" w:themeColor="hyperlink" w:themeShade="BF"/>
            <w:szCs w:val="32"/>
            <w:lang w:eastAsia="zh-CN"/>
          </w:rPr>
          <w:t>一、屏蔽泵行业制度建设与执行</w:t>
        </w:r>
        <w:r>
          <w:tab/>
        </w:r>
        <w:r>
          <w:fldChar w:fldCharType="begin"/>
        </w:r>
        <w:r>
          <w:instrText xml:space="preserve"> PAGEREF _Toc14137 \h </w:instrText>
        </w:r>
        <w:r>
          <w:fldChar w:fldCharType="separate"/>
        </w:r>
        <w:r>
          <w:t>4</w:t>
        </w:r>
        <w:r>
          <w:fldChar w:fldCharType="end"/>
        </w:r>
      </w:hyperlink>
    </w:p>
    <w:p>
      <w:pPr>
        <w:pStyle w:val="TOC2"/>
        <w:tabs>
          <w:tab w:val="right" w:leader="dot" w:pos="8306"/>
        </w:tabs>
      </w:pPr>
      <w:hyperlink w:anchor="_Toc30319" w:history="1">
        <w:r>
          <w:rPr>
            <w:rFonts w:ascii="宋体" w:eastAsia="宋体" w:hAnsi="宋体" w:cs="宋体" w:hint="eastAsia"/>
            <w:bCs w:val="0"/>
            <w:szCs w:val="28"/>
            <w:lang w:eastAsia="zh-CN"/>
          </w:rPr>
          <w:t>(一)、公司制度体系规划</w:t>
        </w:r>
        <w:r>
          <w:tab/>
        </w:r>
        <w:r>
          <w:fldChar w:fldCharType="begin"/>
        </w:r>
        <w:r>
          <w:instrText xml:space="preserve"> PAGEREF _Toc30319 \h </w:instrText>
        </w:r>
        <w:r>
          <w:fldChar w:fldCharType="separate"/>
        </w:r>
        <w:r>
          <w:t>4</w:t>
        </w:r>
        <w:r>
          <w:fldChar w:fldCharType="end"/>
        </w:r>
      </w:hyperlink>
    </w:p>
    <w:p>
      <w:pPr>
        <w:pStyle w:val="TOC2"/>
        <w:tabs>
          <w:tab w:val="right" w:leader="dot" w:pos="8306"/>
        </w:tabs>
      </w:pPr>
      <w:hyperlink w:anchor="_Toc20921" w:history="1">
        <w:r>
          <w:rPr>
            <w:rFonts w:ascii="宋体" w:eastAsia="宋体" w:hAnsi="宋体" w:cs="宋体" w:hint="eastAsia"/>
            <w:bCs w:val="0"/>
            <w:szCs w:val="28"/>
            <w:lang w:eastAsia="zh-CN"/>
          </w:rPr>
          <w:t>(二)、员工手册编制与更新</w:t>
        </w:r>
        <w:r>
          <w:tab/>
        </w:r>
        <w:r>
          <w:fldChar w:fldCharType="begin"/>
        </w:r>
        <w:r>
          <w:instrText xml:space="preserve"> PAGEREF _Toc20921 \h </w:instrText>
        </w:r>
        <w:r>
          <w:fldChar w:fldCharType="separate"/>
        </w:r>
        <w:r>
          <w:t>6</w:t>
        </w:r>
        <w:r>
          <w:fldChar w:fldCharType="end"/>
        </w:r>
      </w:hyperlink>
    </w:p>
    <w:p>
      <w:pPr>
        <w:pStyle w:val="TOC2"/>
        <w:tabs>
          <w:tab w:val="right" w:leader="dot" w:pos="8306"/>
        </w:tabs>
      </w:pPr>
      <w:hyperlink w:anchor="_Toc30217" w:history="1">
        <w:r>
          <w:rPr>
            <w:rFonts w:ascii="宋体" w:eastAsia="宋体" w:hAnsi="宋体" w:cs="宋体" w:hint="eastAsia"/>
            <w:bCs w:val="0"/>
            <w:szCs w:val="28"/>
            <w:lang w:eastAsia="zh-CN"/>
          </w:rPr>
          <w:t>(三)、制度宣导与培训</w:t>
        </w:r>
        <w:r>
          <w:tab/>
        </w:r>
        <w:r>
          <w:fldChar w:fldCharType="begin"/>
        </w:r>
        <w:r>
          <w:instrText xml:space="preserve"> PAGEREF _Toc30217 \h </w:instrText>
        </w:r>
        <w:r>
          <w:fldChar w:fldCharType="separate"/>
        </w:r>
        <w:r>
          <w:t>7</w:t>
        </w:r>
        <w:r>
          <w:fldChar w:fldCharType="end"/>
        </w:r>
      </w:hyperlink>
    </w:p>
    <w:p>
      <w:pPr>
        <w:pStyle w:val="TOC2"/>
        <w:tabs>
          <w:tab w:val="right" w:leader="dot" w:pos="8306"/>
        </w:tabs>
      </w:pPr>
      <w:hyperlink w:anchor="_Toc9151" w:history="1">
        <w:r>
          <w:rPr>
            <w:rFonts w:ascii="宋体" w:eastAsia="宋体" w:hAnsi="宋体" w:cs="宋体" w:hint="eastAsia"/>
            <w:bCs w:val="0"/>
            <w:szCs w:val="28"/>
            <w:lang w:eastAsia="zh-CN"/>
          </w:rPr>
          <w:t>(四)、主要防范措施</w:t>
        </w:r>
        <w:r>
          <w:tab/>
        </w:r>
        <w:r>
          <w:fldChar w:fldCharType="begin"/>
        </w:r>
        <w:r>
          <w:instrText xml:space="preserve"> PAGEREF _Toc9151 \h </w:instrText>
        </w:r>
        <w:r>
          <w:fldChar w:fldCharType="separate"/>
        </w:r>
        <w:r>
          <w:t>8</w:t>
        </w:r>
        <w:r>
          <w:fldChar w:fldCharType="end"/>
        </w:r>
      </w:hyperlink>
    </w:p>
    <w:p>
      <w:pPr>
        <w:pStyle w:val="TOC2"/>
        <w:tabs>
          <w:tab w:val="right" w:leader="dot" w:pos="8306"/>
        </w:tabs>
      </w:pPr>
      <w:hyperlink w:anchor="_Toc21271" w:history="1">
        <w:r>
          <w:rPr>
            <w:rFonts w:ascii="宋体" w:eastAsia="宋体" w:hAnsi="宋体" w:cs="宋体" w:hint="eastAsia"/>
            <w:bCs w:val="0"/>
            <w:szCs w:val="28"/>
            <w:lang w:eastAsia="zh-CN"/>
          </w:rPr>
          <w:t>(五)、制度优化与更新</w:t>
        </w:r>
        <w:r>
          <w:tab/>
        </w:r>
        <w:r>
          <w:fldChar w:fldCharType="begin"/>
        </w:r>
        <w:r>
          <w:instrText xml:space="preserve"> PAGEREF _Toc21271 \h </w:instrText>
        </w:r>
        <w:r>
          <w:fldChar w:fldCharType="separate"/>
        </w:r>
        <w:r>
          <w:t>9</w:t>
        </w:r>
        <w:r>
          <w:fldChar w:fldCharType="end"/>
        </w:r>
      </w:hyperlink>
    </w:p>
    <w:p>
      <w:pPr>
        <w:pStyle w:val="TOC1"/>
        <w:tabs>
          <w:tab w:val="right" w:leader="dot" w:pos="8306"/>
        </w:tabs>
      </w:pPr>
      <w:hyperlink w:anchor="_Toc16979" w:history="1">
        <w:r>
          <w:rPr>
            <w:rFonts w:ascii="微软雅黑" w:eastAsia="微软雅黑" w:hAnsi="微软雅黑" w:cs="微软雅黑" w:hint="eastAsia"/>
            <w:color w:val="001CAC" w:themeColor="hyperlink" w:themeShade="BF"/>
            <w:szCs w:val="32"/>
            <w:lang w:eastAsia="zh-CN"/>
          </w:rPr>
          <w:t>二、资金筹措与投资分析</w:t>
        </w:r>
        <w:r>
          <w:tab/>
        </w:r>
        <w:r>
          <w:fldChar w:fldCharType="begin"/>
        </w:r>
        <w:r>
          <w:instrText xml:space="preserve"> PAGEREF _Toc16979 \h </w:instrText>
        </w:r>
        <w:r>
          <w:fldChar w:fldCharType="separate"/>
        </w:r>
        <w:r>
          <w:t>10</w:t>
        </w:r>
        <w:r>
          <w:fldChar w:fldCharType="end"/>
        </w:r>
      </w:hyperlink>
    </w:p>
    <w:p>
      <w:pPr>
        <w:pStyle w:val="TOC2"/>
        <w:tabs>
          <w:tab w:val="right" w:leader="dot" w:pos="8306"/>
        </w:tabs>
      </w:pPr>
      <w:hyperlink w:anchor="_Toc18633" w:history="1">
        <w:r>
          <w:rPr>
            <w:rFonts w:ascii="宋体" w:eastAsia="宋体" w:hAnsi="宋体" w:cs="宋体" w:hint="eastAsia"/>
            <w:bCs w:val="0"/>
            <w:szCs w:val="28"/>
            <w:lang w:eastAsia="zh-CN"/>
          </w:rPr>
          <w:t>(一)、资金需求与筹措计划</w:t>
        </w:r>
        <w:r>
          <w:tab/>
        </w:r>
        <w:r>
          <w:fldChar w:fldCharType="begin"/>
        </w:r>
        <w:r>
          <w:instrText xml:space="preserve"> PAGEREF _Toc18633 \h </w:instrText>
        </w:r>
        <w:r>
          <w:fldChar w:fldCharType="separate"/>
        </w:r>
        <w:r>
          <w:t>10</w:t>
        </w:r>
        <w:r>
          <w:fldChar w:fldCharType="end"/>
        </w:r>
      </w:hyperlink>
    </w:p>
    <w:p>
      <w:pPr>
        <w:pStyle w:val="TOC2"/>
        <w:tabs>
          <w:tab w:val="right" w:leader="dot" w:pos="8306"/>
        </w:tabs>
      </w:pPr>
      <w:hyperlink w:anchor="_Toc5401" w:history="1">
        <w:r>
          <w:rPr>
            <w:rFonts w:ascii="宋体" w:eastAsia="宋体" w:hAnsi="宋体" w:cs="宋体" w:hint="eastAsia"/>
            <w:bCs w:val="0"/>
            <w:szCs w:val="28"/>
            <w:lang w:eastAsia="zh-CN"/>
          </w:rPr>
          <w:t>(二)、投资分析与回报预期</w:t>
        </w:r>
        <w:r>
          <w:tab/>
        </w:r>
        <w:r>
          <w:fldChar w:fldCharType="begin"/>
        </w:r>
        <w:r>
          <w:instrText xml:space="preserve"> PAGEREF _Toc5401 \h </w:instrText>
        </w:r>
        <w:r>
          <w:fldChar w:fldCharType="separate"/>
        </w:r>
        <w:r>
          <w:t>10</w:t>
        </w:r>
        <w:r>
          <w:fldChar w:fldCharType="end"/>
        </w:r>
      </w:hyperlink>
    </w:p>
    <w:p>
      <w:pPr>
        <w:pStyle w:val="TOC1"/>
        <w:tabs>
          <w:tab w:val="right" w:leader="dot" w:pos="8306"/>
        </w:tabs>
      </w:pPr>
      <w:hyperlink w:anchor="_Toc15485" w:history="1">
        <w:r>
          <w:rPr>
            <w:rFonts w:ascii="微软雅黑" w:eastAsia="微软雅黑" w:hAnsi="微软雅黑" w:cs="微软雅黑" w:hint="eastAsia"/>
            <w:color w:val="001CAC" w:themeColor="hyperlink" w:themeShade="BF"/>
            <w:szCs w:val="32"/>
            <w:lang w:eastAsia="zh-CN"/>
          </w:rPr>
          <w:t>三、屏蔽泵行业选址方案分析</w:t>
        </w:r>
        <w:r>
          <w:tab/>
        </w:r>
        <w:r>
          <w:fldChar w:fldCharType="begin"/>
        </w:r>
        <w:r>
          <w:instrText xml:space="preserve"> PAGEREF _Toc15485 \h </w:instrText>
        </w:r>
        <w:r>
          <w:fldChar w:fldCharType="separate"/>
        </w:r>
        <w:r>
          <w:t>11</w:t>
        </w:r>
        <w:r>
          <w:fldChar w:fldCharType="end"/>
        </w:r>
      </w:hyperlink>
    </w:p>
    <w:p>
      <w:pPr>
        <w:pStyle w:val="TOC2"/>
        <w:tabs>
          <w:tab w:val="right" w:leader="dot" w:pos="8306"/>
        </w:tabs>
      </w:pPr>
      <w:hyperlink w:anchor="_Toc24325" w:history="1">
        <w:r>
          <w:rPr>
            <w:rFonts w:ascii="宋体" w:eastAsia="宋体" w:hAnsi="宋体" w:cs="宋体" w:hint="eastAsia"/>
            <w:bCs w:val="0"/>
            <w:szCs w:val="28"/>
            <w:lang w:eastAsia="zh-CN"/>
          </w:rPr>
          <w:t>(一)、屏蔽泵行业选址影响因素</w:t>
        </w:r>
        <w:r>
          <w:tab/>
        </w:r>
        <w:r>
          <w:fldChar w:fldCharType="begin"/>
        </w:r>
        <w:r>
          <w:instrText xml:space="preserve"> PAGEREF _Toc24325 \h </w:instrText>
        </w:r>
        <w:r>
          <w:fldChar w:fldCharType="separate"/>
        </w:r>
        <w:r>
          <w:t>11</w:t>
        </w:r>
        <w:r>
          <w:fldChar w:fldCharType="end"/>
        </w:r>
      </w:hyperlink>
    </w:p>
    <w:p>
      <w:pPr>
        <w:pStyle w:val="TOC2"/>
        <w:tabs>
          <w:tab w:val="right" w:leader="dot" w:pos="8306"/>
        </w:tabs>
      </w:pPr>
      <w:hyperlink w:anchor="_Toc13374" w:history="1">
        <w:r>
          <w:rPr>
            <w:rFonts w:ascii="宋体" w:eastAsia="宋体" w:hAnsi="宋体" w:cs="宋体" w:hint="eastAsia"/>
            <w:bCs w:val="0"/>
            <w:szCs w:val="28"/>
            <w:lang w:eastAsia="zh-CN"/>
          </w:rPr>
          <w:t>(二)、屏蔽泵行业选址原则</w:t>
        </w:r>
        <w:r>
          <w:tab/>
        </w:r>
        <w:r>
          <w:fldChar w:fldCharType="begin"/>
        </w:r>
        <w:r>
          <w:instrText xml:space="preserve"> PAGEREF _Toc13374 \h </w:instrText>
        </w:r>
        <w:r>
          <w:fldChar w:fldCharType="separate"/>
        </w:r>
        <w:r>
          <w:t>13</w:t>
        </w:r>
        <w:r>
          <w:fldChar w:fldCharType="end"/>
        </w:r>
      </w:hyperlink>
    </w:p>
    <w:p>
      <w:pPr>
        <w:pStyle w:val="TOC2"/>
        <w:tabs>
          <w:tab w:val="right" w:leader="dot" w:pos="8306"/>
        </w:tabs>
      </w:pPr>
      <w:hyperlink w:anchor="_Toc10576" w:history="1">
        <w:r>
          <w:rPr>
            <w:rFonts w:ascii="宋体" w:eastAsia="宋体" w:hAnsi="宋体" w:cs="宋体" w:hint="eastAsia"/>
            <w:bCs w:val="0"/>
            <w:szCs w:val="28"/>
            <w:lang w:eastAsia="zh-CN"/>
          </w:rPr>
          <w:t>(三)、消费习惯对屏蔽泵行业选址的影响</w:t>
        </w:r>
        <w:r>
          <w:tab/>
        </w:r>
        <w:r>
          <w:fldChar w:fldCharType="begin"/>
        </w:r>
        <w:r>
          <w:instrText xml:space="preserve"> PAGEREF _Toc10576 \h </w:instrText>
        </w:r>
        <w:r>
          <w:fldChar w:fldCharType="separate"/>
        </w:r>
        <w:r>
          <w:t>14</w:t>
        </w:r>
        <w:r>
          <w:fldChar w:fldCharType="end"/>
        </w:r>
      </w:hyperlink>
    </w:p>
    <w:p>
      <w:pPr>
        <w:pStyle w:val="TOC2"/>
        <w:tabs>
          <w:tab w:val="right" w:leader="dot" w:pos="8306"/>
        </w:tabs>
      </w:pPr>
      <w:hyperlink w:anchor="_Toc10836" w:history="1">
        <w:r>
          <w:rPr>
            <w:rFonts w:ascii="宋体" w:eastAsia="宋体" w:hAnsi="宋体" w:cs="宋体" w:hint="eastAsia"/>
            <w:bCs w:val="0"/>
            <w:szCs w:val="28"/>
            <w:lang w:eastAsia="zh-CN"/>
          </w:rPr>
          <w:t>(四)、消费能力对屏蔽泵行业选址的影响</w:t>
        </w:r>
        <w:r>
          <w:tab/>
        </w:r>
        <w:r>
          <w:fldChar w:fldCharType="begin"/>
        </w:r>
        <w:r>
          <w:instrText xml:space="preserve"> PAGEREF _Toc10836 \h </w:instrText>
        </w:r>
        <w:r>
          <w:fldChar w:fldCharType="separate"/>
        </w:r>
        <w:r>
          <w:t>16</w:t>
        </w:r>
        <w:r>
          <w:fldChar w:fldCharType="end"/>
        </w:r>
      </w:hyperlink>
    </w:p>
    <w:p>
      <w:pPr>
        <w:pStyle w:val="TOC2"/>
        <w:tabs>
          <w:tab w:val="right" w:leader="dot" w:pos="8306"/>
        </w:tabs>
      </w:pPr>
      <w:hyperlink w:anchor="_Toc2893" w:history="1">
        <w:r>
          <w:rPr>
            <w:rFonts w:ascii="宋体" w:eastAsia="宋体" w:hAnsi="宋体" w:cs="宋体" w:hint="eastAsia"/>
            <w:bCs w:val="0"/>
            <w:szCs w:val="28"/>
            <w:lang w:eastAsia="zh-CN"/>
          </w:rPr>
          <w:t>(五)、经营成本对屏蔽泵行业选址的影响</w:t>
        </w:r>
        <w:r>
          <w:tab/>
        </w:r>
        <w:r>
          <w:fldChar w:fldCharType="begin"/>
        </w:r>
        <w:r>
          <w:instrText xml:space="preserve"> PAGEREF _Toc2893 \h </w:instrText>
        </w:r>
        <w:r>
          <w:fldChar w:fldCharType="separate"/>
        </w:r>
        <w:r>
          <w:t>17</w:t>
        </w:r>
        <w:r>
          <w:fldChar w:fldCharType="end"/>
        </w:r>
      </w:hyperlink>
    </w:p>
    <w:p>
      <w:pPr>
        <w:pStyle w:val="TOC2"/>
        <w:tabs>
          <w:tab w:val="right" w:leader="dot" w:pos="8306"/>
        </w:tabs>
      </w:pPr>
      <w:hyperlink w:anchor="_Toc28229" w:history="1">
        <w:r>
          <w:rPr>
            <w:rFonts w:ascii="宋体" w:eastAsia="宋体" w:hAnsi="宋体" w:cs="宋体" w:hint="eastAsia"/>
            <w:bCs w:val="0"/>
            <w:szCs w:val="28"/>
            <w:lang w:eastAsia="zh-CN"/>
          </w:rPr>
          <w:t>(六)、交通条件对屏蔽泵行业选址的影响</w:t>
        </w:r>
        <w:r>
          <w:tab/>
        </w:r>
        <w:r>
          <w:fldChar w:fldCharType="begin"/>
        </w:r>
        <w:r>
          <w:instrText xml:space="preserve"> PAGEREF _Toc28229 \h </w:instrText>
        </w:r>
        <w:r>
          <w:fldChar w:fldCharType="separate"/>
        </w:r>
        <w:r>
          <w:t>19</w:t>
        </w:r>
        <w:r>
          <w:fldChar w:fldCharType="end"/>
        </w:r>
      </w:hyperlink>
    </w:p>
    <w:p>
      <w:pPr>
        <w:pStyle w:val="TOC1"/>
        <w:tabs>
          <w:tab w:val="right" w:leader="dot" w:pos="8306"/>
        </w:tabs>
      </w:pPr>
      <w:hyperlink w:anchor="_Toc24032" w:history="1">
        <w:r>
          <w:rPr>
            <w:rFonts w:ascii="微软雅黑" w:eastAsia="微软雅黑" w:hAnsi="微软雅黑" w:cs="微软雅黑" w:hint="eastAsia"/>
            <w:color w:val="001CAC" w:themeColor="hyperlink" w:themeShade="BF"/>
            <w:szCs w:val="32"/>
            <w:lang w:eastAsia="zh-CN"/>
          </w:rPr>
          <w:t>四、项目背景与概况</w:t>
        </w:r>
        <w:r>
          <w:tab/>
        </w:r>
        <w:r>
          <w:fldChar w:fldCharType="begin"/>
        </w:r>
        <w:r>
          <w:instrText xml:space="preserve"> PAGEREF _Toc24032 \h </w:instrText>
        </w:r>
        <w:r>
          <w:fldChar w:fldCharType="separate"/>
        </w:r>
        <w:r>
          <w:t>20</w:t>
        </w:r>
        <w:r>
          <w:fldChar w:fldCharType="end"/>
        </w:r>
      </w:hyperlink>
    </w:p>
    <w:p>
      <w:pPr>
        <w:pStyle w:val="TOC2"/>
        <w:tabs>
          <w:tab w:val="right" w:leader="dot" w:pos="8306"/>
        </w:tabs>
      </w:pPr>
      <w:hyperlink w:anchor="_Toc1787" w:history="1">
        <w:r>
          <w:rPr>
            <w:rFonts w:ascii="宋体" w:eastAsia="宋体" w:hAnsi="宋体" w:cs="宋体" w:hint="eastAsia"/>
            <w:bCs w:val="0"/>
            <w:szCs w:val="28"/>
            <w:lang w:eastAsia="zh-CN"/>
          </w:rPr>
          <w:t>(一)、项目背景介绍</w:t>
        </w:r>
        <w:r>
          <w:tab/>
        </w:r>
        <w:r>
          <w:fldChar w:fldCharType="begin"/>
        </w:r>
        <w:r>
          <w:instrText xml:space="preserve"> PAGEREF _Toc1787 \h </w:instrText>
        </w:r>
        <w:r>
          <w:fldChar w:fldCharType="separate"/>
        </w:r>
        <w:r>
          <w:t>20</w:t>
        </w:r>
        <w:r>
          <w:fldChar w:fldCharType="end"/>
        </w:r>
      </w:hyperlink>
    </w:p>
    <w:p>
      <w:pPr>
        <w:pStyle w:val="TOC2"/>
        <w:tabs>
          <w:tab w:val="right" w:leader="dot" w:pos="8306"/>
        </w:tabs>
      </w:pPr>
      <w:hyperlink w:anchor="_Toc8089" w:history="1">
        <w:r>
          <w:rPr>
            <w:rFonts w:ascii="宋体" w:eastAsia="宋体" w:hAnsi="宋体" w:cs="宋体" w:hint="eastAsia"/>
            <w:bCs w:val="0"/>
            <w:szCs w:val="28"/>
            <w:lang w:eastAsia="zh-CN"/>
          </w:rPr>
          <w:t>(二)、项目概况与目标</w:t>
        </w:r>
        <w:r>
          <w:tab/>
        </w:r>
        <w:r>
          <w:fldChar w:fldCharType="begin"/>
        </w:r>
        <w:r>
          <w:instrText xml:space="preserve"> PAGEREF _Toc8089 \h </w:instrText>
        </w:r>
        <w:r>
          <w:fldChar w:fldCharType="separate"/>
        </w:r>
        <w:r>
          <w:t>21</w:t>
        </w:r>
        <w:r>
          <w:fldChar w:fldCharType="end"/>
        </w:r>
      </w:hyperlink>
    </w:p>
    <w:p>
      <w:pPr>
        <w:pStyle w:val="TOC2"/>
        <w:tabs>
          <w:tab w:val="right" w:leader="dot" w:pos="8306"/>
        </w:tabs>
      </w:pPr>
      <w:hyperlink w:anchor="_Toc26339" w:history="1">
        <w:r>
          <w:rPr>
            <w:rFonts w:ascii="宋体" w:eastAsia="宋体" w:hAnsi="宋体" w:cs="宋体" w:hint="eastAsia"/>
            <w:bCs w:val="0"/>
            <w:szCs w:val="28"/>
            <w:lang w:eastAsia="zh-CN"/>
          </w:rPr>
          <w:t>(三)、屏蔽泵行业及市场分析</w:t>
        </w:r>
        <w:r>
          <w:tab/>
        </w:r>
        <w:r>
          <w:fldChar w:fldCharType="begin"/>
        </w:r>
        <w:r>
          <w:instrText xml:space="preserve"> PAGEREF _Toc26339 \h </w:instrText>
        </w:r>
        <w:r>
          <w:fldChar w:fldCharType="separate"/>
        </w:r>
        <w:r>
          <w:t>21</w:t>
        </w:r>
        <w:r>
          <w:fldChar w:fldCharType="end"/>
        </w:r>
      </w:hyperlink>
    </w:p>
    <w:p>
      <w:pPr>
        <w:pStyle w:val="TOC1"/>
        <w:tabs>
          <w:tab w:val="right" w:leader="dot" w:pos="8306"/>
        </w:tabs>
      </w:pPr>
      <w:hyperlink w:anchor="_Toc14022" w:history="1">
        <w:r>
          <w:rPr>
            <w:rFonts w:ascii="微软雅黑" w:eastAsia="微软雅黑" w:hAnsi="微软雅黑" w:cs="微软雅黑" w:hint="eastAsia"/>
            <w:color w:val="001CAC" w:themeColor="hyperlink" w:themeShade="BF"/>
            <w:szCs w:val="32"/>
            <w:lang w:eastAsia="zh-CN"/>
          </w:rPr>
          <w:t>五、质量与技术管理</w:t>
        </w:r>
        <w:r>
          <w:tab/>
        </w:r>
        <w:r>
          <w:fldChar w:fldCharType="begin"/>
        </w:r>
        <w:r>
          <w:instrText xml:space="preserve"> PAGEREF _Toc14022 \h </w:instrText>
        </w:r>
        <w:r>
          <w:fldChar w:fldCharType="separate"/>
        </w:r>
        <w:r>
          <w:t>22</w:t>
        </w:r>
        <w:r>
          <w:fldChar w:fldCharType="end"/>
        </w:r>
      </w:hyperlink>
    </w:p>
    <w:p>
      <w:pPr>
        <w:pStyle w:val="TOC2"/>
        <w:tabs>
          <w:tab w:val="right" w:leader="dot" w:pos="8306"/>
        </w:tabs>
      </w:pPr>
      <w:hyperlink w:anchor="_Toc2630" w:history="1">
        <w:r>
          <w:rPr>
            <w:rFonts w:ascii="宋体" w:eastAsia="宋体" w:hAnsi="宋体" w:cs="宋体" w:hint="eastAsia"/>
            <w:bCs w:val="0"/>
            <w:szCs w:val="28"/>
            <w:lang w:eastAsia="zh-CN"/>
          </w:rPr>
          <w:t>(一)、质量管理体系建设</w:t>
        </w:r>
        <w:r>
          <w:tab/>
        </w:r>
        <w:r>
          <w:fldChar w:fldCharType="begin"/>
        </w:r>
        <w:r>
          <w:instrText xml:space="preserve"> PAGEREF _Toc2630 \h </w:instrText>
        </w:r>
        <w:r>
          <w:fldChar w:fldCharType="separate"/>
        </w:r>
        <w:r>
          <w:t>22</w:t>
        </w:r>
        <w:r>
          <w:fldChar w:fldCharType="end"/>
        </w:r>
      </w:hyperlink>
    </w:p>
    <w:p>
      <w:pPr>
        <w:pStyle w:val="TOC2"/>
        <w:tabs>
          <w:tab w:val="right" w:leader="dot" w:pos="8306"/>
        </w:tabs>
      </w:pPr>
      <w:hyperlink w:anchor="_Toc26875" w:history="1">
        <w:r>
          <w:rPr>
            <w:rFonts w:ascii="宋体" w:eastAsia="宋体" w:hAnsi="宋体" w:cs="宋体" w:hint="eastAsia"/>
            <w:bCs w:val="0"/>
            <w:szCs w:val="28"/>
            <w:lang w:eastAsia="zh-CN"/>
          </w:rPr>
          <w:t>(二)、技术标准与创新</w:t>
        </w:r>
        <w:r>
          <w:tab/>
        </w:r>
        <w:r>
          <w:fldChar w:fldCharType="begin"/>
        </w:r>
        <w:r>
          <w:instrText xml:space="preserve"> PAGEREF _Toc26875 \h </w:instrText>
        </w:r>
        <w:r>
          <w:fldChar w:fldCharType="separate"/>
        </w:r>
        <w:r>
          <w:t>23</w:t>
        </w:r>
        <w:r>
          <w:fldChar w:fldCharType="end"/>
        </w:r>
      </w:hyperlink>
    </w:p>
    <w:p>
      <w:pPr>
        <w:pStyle w:val="TOC1"/>
        <w:tabs>
          <w:tab w:val="right" w:leader="dot" w:pos="8306"/>
        </w:tabs>
      </w:pPr>
      <w:hyperlink w:anchor="_Toc6444" w:history="1">
        <w:r>
          <w:rPr>
            <w:rFonts w:ascii="微软雅黑" w:eastAsia="微软雅黑" w:hAnsi="微软雅黑" w:cs="微软雅黑" w:hint="eastAsia"/>
            <w:color w:val="001CAC" w:themeColor="hyperlink" w:themeShade="BF"/>
            <w:szCs w:val="32"/>
            <w:lang w:eastAsia="zh-CN"/>
          </w:rPr>
          <w:t>六、制度运行与优化</w:t>
        </w:r>
        <w:r>
          <w:tab/>
        </w:r>
        <w:r>
          <w:fldChar w:fldCharType="begin"/>
        </w:r>
        <w:r>
          <w:instrText xml:space="preserve"> PAGEREF _Toc6444 \h </w:instrText>
        </w:r>
        <w:r>
          <w:fldChar w:fldCharType="separate"/>
        </w:r>
        <w:r>
          <w:t>24</w:t>
        </w:r>
        <w:r>
          <w:fldChar w:fldCharType="end"/>
        </w:r>
      </w:hyperlink>
    </w:p>
    <w:p>
      <w:pPr>
        <w:pStyle w:val="TOC2"/>
        <w:tabs>
          <w:tab w:val="right" w:leader="dot" w:pos="8306"/>
        </w:tabs>
      </w:pPr>
      <w:hyperlink w:anchor="_Toc23514" w:history="1">
        <w:r>
          <w:rPr>
            <w:rFonts w:ascii="宋体" w:eastAsia="宋体" w:hAnsi="宋体" w:cs="宋体" w:hint="eastAsia"/>
            <w:bCs w:val="0"/>
            <w:szCs w:val="28"/>
            <w:lang w:eastAsia="zh-CN"/>
          </w:rPr>
          <w:t>(一)、制度执行与监督</w:t>
        </w:r>
        <w:r>
          <w:tab/>
        </w:r>
        <w:r>
          <w:fldChar w:fldCharType="begin"/>
        </w:r>
        <w:r>
          <w:instrText xml:space="preserve"> PAGEREF _Toc23514 \h </w:instrText>
        </w:r>
        <w:r>
          <w:fldChar w:fldCharType="separate"/>
        </w:r>
        <w:r>
          <w:t>24</w:t>
        </w:r>
        <w:r>
          <w:fldChar w:fldCharType="end"/>
        </w:r>
      </w:hyperlink>
    </w:p>
    <w:p>
      <w:pPr>
        <w:pStyle w:val="TOC2"/>
        <w:tabs>
          <w:tab w:val="right" w:leader="dot" w:pos="8306"/>
        </w:tabs>
      </w:pPr>
      <w:hyperlink w:anchor="_Toc12673" w:history="1">
        <w:r>
          <w:rPr>
            <w:rFonts w:ascii="宋体" w:eastAsia="宋体" w:hAnsi="宋体" w:cs="宋体" w:hint="eastAsia"/>
            <w:bCs w:val="0"/>
            <w:szCs w:val="28"/>
            <w:lang w:eastAsia="zh-CN"/>
          </w:rPr>
          <w:t>(二)、制度优化与更新</w:t>
        </w:r>
        <w:r>
          <w:tab/>
        </w:r>
        <w:r>
          <w:fldChar w:fldCharType="begin"/>
        </w:r>
        <w:r>
          <w:instrText xml:space="preserve"> PAGEREF _Toc12673 \h </w:instrText>
        </w:r>
        <w:r>
          <w:fldChar w:fldCharType="separate"/>
        </w:r>
        <w:r>
          <w:t>24</w:t>
        </w:r>
        <w:r>
          <w:fldChar w:fldCharType="end"/>
        </w:r>
      </w:hyperlink>
    </w:p>
    <w:p>
      <w:pPr>
        <w:pStyle w:val="TOC1"/>
        <w:tabs>
          <w:tab w:val="right" w:leader="dot" w:pos="8306"/>
        </w:tabs>
      </w:pPr>
      <w:hyperlink w:anchor="_Toc20772" w:history="1">
        <w:r>
          <w:rPr>
            <w:rFonts w:ascii="微软雅黑" w:eastAsia="微软雅黑" w:hAnsi="微软雅黑" w:cs="微软雅黑" w:hint="eastAsia"/>
            <w:color w:val="001CAC" w:themeColor="hyperlink" w:themeShade="BF"/>
            <w:szCs w:val="32"/>
            <w:lang w:eastAsia="zh-CN"/>
          </w:rPr>
          <w:t>七、项目运营与管理</w:t>
        </w:r>
        <w:r>
          <w:tab/>
        </w:r>
        <w:r>
          <w:fldChar w:fldCharType="begin"/>
        </w:r>
        <w:r>
          <w:instrText xml:space="preserve"> PAGEREF _Toc20772 \h </w:instrText>
        </w:r>
        <w:r>
          <w:fldChar w:fldCharType="separate"/>
        </w:r>
        <w:r>
          <w:t>25</w:t>
        </w:r>
        <w:r>
          <w:fldChar w:fldCharType="end"/>
        </w:r>
      </w:hyperlink>
    </w:p>
    <w:p>
      <w:pPr>
        <w:pStyle w:val="TOC2"/>
        <w:tabs>
          <w:tab w:val="right" w:leader="dot" w:pos="8306"/>
        </w:tabs>
      </w:pPr>
      <w:hyperlink w:anchor="_Toc25443" w:history="1">
        <w:r>
          <w:rPr>
            <w:rFonts w:ascii="宋体" w:eastAsia="宋体" w:hAnsi="宋体" w:cs="宋体" w:hint="eastAsia"/>
            <w:bCs w:val="0"/>
            <w:szCs w:val="28"/>
            <w:lang w:eastAsia="zh-CN"/>
          </w:rPr>
          <w:t>(一)、运营模式选择</w:t>
        </w:r>
        <w:r>
          <w:tab/>
        </w:r>
        <w:r>
          <w:fldChar w:fldCharType="begin"/>
        </w:r>
        <w:r>
          <w:instrText xml:space="preserve"> PAGEREF _Toc25443 \h </w:instrText>
        </w:r>
        <w:r>
          <w:fldChar w:fldCharType="separate"/>
        </w:r>
        <w:r>
          <w:t>25</w:t>
        </w:r>
        <w:r>
          <w:fldChar w:fldCharType="end"/>
        </w:r>
      </w:hyperlink>
    </w:p>
    <w:p>
      <w:pPr>
        <w:pStyle w:val="TOC2"/>
        <w:tabs>
          <w:tab w:val="right" w:leader="dot" w:pos="8306"/>
        </w:tabs>
      </w:pPr>
      <w:hyperlink w:anchor="_Toc8287" w:history="1">
        <w:r>
          <w:rPr>
            <w:rFonts w:ascii="宋体" w:eastAsia="宋体" w:hAnsi="宋体" w:cs="宋体" w:hint="eastAsia"/>
            <w:bCs w:val="0"/>
            <w:szCs w:val="28"/>
            <w:lang w:eastAsia="zh-CN"/>
          </w:rPr>
          <w:t>(二)、人力资源规划</w:t>
        </w:r>
        <w:r>
          <w:tab/>
        </w:r>
        <w:r>
          <w:fldChar w:fldCharType="begin"/>
        </w:r>
        <w:r>
          <w:instrText xml:space="preserve"> PAGEREF _Toc8287 \h </w:instrText>
        </w:r>
        <w:r>
          <w:fldChar w:fldCharType="separate"/>
        </w:r>
        <w:r>
          <w:t>26</w:t>
        </w:r>
        <w:r>
          <w:fldChar w:fldCharType="end"/>
        </w:r>
      </w:hyperlink>
    </w:p>
    <w:p>
      <w:pPr>
        <w:pStyle w:val="TOC2"/>
        <w:tabs>
          <w:tab w:val="right" w:leader="dot" w:pos="8306"/>
        </w:tabs>
      </w:pPr>
      <w:hyperlink w:anchor="_Toc30898" w:history="1">
        <w:r>
          <w:rPr>
            <w:rFonts w:ascii="宋体" w:eastAsia="宋体" w:hAnsi="宋体" w:cs="宋体" w:hint="eastAsia"/>
            <w:bCs w:val="0"/>
            <w:szCs w:val="28"/>
            <w:lang w:eastAsia="zh-CN"/>
          </w:rPr>
          <w:t>(三)、财务管理计划</w:t>
        </w:r>
        <w:r>
          <w:tab/>
        </w:r>
        <w:r>
          <w:fldChar w:fldCharType="begin"/>
        </w:r>
        <w:r>
          <w:instrText xml:space="preserve"> PAGEREF _Toc30898 \h </w:instrText>
        </w:r>
        <w:r>
          <w:fldChar w:fldCharType="separate"/>
        </w:r>
        <w:r>
          <w:t>26</w:t>
        </w:r>
        <w:r>
          <w:fldChar w:fldCharType="end"/>
        </w:r>
      </w:hyperlink>
    </w:p>
    <w:p>
      <w:pPr>
        <w:pStyle w:val="TOC2"/>
        <w:tabs>
          <w:tab w:val="right" w:leader="dot" w:pos="8306"/>
        </w:tabs>
      </w:pPr>
      <w:hyperlink w:anchor="_Toc17040" w:history="1">
        <w:r>
          <w:rPr>
            <w:rFonts w:ascii="宋体" w:eastAsia="宋体" w:hAnsi="宋体" w:cs="宋体" w:hint="eastAsia"/>
            <w:bCs w:val="0"/>
            <w:szCs w:val="28"/>
            <w:lang w:eastAsia="zh-CN"/>
          </w:rPr>
          <w:t>(四)、供应链管理</w:t>
        </w:r>
        <w:r>
          <w:tab/>
        </w:r>
        <w:r>
          <w:fldChar w:fldCharType="begin"/>
        </w:r>
        <w:r>
          <w:instrText xml:space="preserve"> PAGEREF _Toc17040 \h </w:instrText>
        </w:r>
        <w:r>
          <w:fldChar w:fldCharType="separate"/>
        </w:r>
        <w:r>
          <w:t>27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50" w:history="1">
        <w:r>
          <w:rPr>
            <w:rFonts w:ascii="微软雅黑" w:eastAsia="微软雅黑" w:hAnsi="微软雅黑" w:cs="微软雅黑" w:hint="eastAsia"/>
            <w:color w:val="001CAC" w:themeColor="hyperlink" w:themeShade="BF"/>
            <w:szCs w:val="32"/>
            <w:lang w:eastAsia="zh-CN"/>
          </w:rPr>
          <w:t>八、环境与社会责任</w:t>
        </w:r>
        <w:r>
          <w:tab/>
        </w:r>
        <w:r>
          <w:fldChar w:fldCharType="begin"/>
        </w:r>
        <w:r>
          <w:instrText xml:space="preserve"> PAGEREF _Toc10850 \h </w:instrText>
        </w:r>
        <w:r>
          <w:fldChar w:fldCharType="separate"/>
        </w:r>
        <w:r>
          <w:t>28</w:t>
        </w:r>
        <w:r>
          <w:fldChar w:fldCharType="end"/>
        </w:r>
      </w:hyperlink>
    </w:p>
    <w:p>
      <w:pPr>
        <w:pStyle w:val="TOC2"/>
        <w:tabs>
          <w:tab w:val="right" w:leader="dot" w:pos="8306"/>
        </w:tabs>
      </w:pPr>
      <w:hyperlink w:anchor="_Toc10457" w:history="1">
        <w:r>
          <w:rPr>
            <w:rFonts w:ascii="宋体" w:eastAsia="宋体" w:hAnsi="宋体" w:cs="宋体" w:hint="eastAsia"/>
            <w:bCs w:val="0"/>
            <w:szCs w:val="28"/>
            <w:lang w:eastAsia="zh-CN"/>
          </w:rPr>
          <w:t>(一)、环境影响评估</w:t>
        </w:r>
        <w:r>
          <w:tab/>
        </w:r>
        <w:r>
          <w:fldChar w:fldCharType="begin"/>
        </w:r>
        <w:r>
          <w:instrText xml:space="preserve"> PAGEREF _Toc10457 \h </w:instrText>
        </w:r>
        <w:r>
          <w:fldChar w:fldCharType="separate"/>
        </w:r>
        <w:r>
          <w:t>28</w:t>
        </w:r>
        <w:r>
          <w:fldChar w:fldCharType="end"/>
        </w:r>
      </w:hyperlink>
    </w:p>
    <w:p>
      <w:pPr>
        <w:pStyle w:val="TOC2"/>
        <w:tabs>
          <w:tab w:val="right" w:leader="dot" w:pos="8306"/>
        </w:tabs>
      </w:pPr>
      <w:hyperlink w:anchor="_Toc14623" w:history="1">
        <w:r>
          <w:rPr>
            <w:rFonts w:ascii="宋体" w:eastAsia="宋体" w:hAnsi="宋体" w:cs="宋体" w:hint="eastAsia"/>
            <w:bCs w:val="0"/>
            <w:szCs w:val="28"/>
            <w:lang w:eastAsia="zh-CN"/>
          </w:rPr>
          <w:t>(二)、社会责任与可持续发展</w:t>
        </w:r>
        <w:r>
          <w:tab/>
        </w:r>
        <w:r>
          <w:fldChar w:fldCharType="begin"/>
        </w:r>
        <w:r>
          <w:instrText xml:space="preserve"> PAGEREF _Toc14623 \h </w:instrText>
        </w:r>
        <w:r>
          <w:fldChar w:fldCharType="separate"/>
        </w:r>
        <w:r>
          <w:t>29</w:t>
        </w:r>
        <w:r>
          <w:fldChar w:fldCharType="end"/>
        </w:r>
      </w:hyperlink>
    </w:p>
    <w:p>
      <w:pPr>
        <w:pStyle w:val="TOC1"/>
        <w:tabs>
          <w:tab w:val="right" w:leader="dot" w:pos="8306"/>
        </w:tabs>
      </w:pPr>
      <w:hyperlink w:anchor="_Toc7422" w:history="1">
        <w:r>
          <w:rPr>
            <w:rFonts w:ascii="微软雅黑" w:eastAsia="微软雅黑" w:hAnsi="微软雅黑" w:cs="微软雅黑" w:hint="eastAsia"/>
            <w:color w:val="001CAC" w:themeColor="hyperlink" w:themeShade="BF"/>
            <w:szCs w:val="32"/>
            <w:lang w:eastAsia="zh-CN"/>
          </w:rPr>
          <w:t>九、屏蔽泵行业运营管理及商业模式分析</w:t>
        </w:r>
        <w:r>
          <w:tab/>
        </w:r>
        <w:r>
          <w:fldChar w:fldCharType="begin"/>
        </w:r>
        <w:r>
          <w:instrText xml:space="preserve"> PAGEREF _Toc7422 \h </w:instrText>
        </w:r>
        <w:r>
          <w:fldChar w:fldCharType="separate"/>
        </w:r>
        <w:r>
          <w:t>30</w:t>
        </w:r>
        <w:r>
          <w:fldChar w:fldCharType="end"/>
        </w:r>
      </w:hyperlink>
    </w:p>
    <w:p>
      <w:pPr>
        <w:pStyle w:val="TOC2"/>
        <w:tabs>
          <w:tab w:val="right" w:leader="dot" w:pos="8306"/>
        </w:tabs>
      </w:pPr>
      <w:hyperlink w:anchor="_Toc19516" w:history="1">
        <w:r>
          <w:rPr>
            <w:rFonts w:ascii="宋体" w:eastAsia="宋体" w:hAnsi="宋体" w:cs="宋体" w:hint="eastAsia"/>
            <w:bCs w:val="0"/>
            <w:szCs w:val="28"/>
            <w:lang w:eastAsia="zh-CN"/>
          </w:rPr>
          <w:t>(一)、屏蔽泵行业数字化发展方案</w:t>
        </w:r>
        <w:r>
          <w:tab/>
        </w:r>
        <w:r>
          <w:fldChar w:fldCharType="begin"/>
        </w:r>
        <w:r>
          <w:instrText xml:space="preserve"> PAGEREF _Toc19516 \h </w:instrText>
        </w:r>
        <w:r>
          <w:fldChar w:fldCharType="separate"/>
        </w:r>
        <w:r>
          <w:t>30</w:t>
        </w:r>
        <w:r>
          <w:fldChar w:fldCharType="end"/>
        </w:r>
      </w:hyperlink>
    </w:p>
    <w:p>
      <w:pPr>
        <w:pStyle w:val="TOC2"/>
        <w:tabs>
          <w:tab w:val="right" w:leader="dot" w:pos="8306"/>
        </w:tabs>
      </w:pPr>
      <w:hyperlink w:anchor="_Toc8990" w:history="1">
        <w:r>
          <w:rPr>
            <w:rFonts w:ascii="宋体" w:eastAsia="宋体" w:hAnsi="宋体" w:cs="宋体" w:hint="eastAsia"/>
            <w:bCs w:val="0"/>
            <w:szCs w:val="28"/>
            <w:lang w:eastAsia="zh-CN"/>
          </w:rPr>
          <w:t>(二)、屏蔽泵行业新型运营方式</w:t>
        </w:r>
        <w:r>
          <w:tab/>
        </w:r>
        <w:r>
          <w:fldChar w:fldCharType="begin"/>
        </w:r>
        <w:r>
          <w:instrText xml:space="preserve"> PAGEREF _Toc8990 \h </w:instrText>
        </w:r>
        <w:r>
          <w:fldChar w:fldCharType="separate"/>
        </w:r>
        <w:r>
          <w:t>33</w:t>
        </w:r>
        <w:r>
          <w:fldChar w:fldCharType="end"/>
        </w:r>
      </w:hyperlink>
    </w:p>
    <w:p>
      <w:pPr>
        <w:pStyle w:val="TOC2"/>
        <w:tabs>
          <w:tab w:val="right" w:leader="dot" w:pos="8306"/>
        </w:tabs>
      </w:pPr>
      <w:hyperlink w:anchor="_Toc20752" w:history="1">
        <w:r>
          <w:rPr>
            <w:rFonts w:ascii="宋体" w:eastAsia="宋体" w:hAnsi="宋体" w:cs="宋体" w:hint="eastAsia"/>
            <w:bCs w:val="0"/>
            <w:szCs w:val="28"/>
            <w:lang w:eastAsia="zh-CN"/>
          </w:rPr>
          <w:t>(三)、屏蔽泵行业风险管理</w:t>
        </w:r>
        <w:r>
          <w:tab/>
        </w:r>
        <w:r>
          <w:fldChar w:fldCharType="begin"/>
        </w:r>
        <w:r>
          <w:instrText xml:space="preserve"> PAGEREF _Toc20752 \h </w:instrText>
        </w:r>
        <w:r>
          <w:fldChar w:fldCharType="separate"/>
        </w:r>
        <w:r>
          <w:t>36</w:t>
        </w:r>
        <w:r>
          <w:fldChar w:fldCharType="end"/>
        </w:r>
      </w:hyperlink>
    </w:p>
    <w:p>
      <w:pPr>
        <w:pStyle w:val="TOC1"/>
        <w:tabs>
          <w:tab w:val="right" w:leader="dot" w:pos="8306"/>
        </w:tabs>
      </w:pPr>
      <w:hyperlink w:anchor="_Toc20003" w:history="1">
        <w:r>
          <w:rPr>
            <w:rFonts w:ascii="微软雅黑" w:eastAsia="微软雅黑" w:hAnsi="微软雅黑" w:cs="微软雅黑" w:hint="eastAsia"/>
            <w:color w:val="001CAC" w:themeColor="hyperlink" w:themeShade="BF"/>
            <w:szCs w:val="32"/>
            <w:lang w:eastAsia="zh-CN"/>
          </w:rPr>
          <w:t>十、可持续发展与绿色经营</w:t>
        </w:r>
        <w:r>
          <w:tab/>
        </w:r>
        <w:r>
          <w:fldChar w:fldCharType="begin"/>
        </w:r>
        <w:r>
          <w:instrText xml:space="preserve"> PAGEREF _Toc20003 \h </w:instrText>
        </w:r>
        <w:r>
          <w:fldChar w:fldCharType="separate"/>
        </w:r>
        <w:r>
          <w:t>39</w:t>
        </w:r>
        <w:r>
          <w:fldChar w:fldCharType="end"/>
        </w:r>
      </w:hyperlink>
    </w:p>
    <w:p>
      <w:pPr>
        <w:pStyle w:val="TOC2"/>
        <w:tabs>
          <w:tab w:val="right" w:leader="dot" w:pos="8306"/>
        </w:tabs>
      </w:pPr>
      <w:hyperlink w:anchor="_Toc9762" w:history="1">
        <w:r>
          <w:rPr>
            <w:rFonts w:ascii="宋体" w:eastAsia="宋体" w:hAnsi="宋体" w:cs="宋体" w:hint="eastAsia"/>
            <w:bCs w:val="0"/>
            <w:szCs w:val="28"/>
            <w:lang w:eastAsia="zh-CN"/>
          </w:rPr>
          <w:t>(一)、可持续发展战略与目标</w:t>
        </w:r>
        <w:r>
          <w:tab/>
        </w:r>
        <w:r>
          <w:fldChar w:fldCharType="begin"/>
        </w:r>
        <w:r>
          <w:instrText xml:space="preserve"> PAGEREF _Toc9762 \h </w:instrText>
        </w:r>
        <w:r>
          <w:fldChar w:fldCharType="separate"/>
        </w:r>
        <w:r>
          <w:t>39</w:t>
        </w:r>
        <w:r>
          <w:fldChar w:fldCharType="end"/>
        </w:r>
      </w:hyperlink>
    </w:p>
    <w:p>
      <w:pPr>
        <w:pStyle w:val="TOC2"/>
        <w:tabs>
          <w:tab w:val="right" w:leader="dot" w:pos="8306"/>
        </w:tabs>
      </w:pPr>
      <w:hyperlink w:anchor="_Toc17584" w:history="1">
        <w:r>
          <w:rPr>
            <w:rFonts w:ascii="宋体" w:eastAsia="宋体" w:hAnsi="宋体" w:cs="宋体" w:hint="eastAsia"/>
            <w:bCs w:val="0"/>
            <w:szCs w:val="28"/>
            <w:lang w:eastAsia="zh-CN"/>
          </w:rPr>
          <w:t>(二)、环保政策与实践</w:t>
        </w:r>
        <w:r>
          <w:tab/>
        </w:r>
        <w:r>
          <w:fldChar w:fldCharType="begin"/>
        </w:r>
        <w:r>
          <w:instrText xml:space="preserve"> PAGEREF _Toc17584 \h </w:instrText>
        </w:r>
        <w:r>
          <w:fldChar w:fldCharType="separate"/>
        </w:r>
        <w:r>
          <w:t>41</w:t>
        </w:r>
        <w:r>
          <w:fldChar w:fldCharType="end"/>
        </w:r>
      </w:hyperlink>
    </w:p>
    <w:p>
      <w:pPr>
        <w:pStyle w:val="TOC2"/>
        <w:tabs>
          <w:tab w:val="right" w:leader="dot" w:pos="8306"/>
        </w:tabs>
      </w:pPr>
      <w:hyperlink w:anchor="_Toc30934" w:history="1">
        <w:r>
          <w:rPr>
            <w:rFonts w:ascii="宋体" w:eastAsia="宋体" w:hAnsi="宋体" w:cs="宋体" w:hint="eastAsia"/>
            <w:bCs w:val="0"/>
            <w:szCs w:val="28"/>
            <w:lang w:eastAsia="zh-CN"/>
          </w:rPr>
          <w:t>(三)、资源利用与循环经济</w:t>
        </w:r>
        <w:r>
          <w:tab/>
        </w:r>
        <w:r>
          <w:fldChar w:fldCharType="begin"/>
        </w:r>
        <w:r>
          <w:instrText xml:space="preserve"> PAGEREF _Toc30934 \h </w:instrText>
        </w:r>
        <w:r>
          <w:fldChar w:fldCharType="separate"/>
        </w:r>
        <w:r>
          <w:t>43</w:t>
        </w:r>
        <w:r>
          <w:fldChar w:fldCharType="end"/>
        </w:r>
      </w:hyperlink>
    </w:p>
    <w:p>
      <w:pPr>
        <w:pStyle w:val="TOC2"/>
        <w:tabs>
          <w:tab w:val="right" w:leader="dot" w:pos="8306"/>
        </w:tabs>
      </w:pPr>
      <w:hyperlink w:anchor="_Toc25247" w:history="1">
        <w:r>
          <w:rPr>
            <w:rFonts w:ascii="宋体" w:eastAsia="宋体" w:hAnsi="宋体" w:cs="宋体" w:hint="eastAsia"/>
            <w:bCs w:val="0"/>
            <w:szCs w:val="28"/>
            <w:lang w:eastAsia="zh-CN"/>
          </w:rPr>
          <w:t>(四)、碳中和与生态足迹</w:t>
        </w:r>
        <w:r>
          <w:tab/>
        </w:r>
        <w:r>
          <w:fldChar w:fldCharType="begin"/>
        </w:r>
        <w:r>
          <w:instrText xml:space="preserve"> PAGEREF _Toc25247 \h </w:instrText>
        </w:r>
        <w:r>
          <w:fldChar w:fldCharType="separate"/>
        </w:r>
        <w:r>
          <w:t>45</w:t>
        </w:r>
        <w:r>
          <w:fldChar w:fldCharType="end"/>
        </w:r>
      </w:hyperlink>
    </w:p>
    <w:p>
      <w:pPr>
        <w:pStyle w:val="TOC1"/>
        <w:tabs>
          <w:tab w:val="right" w:leader="dot" w:pos="8306"/>
        </w:tabs>
      </w:pPr>
      <w:hyperlink w:anchor="_Toc12675" w:history="1">
        <w:r>
          <w:rPr>
            <w:rFonts w:ascii="微软雅黑" w:eastAsia="微软雅黑" w:hAnsi="微软雅黑" w:cs="微软雅黑" w:hint="eastAsia"/>
            <w:color w:val="001CAC" w:themeColor="hyperlink" w:themeShade="BF"/>
            <w:szCs w:val="32"/>
            <w:lang w:eastAsia="zh-CN"/>
          </w:rPr>
          <w:t>十一、屏蔽泵行业公司治理与社会责任</w:t>
        </w:r>
        <w:r>
          <w:tab/>
        </w:r>
        <w:r>
          <w:fldChar w:fldCharType="begin"/>
        </w:r>
        <w:r>
          <w:instrText xml:space="preserve"> PAGEREF _Toc12675 \h </w:instrText>
        </w:r>
        <w:r>
          <w:fldChar w:fldCharType="separate"/>
        </w:r>
        <w:r>
          <w:t>47</w:t>
        </w:r>
        <w:r>
          <w:fldChar w:fldCharType="end"/>
        </w:r>
      </w:hyperlink>
    </w:p>
    <w:p>
      <w:pPr>
        <w:pStyle w:val="TOC2"/>
        <w:tabs>
          <w:tab w:val="right" w:leader="dot" w:pos="8306"/>
        </w:tabs>
      </w:pPr>
      <w:hyperlink w:anchor="_Toc842" w:history="1">
        <w:r>
          <w:rPr>
            <w:rFonts w:ascii="宋体" w:eastAsia="宋体" w:hAnsi="宋体" w:cs="宋体" w:hint="eastAsia"/>
            <w:bCs w:val="0"/>
            <w:szCs w:val="28"/>
            <w:lang w:eastAsia="zh-CN"/>
          </w:rPr>
          <w:t>(一)、公司治理结构</w:t>
        </w:r>
        <w:r>
          <w:tab/>
        </w:r>
        <w:r>
          <w:fldChar w:fldCharType="begin"/>
        </w:r>
        <w:r>
          <w:instrText xml:space="preserve"> PAGEREF _Toc842 \h </w:instrText>
        </w:r>
        <w:r>
          <w:fldChar w:fldCharType="separate"/>
        </w:r>
        <w:r>
          <w:t>47</w:t>
        </w:r>
        <w:r>
          <w:fldChar w:fldCharType="end"/>
        </w:r>
      </w:hyperlink>
    </w:p>
    <w:p>
      <w:pPr>
        <w:pStyle w:val="TOC2"/>
        <w:tabs>
          <w:tab w:val="right" w:leader="dot" w:pos="8306"/>
        </w:tabs>
      </w:pPr>
      <w:hyperlink w:anchor="_Toc26892" w:history="1">
        <w:r>
          <w:rPr>
            <w:rFonts w:ascii="宋体" w:eastAsia="宋体" w:hAnsi="宋体" w:cs="宋体" w:hint="eastAsia"/>
            <w:bCs w:val="0"/>
            <w:szCs w:val="28"/>
            <w:lang w:eastAsia="zh-CN"/>
          </w:rPr>
          <w:t>(二)、董事会运作与决策</w:t>
        </w:r>
        <w:r>
          <w:tab/>
        </w:r>
        <w:r>
          <w:fldChar w:fldCharType="begin"/>
        </w:r>
        <w:r>
          <w:instrText xml:space="preserve"> PAGEREF _Toc26892 \h </w:instrText>
        </w:r>
        <w:r>
          <w:fldChar w:fldCharType="separate"/>
        </w:r>
        <w:r>
          <w:t>48</w:t>
        </w:r>
        <w:r>
          <w:fldChar w:fldCharType="end"/>
        </w:r>
      </w:hyperlink>
    </w:p>
    <w:p>
      <w:pPr>
        <w:pStyle w:val="TOC2"/>
        <w:tabs>
          <w:tab w:val="right" w:leader="dot" w:pos="8306"/>
        </w:tabs>
      </w:pPr>
      <w:hyperlink w:anchor="_Toc9008" w:history="1">
        <w:r>
          <w:rPr>
            <w:rFonts w:ascii="宋体" w:eastAsia="宋体" w:hAnsi="宋体" w:cs="宋体" w:hint="eastAsia"/>
            <w:bCs w:val="0"/>
            <w:szCs w:val="28"/>
            <w:lang w:eastAsia="zh-CN"/>
          </w:rPr>
          <w:t>(三)、内部控制与审计</w:t>
        </w:r>
        <w:r>
          <w:tab/>
        </w:r>
        <w:r>
          <w:fldChar w:fldCharType="begin"/>
        </w:r>
        <w:r>
          <w:instrText xml:space="preserve"> PAGEREF _Toc9008 \h </w:instrText>
        </w:r>
        <w:r>
          <w:fldChar w:fldCharType="separate"/>
        </w:r>
        <w:r>
          <w:t>48</w:t>
        </w:r>
        <w:r>
          <w:fldChar w:fldCharType="end"/>
        </w:r>
      </w:hyperlink>
    </w:p>
    <w:p>
      <w:pPr>
        <w:pStyle w:val="TOC2"/>
        <w:tabs>
          <w:tab w:val="right" w:leader="dot" w:pos="8306"/>
        </w:tabs>
      </w:pPr>
      <w:hyperlink w:anchor="_Toc31863" w:history="1">
        <w:r>
          <w:rPr>
            <w:rFonts w:ascii="宋体" w:eastAsia="宋体" w:hAnsi="宋体" w:cs="宋体" w:hint="eastAsia"/>
            <w:bCs w:val="0"/>
            <w:szCs w:val="28"/>
            <w:lang w:eastAsia="zh-CN"/>
          </w:rPr>
          <w:t>(四)、法律法规合规体系</w:t>
        </w:r>
        <w:r>
          <w:tab/>
        </w:r>
        <w:r>
          <w:fldChar w:fldCharType="begin"/>
        </w:r>
        <w:r>
          <w:instrText xml:space="preserve"> PAGEREF _Toc31863 \h </w:instrText>
        </w:r>
        <w:r>
          <w:fldChar w:fldCharType="separate"/>
        </w:r>
        <w:r>
          <w:t>49</w:t>
        </w:r>
        <w:r>
          <w:fldChar w:fldCharType="end"/>
        </w:r>
      </w:hyperlink>
    </w:p>
    <w:p>
      <w:pPr>
        <w:pStyle w:val="TOC2"/>
        <w:tabs>
          <w:tab w:val="right" w:leader="dot" w:pos="8306"/>
        </w:tabs>
      </w:pPr>
      <w:hyperlink w:anchor="_Toc15289" w:history="1">
        <w:r>
          <w:rPr>
            <w:rFonts w:ascii="宋体" w:eastAsia="宋体" w:hAnsi="宋体" w:cs="宋体" w:hint="eastAsia"/>
            <w:bCs w:val="0"/>
            <w:szCs w:val="28"/>
            <w:lang w:eastAsia="zh-CN"/>
          </w:rPr>
          <w:t>(五)、企业社会责任与道德经营</w:t>
        </w:r>
        <w:r>
          <w:tab/>
        </w:r>
        <w:r>
          <w:fldChar w:fldCharType="begin"/>
        </w:r>
        <w:r>
          <w:instrText xml:space="preserve"> PAGEREF _Toc15289 \h </w:instrText>
        </w:r>
        <w:r>
          <w:fldChar w:fldCharType="separate"/>
        </w:r>
        <w:r>
          <w:t>50</w:t>
        </w:r>
        <w:r>
          <w:fldChar w:fldCharType="end"/>
        </w:r>
      </w:hyperlink>
    </w:p>
    <w:p>
      <w:pPr>
        <w:pStyle w:val="TOC1"/>
        <w:tabs>
          <w:tab w:val="right" w:leader="dot" w:pos="8306"/>
        </w:tabs>
      </w:pPr>
      <w:hyperlink w:anchor="_Toc13853" w:history="1">
        <w:r>
          <w:rPr>
            <w:rFonts w:ascii="微软雅黑" w:eastAsia="微软雅黑" w:hAnsi="微软雅黑" w:cs="微软雅黑" w:hint="eastAsia"/>
            <w:color w:val="001CAC" w:themeColor="hyperlink" w:themeShade="BF"/>
            <w:szCs w:val="32"/>
            <w:lang w:eastAsia="zh-CN"/>
          </w:rPr>
          <w:t>十二、项目管理与团队协作</w:t>
        </w:r>
        <w:r>
          <w:tab/>
        </w:r>
        <w:r>
          <w:fldChar w:fldCharType="begin"/>
        </w:r>
        <w:r>
          <w:instrText xml:space="preserve"> PAGEREF _Toc13853 \h </w:instrText>
        </w:r>
        <w:r>
          <w:fldChar w:fldCharType="separate"/>
        </w:r>
        <w:r>
          <w:t>51</w:t>
        </w:r>
        <w:r>
          <w:fldChar w:fldCharType="end"/>
        </w:r>
      </w:hyperlink>
    </w:p>
    <w:p>
      <w:pPr>
        <w:pStyle w:val="TOC2"/>
        <w:tabs>
          <w:tab w:val="right" w:leader="dot" w:pos="8306"/>
        </w:tabs>
      </w:pPr>
      <w:hyperlink w:anchor="_Toc4646" w:history="1">
        <w:r>
          <w:rPr>
            <w:rFonts w:ascii="宋体" w:eastAsia="宋体" w:hAnsi="宋体" w:cs="宋体" w:hint="eastAsia"/>
            <w:bCs w:val="0"/>
            <w:szCs w:val="28"/>
            <w:lang w:eastAsia="zh-CN"/>
          </w:rPr>
          <w:t>(一)、项目管理方法论</w:t>
        </w:r>
        <w:r>
          <w:tab/>
        </w:r>
        <w:r>
          <w:fldChar w:fldCharType="begin"/>
        </w:r>
        <w:r>
          <w:instrText xml:space="preserve"> PAGEREF _Toc4646 \h </w:instrText>
        </w:r>
        <w:r>
          <w:fldChar w:fldCharType="separate"/>
        </w:r>
        <w:r>
          <w:t>51</w:t>
        </w:r>
        <w:r>
          <w:fldChar w:fldCharType="end"/>
        </w:r>
      </w:hyperlink>
    </w:p>
    <w:p>
      <w:pPr>
        <w:pStyle w:val="TOC2"/>
        <w:tabs>
          <w:tab w:val="right" w:leader="dot" w:pos="8306"/>
        </w:tabs>
      </w:pPr>
      <w:hyperlink w:anchor="_Toc350" w:history="1">
        <w:r>
          <w:rPr>
            <w:rFonts w:ascii="宋体" w:eastAsia="宋体" w:hAnsi="宋体" w:cs="宋体" w:hint="eastAsia"/>
            <w:bCs w:val="0"/>
            <w:szCs w:val="28"/>
            <w:lang w:eastAsia="zh-CN"/>
          </w:rPr>
          <w:t>(二)、团队组建与角色分工</w:t>
        </w:r>
        <w:r>
          <w:tab/>
        </w:r>
        <w:r>
          <w:fldChar w:fldCharType="begin"/>
        </w:r>
        <w:r>
          <w:instrText xml:space="preserve"> PAGEREF _Toc350 \h </w:instrText>
        </w:r>
        <w:r>
          <w:fldChar w:fldCharType="separate"/>
        </w:r>
        <w:r>
          <w:t>51</w:t>
        </w:r>
        <w:r>
          <w:fldChar w:fldCharType="end"/>
        </w:r>
      </w:hyperlink>
    </w:p>
    <w:p>
      <w:pPr>
        <w:pStyle w:val="TOC2"/>
        <w:tabs>
          <w:tab w:val="right" w:leader="dot" w:pos="8306"/>
        </w:tabs>
      </w:pPr>
      <w:hyperlink w:anchor="_Toc15085" w:history="1">
        <w:r>
          <w:rPr>
            <w:rFonts w:ascii="宋体" w:eastAsia="宋体" w:hAnsi="宋体" w:cs="宋体" w:hint="eastAsia"/>
            <w:bCs w:val="0"/>
            <w:szCs w:val="28"/>
            <w:lang w:eastAsia="zh-CN"/>
          </w:rPr>
          <w:t>(三)、团队沟通与协作机制</w:t>
        </w:r>
        <w:r>
          <w:tab/>
        </w:r>
        <w:r>
          <w:fldChar w:fldCharType="begin"/>
        </w:r>
        <w:r>
          <w:instrText xml:space="preserve"> PAGEREF _Toc15085 \h </w:instrText>
        </w:r>
        <w:r>
          <w:fldChar w:fldCharType="separate"/>
        </w:r>
        <w:r>
          <w:t>53</w:t>
        </w:r>
        <w:r>
          <w:fldChar w:fldCharType="end"/>
        </w:r>
      </w:hyperlink>
    </w:p>
    <w:p>
      <w:pPr>
        <w:pStyle w:val="TOC2"/>
        <w:tabs>
          <w:tab w:val="right" w:leader="dot" w:pos="8306"/>
        </w:tabs>
      </w:pPr>
      <w:hyperlink w:anchor="_Toc1287" w:history="1">
        <w:r>
          <w:rPr>
            <w:rFonts w:ascii="宋体" w:eastAsia="宋体" w:hAnsi="宋体" w:cs="宋体" w:hint="eastAsia"/>
            <w:bCs w:val="0"/>
            <w:szCs w:val="28"/>
            <w:lang w:eastAsia="zh-CN"/>
          </w:rPr>
          <w:t>(四)、项目风险管理与应对</w:t>
        </w:r>
        <w:r>
          <w:tab/>
        </w:r>
        <w:r>
          <w:fldChar w:fldCharType="begin"/>
        </w:r>
        <w:r>
          <w:instrText xml:space="preserve"> PAGEREF _Toc1287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29351"/>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屏蔽泵行业研究报告是对屏蔽泵行业深入剖析的结果，旨在为屏蔽泵行业从业人员提供参考和借鉴。该报告所涉及的内容仅供学术研究和学习交流,不可用于商业用途。通过对屏蔽泵行业现状、市场规模和发展趋势的综合分析,以及对竞争格局和影响因素的评估，本报告旨在为读者提供全面的行业了解和决策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14137"/>
      <w:r>
        <w:rPr>
          <w:rFonts w:ascii="微软雅黑" w:eastAsia="微软雅黑" w:hAnsi="微软雅黑" w:cs="微软雅黑" w:hint="eastAsia"/>
          <w:color w:val="2E54A1" w:themeColor="accent1" w:themeShade="BF"/>
          <w:sz w:val="32"/>
          <w:szCs w:val="32"/>
          <w:lang w:eastAsia="zh-CN"/>
        </w:rPr>
        <w:t>一、屏蔽泵行业制度建设与执行</w:t>
      </w:r>
      <w:bookmarkEnd w:id="2"/>
    </w:p>
    <w:p>
      <w:pPr>
        <w:pStyle w:val="Heading2"/>
        <w:spacing w:line="480" w:lineRule="auto"/>
        <w:rPr>
          <w:rFonts w:ascii="宋体" w:eastAsia="宋体" w:hAnsi="宋体" w:cs="宋体" w:hint="eastAsia"/>
          <w:bCs w:val="0"/>
          <w:sz w:val="28"/>
          <w:szCs w:val="28"/>
          <w:lang w:eastAsia="zh-CN"/>
        </w:rPr>
      </w:pPr>
      <w:bookmarkStart w:id="3" w:name="_Toc30319"/>
      <w:r>
        <w:rPr>
          <w:rFonts w:ascii="宋体" w:eastAsia="宋体" w:hAnsi="宋体" w:cs="宋体" w:hint="eastAsia"/>
          <w:b/>
          <w:bCs w:val="0"/>
          <w:sz w:val="28"/>
          <w:szCs w:val="28"/>
          <w:lang w:eastAsia="zh-CN"/>
        </w:rPr>
        <w:t>(一)、公司制度体系规划</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公司制度体系规划是确保企业内部运营有序、高效的关键步骤。</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在屏蔽泵行业,我们致力于建立一套完备而灵活的公司制度体系，以促进组织内部的协同合作、明确责任、规范行为。下面是我们公司制度体系规划的主要方向：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法律法规合规：</w:t>
      </w:r>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sz w:val="24"/>
          <w:szCs w:val="24"/>
          <w:lang w:eastAsia="zh-CN"/>
        </w:rPr>
        <w:t>在法治社会,公司治理的首要任务之一是确保公司的各项运营活动符合国家和地区的法律法规。我们制定了明确而全面的合规制度，涵盖了从生产经营到员工权益的各个层面。首先，我们建立了专业的法务团队,负责定期对公司的各项运营活动进行法律审核和风险评估。其次，我们积极参与屏蔽泵行业协会，保持对屏蔽泵行业法规的敏感性和及时性,以确保公司在法规变化中能够做出迅速而准确的调整。此外，我们强调员工的法律意识培养，定期开展法律法规的培训，使全体员工都能够清晰理解和遵守相关法规,从而构建一个合法合规的企业运营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人力资源管理：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公司治理的框架下,人力资源是企业发展的核心。我们着重于建立全面而灵活的人力资源管理制度,以保证员工的合法权益和公司的长期发展。首先，我们规定了招聘的程序和标准，确保招聘过程的公正与透明。其次，我们关注员工培训，建立了系统的培训计划，根据员工的职业发展路径和业务需求进行有针对性的培训。此外，我们实行了灵活的薪酬体系，以激励员工的工作积极性和创造力。绩效考核与薪酬激励相结合，确保员工的付出与公司整体目标的一致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财务管理：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财务管理是公司治理的核心之一,直接关系到公司的经济健康和稳定性。我们制定了严格的财务管理制度，确保公司的财务运作合理透明。首先，我们遵循国家的会计准则，定期对财务报表进行编制和审核，以确保报表的真实准确。其次，我们实行了预算管理制度，对各项支出进行明确的预算安排，从而提高对财务风险的控制水平。此外，我们注重内部审计，定期进行内部审计，发现潜在问题并及时进行调整。这一全面的财务管理制度确保了公司经济运作的安全性和可持续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4.信息技术安全：在数字化时代，信息技术安全至关重要。我们规划了信息技术安全制度，包括网络安全、数据隐私保护、信息系统管理等方面，以应对日益复杂的网络威胁。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信息技术管理：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https://d.book118.com/836051225014010041</w:t>
        </w:r>
      </w:hyperlink>
    </w:p>
    <w:p>
      <w:pPr>
        <w:spacing w:line="480" w:lineRule="auto"/>
        <w:ind w:firstLine="420" w:firstLineChars="0"/>
        <w:rPr>
          <w:rFonts w:ascii="宋体" w:eastAsia="宋体" w:hAnsi="宋体" w:cs="宋体" w:hint="eastAsia"/>
          <w:sz w:val="24"/>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097D5064"/>
    <w:rsid w:val="13614867"/>
    <w:rsid w:val="3DAC44EE"/>
    <w:rsid w:val="453746B4"/>
    <w:rsid w:val="482775B3"/>
    <w:rsid w:val="49C53810"/>
    <w:rsid w:val="4E155AC7"/>
    <w:rsid w:val="50930768"/>
    <w:rsid w:val="62A91464"/>
    <w:rsid w:val="692E1C42"/>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36051225014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2024-01-17T06:11:21Z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