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body>
    <w:p w:rsidR="001B1F19" w14:paraId="7F7A67AA" w14:textId="0AE8485B">
      <w:pPr>
        <w:pStyle w:val="Heading1"/>
        <w:jc w:val="center"/>
        <w:rPr>
          <w:rFonts w:hint="eastAsia"/>
          <w:lang w:eastAsia="zh-CN"/>
        </w:rPr>
      </w:pPr>
      <w:r>
        <w:rPr>
          <w:sz w:val="44"/>
          <w:lang w:eastAsia="zh-CN"/>
        </w:rPr>
        <w:t>2024财务工作总结报告（32篇）</w:t>
      </w:r>
    </w:p>
    <w:p w:rsidR="001B1F19" w14:paraId="15E7D7A0" w14:textId="27C3F48A">
      <w:pPr>
        <w:rPr>
          <w:rFonts w:hint="eastAsia"/>
          <w:lang w:eastAsia="zh-CN"/>
        </w:rPr>
        <w:sectPr>
          <w:pgSz w:w="11906" w:h="16838"/>
          <w:pgMar w:top="1440" w:right="1800" w:bottom="1440" w:left="1800" w:header="851" w:footer="992" w:gutter="0"/>
          <w:cols w:space="425"/>
          <w:docGrid w:type="lines" w:linePitch="312"/>
        </w:sectPr>
      </w:pPr>
      <w:r>
        <w:rPr>
          <w:lang w:eastAsia="zh-CN"/>
        </w:rPr>
        <w:br/>
      </w:r>
      <w:r>
        <w:rPr>
          <w:lang w:eastAsia="zh-CN"/>
        </w:rPr>
        <w:br/>
      </w:r>
      <w:r>
        <w:rPr>
          <w:lang w:eastAsia="zh-CN"/>
        </w:rPr>
        <w:t>2024财务工作总结报告（通用32篇）</w:t>
      </w:r>
      <w:r>
        <w:rPr>
          <w:lang w:eastAsia="zh-CN"/>
        </w:rPr>
        <w:br/>
      </w:r>
      <w:r>
        <w:rPr>
          <w:lang w:eastAsia="zh-CN"/>
        </w:rPr>
        <w:t xml:space="preserve">    2024财务工作总结报告 篇1 </w:t>
      </w:r>
      <w:r>
        <w:rPr>
          <w:lang w:eastAsia="zh-CN"/>
        </w:rPr>
        <w:br/>
      </w:r>
      <w:r>
        <w:rPr>
          <w:lang w:eastAsia="zh-CN"/>
        </w:rPr>
        <w:t>　　本人在财务科担任记账工作，辅助编制报表，编制单车收入兑现表、清欠表、和各种分析性附表，例如内部费用表等。</w:t>
      </w:r>
      <w:r>
        <w:rPr>
          <w:lang w:eastAsia="zh-CN"/>
        </w:rPr>
        <w:br/>
      </w:r>
      <w:r>
        <w:rPr>
          <w:lang w:eastAsia="zh-CN"/>
        </w:rPr>
        <w:t>　　20__年是我干会计工作的第十年，经过不断的磨练、洗礼，我也由无知、清涩转变为成熟、理性的一个人。</w:t>
      </w:r>
      <w:r>
        <w:rPr>
          <w:lang w:eastAsia="zh-CN"/>
        </w:rPr>
        <w:br/>
      </w:r>
      <w:r>
        <w:rPr>
          <w:lang w:eastAsia="zh-CN"/>
        </w:rPr>
        <w:t>　　20__年我作了如下工作：</w:t>
      </w:r>
      <w:r>
        <w:rPr>
          <w:lang w:eastAsia="zh-CN"/>
        </w:rPr>
        <w:br/>
      </w:r>
      <w:r>
        <w:rPr>
          <w:lang w:eastAsia="zh-CN"/>
        </w:rPr>
        <w:t>　　一、加强帐务的整理</w:t>
      </w:r>
      <w:r>
        <w:rPr>
          <w:lang w:eastAsia="zh-CN"/>
        </w:rPr>
        <w:br/>
      </w:r>
      <w:r>
        <w:rPr>
          <w:lang w:eastAsia="zh-CN"/>
        </w:rPr>
        <w:t>　　1、对遗留的在职及离退休医药费近5年的帐务包括凭证的整理、核算、归类，确保数字准确、真实、有效;</w:t>
      </w:r>
      <w:r>
        <w:rPr>
          <w:lang w:eastAsia="zh-CN"/>
        </w:rPr>
        <w:br/>
      </w:r>
      <w:r>
        <w:rPr>
          <w:lang w:eastAsia="zh-CN"/>
        </w:rPr>
        <w:t>　　2、对单车帐务进行整理：对承包人之间的车辆转让、变更，及时予以记录、核对、确认;</w:t>
      </w:r>
      <w:r>
        <w:rPr>
          <w:lang w:eastAsia="zh-CN"/>
        </w:rPr>
        <w:br/>
      </w:r>
      <w:r>
        <w:rPr>
          <w:lang w:eastAsia="zh-CN"/>
        </w:rPr>
        <w:t>　　二、辅助编制报表</w:t>
      </w:r>
      <w:r>
        <w:rPr>
          <w:lang w:eastAsia="zh-CN"/>
        </w:rPr>
        <w:br/>
      </w:r>
      <w:r>
        <w:rPr>
          <w:lang w:eastAsia="zh-CN"/>
        </w:rPr>
        <w:t>　　每月月初我在辅助编制报表的过程中，及时总结经验，不断优化、细化记账的有效性、可靠性、及时性;例如：费用报表的编制，将各类费用记录、汇总，再对费用数据进行分析，及时发现问题，提出自己的意见与建议，如某项费用加大的原因，某项开支是否合理等等;</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
          <w:cols w:space="425"/>
          <w:titlePg w:val="0"/>
          <w:docGrid w:type="lines" w:linePitch="312"/>
        </w:sectPr>
      </w:pPr>
      <w:r>
        <w:rPr>
          <w:lang w:eastAsia="zh-CN"/>
        </w:rPr>
        <w:t>　　三、对报表、账本数据进行分析</w:t>
      </w:r>
      <w:r>
        <w:rPr>
          <w:lang w:eastAsia="zh-CN"/>
        </w:rPr>
        <w:br/>
      </w:r>
      <w:r>
        <w:rPr>
          <w:lang w:eastAsia="zh-CN"/>
        </w:rPr>
        <w:t>　　此项工作是辅助生产经营乃至影响企业发展的重要工作之一，只有对财务数据进行透彻的分析，才能真正掌握企业的经营状况，对此后的发展方向起到指导性的作用，我在方面力图通过现象看本质，找出规律，所以财务工作不能单纯记账，汇总，更要加强对财务数据的分析，提供分析意见，作为经营的参考;</w:t>
      </w:r>
      <w:r>
        <w:rPr>
          <w:lang w:eastAsia="zh-CN"/>
        </w:rPr>
        <w:br/>
      </w:r>
      <w:r>
        <w:rPr>
          <w:lang w:eastAsia="zh-CN"/>
        </w:rPr>
        <w:t>　　四、承包车辆的收入核算、兑现及清算欠款工作</w:t>
      </w:r>
      <w:r>
        <w:rPr>
          <w:lang w:eastAsia="zh-CN"/>
        </w:rPr>
        <w:br/>
      </w:r>
      <w:r>
        <w:rPr>
          <w:lang w:eastAsia="zh-CN"/>
        </w:rPr>
        <w:t>　　这项工作要求数字准确;所以要非常细致认真，而且要与结算科、安全科及修理厂做好协调沟通，兑现完毕，清算部分车辆的欠款，便于清理欠款，做好兑现和清欠是保证公司运转的至关条件;</w:t>
      </w:r>
      <w:r>
        <w:rPr>
          <w:lang w:eastAsia="zh-CN"/>
        </w:rPr>
        <w:br/>
      </w:r>
      <w:r>
        <w:rPr>
          <w:lang w:eastAsia="zh-CN"/>
        </w:rPr>
        <w:t>　　20__年，回顾工作的十年，我从思想到实践，也经历了一次次转变，也得到了领导和同事的大力帮助，牢牢记住衷心的嘱咐：</w:t>
      </w:r>
      <w:r>
        <w:rPr>
          <w:lang w:eastAsia="zh-CN"/>
        </w:rPr>
        <w:br/>
      </w:r>
      <w:r>
        <w:rPr>
          <w:lang w:eastAsia="zh-CN"/>
        </w:rPr>
        <w:t>　　1、数字要准确;</w:t>
      </w:r>
      <w:r>
        <w:rPr>
          <w:lang w:eastAsia="zh-CN"/>
        </w:rPr>
        <w:br/>
      </w:r>
      <w:r>
        <w:rPr>
          <w:lang w:eastAsia="zh-CN"/>
        </w:rPr>
        <w:t>　　2、手脚要勤快;</w:t>
      </w:r>
      <w:r>
        <w:rPr>
          <w:lang w:eastAsia="zh-CN"/>
        </w:rPr>
        <w:br/>
      </w:r>
      <w:r>
        <w:rPr>
          <w:lang w:eastAsia="zh-CN"/>
        </w:rPr>
        <w:t>　　3、放下包袱，不因情绪影响工作，感谢领导与朋友的嘱托，我会更努力工作，做出更大的贡献。</w:t>
      </w:r>
      <w:r>
        <w:rPr>
          <w:lang w:eastAsia="zh-CN"/>
        </w:rPr>
        <w:br/>
      </w:r>
      <w:r>
        <w:rPr>
          <w:lang w:eastAsia="zh-CN"/>
        </w:rPr>
        <w:t xml:space="preserve">    2024财务工作总结报告 篇2 </w:t>
      </w:r>
      <w:r>
        <w:rPr>
          <w:lang w:eastAsia="zh-CN"/>
        </w:rPr>
        <w:br/>
      </w:r>
      <w:r>
        <w:rPr>
          <w:lang w:eastAsia="zh-CN"/>
        </w:rPr>
        <w:t>　　一、管理缺陷</w:t>
      </w:r>
      <w:r>
        <w:rPr>
          <w:lang w:eastAsia="zh-CN"/>
        </w:rPr>
        <w:br/>
      </w:r>
      <w:r>
        <w:rPr>
          <w:lang w:eastAsia="zh-CN"/>
        </w:rPr>
        <w:t>　　（1）国有企业内的一些企业因为内部管理松懈而削弱了会计基础工作，导致账目混乱，财产不实，数据失真。无法为会计报表使用者提供真实可靠的会计信息。</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
          <w:cols w:space="425"/>
          <w:titlePg w:val="0"/>
          <w:docGrid w:type="lines" w:linePitch="312"/>
        </w:sectPr>
      </w:pPr>
      <w:r>
        <w:rPr>
          <w:lang w:eastAsia="zh-CN"/>
        </w:rPr>
        <w:t>　　（2）国有企业内的一些会计人员素质不高，在对高素质高水平的财务人才聘用和培训上欠缺。造成记账随意，手续不清，差错严重，会计档案资料丢失；风险意识薄弱，业务技能不高，缺乏创新能力。</w:t>
      </w:r>
      <w:r>
        <w:rPr>
          <w:lang w:eastAsia="zh-CN"/>
        </w:rPr>
        <w:br/>
      </w:r>
      <w:r>
        <w:rPr>
          <w:lang w:eastAsia="zh-CN"/>
        </w:rPr>
        <w:t>　　（4）单位领导人会计法制观念淡薄，模糊财务核算，使他们的非法意图有实施的空间和可能；总是希望会计能够处理好领导的一切事务，违法干预会计工作，导致会计工作人员执法难度加大。</w:t>
      </w:r>
      <w:r>
        <w:rPr>
          <w:lang w:eastAsia="zh-CN"/>
        </w:rPr>
        <w:br/>
      </w:r>
      <w:r>
        <w:rPr>
          <w:lang w:eastAsia="zh-CN"/>
        </w:rPr>
        <w:t>　　二、核算和会计报表缺陷</w:t>
      </w:r>
      <w:r>
        <w:rPr>
          <w:lang w:eastAsia="zh-CN"/>
        </w:rPr>
        <w:br/>
      </w:r>
      <w:r>
        <w:rPr>
          <w:lang w:eastAsia="zh-CN"/>
        </w:rPr>
        <w:t>　　（1）固定资产核算。国有企业会计制度规定的固定资产核算方法呈现以下特点：一是以固定资产和固定基金同时反映固定资产的“价值”；二是固定资产在使用过程中不提取折旧，而是提取修购基金。这种方式存在以下弊端：一是价值背离。随着使用时间的延长，账面价值与现时净值会逐渐背离。二是虚增净资产。随着固定资产的磨损，以账面原值核算固定基金，使资产负债表中净资产指标不能反映资产的实际状况，无法保证其会计信息质量。三是成本不完整。固定资产不提折旧，业务活动成本相应也不包括折旧费用，使得成本核算不完整。</w:t>
      </w:r>
      <w:r>
        <w:rPr>
          <w:lang w:eastAsia="zh-CN"/>
        </w:rPr>
        <w:br/>
      </w:r>
      <w:r>
        <w:rPr>
          <w:lang w:eastAsia="zh-CN"/>
        </w:rPr>
        <w:t>　　三、改进措施</w:t>
      </w:r>
      <w:r>
        <w:rPr>
          <w:lang w:eastAsia="zh-CN"/>
        </w:rPr>
        <w:br/>
      </w:r>
      <w:r>
        <w:rPr>
          <w:lang w:eastAsia="zh-CN"/>
        </w:rPr>
        <w:t>　　（1）本单位的财务管理实行一把手领导下的财务部负责制，各项开支由财务部统一掌握，合理安排。各项开支实行经手人、部门负责人、主管领导签字；经一把手领导签批后，方可报销，否则追究财会人员责任。</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4"/>
          <w:cols w:space="425"/>
          <w:titlePg w:val="0"/>
          <w:docGrid w:type="lines" w:linePitch="312"/>
        </w:sectPr>
      </w:pPr>
      <w:r>
        <w:rPr>
          <w:lang w:eastAsia="zh-CN"/>
        </w:rPr>
        <w:t>　　（2）本单位的经费开支，原则上执行预算管理，施工生产实行经济目标管理；禁止公款外借（包括局属各单位及其他单位和个人），特殊情况应请示书面批准。严禁任何人以公款、支票为个人办私事。严禁将公款以个人名义存储。严禁用单位资产或银行存款为其它单位和个人作抵押贷款、担保。</w:t>
      </w:r>
      <w:r>
        <w:rPr>
          <w:lang w:eastAsia="zh-CN"/>
        </w:rPr>
        <w:br/>
      </w:r>
      <w:r>
        <w:rPr>
          <w:lang w:eastAsia="zh-CN"/>
        </w:rPr>
        <w:t>　　（3）机械设备、车辆的购置、院内基本建设工程等项目开支，按照国家会计制度的规定制单、记账、报账，做到手续齐备、数字准确、账目清楚、处理及时，执行好国家财会制度的统一规定。本单位的车辆原则上在系统内修理厂修理，由修理厂向本单位清算，本单位能够维修的尽力自行解决，严禁在修车中弄虚作假，损公肥私。</w:t>
      </w:r>
      <w:r>
        <w:rPr>
          <w:lang w:eastAsia="zh-CN"/>
        </w:rPr>
        <w:br/>
      </w:r>
      <w:r>
        <w:rPr>
          <w:lang w:eastAsia="zh-CN"/>
        </w:rPr>
        <w:t>　　（4）建立监督机制，工程中发生的人工费、材料费、机械费的结算，必须于原始票据上由主管领导和经手人签字，并开具统一发票，否则，财务不予结算。本单位及各项目经理部所需办公用品、低值易耗品原则上由行政办室统一购买，统一合理发放；测量仪器、工具、订购科技书刊、报刊、杂志等文化用品需请示一把手领导批准。</w:t>
      </w:r>
      <w:r>
        <w:rPr>
          <w:lang w:eastAsia="zh-CN"/>
        </w:rPr>
        <w:br/>
      </w:r>
      <w:r>
        <w:rPr>
          <w:lang w:eastAsia="zh-CN"/>
        </w:rPr>
        <w:t>　　（5）干部职工的差旅费、劳保用品等按统一规定的标准执行。各项奖金、分成补助的发放（包括临时工、机手、管理人员）其金额、数量由领导班子研究确定，行政办公室统计，财务部负责发放；临时工由统计股审核后，列出临时工工资表，经一把手批准后财务部负责发放。</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5"/>
          <w:cols w:space="425"/>
          <w:titlePg w:val="0"/>
          <w:docGrid w:type="lines" w:linePitch="312"/>
        </w:sectPr>
      </w:pPr>
      <w:r>
        <w:rPr>
          <w:lang w:eastAsia="zh-CN"/>
        </w:rPr>
        <w:t>　　（6）出纳人员在每周完成出纳工作后，应将库存现金、银行存款的上存、收入、支出、结存情况，编制“出纳报告表”，并对库存现金，由会计或一把手指定人员进行定期对账实地盘查，其他时间不定期进行抽查。</w:t>
      </w:r>
      <w:r>
        <w:rPr>
          <w:lang w:eastAsia="zh-CN"/>
        </w:rPr>
        <w:br/>
      </w:r>
      <w:r>
        <w:rPr>
          <w:lang w:eastAsia="zh-CN"/>
        </w:rPr>
        <w:t>　　（7）现金支票或转账支票的使用凭一把手批准单，否则财务部有权拒绝提供使用。严格控制签发空白支票，特殊情况需签发的，必须在支票上填写收款单位名称、款项用途、日期、规定限额和报销期限，由支取人在支票登记簿上签字。银行支票确认的财务专用章及出纳手章必须分开由财务负责人和出纳负责保管。</w:t>
      </w:r>
      <w:r>
        <w:rPr>
          <w:lang w:eastAsia="zh-CN"/>
        </w:rPr>
        <w:br/>
      </w:r>
      <w:r>
        <w:rPr>
          <w:lang w:eastAsia="zh-CN"/>
        </w:rPr>
        <w:t>　　（8）会计人员根据财务收支计划，逐步核算开支，对计划外和不符合规定的收支应向一把手领导提出意见，以便领导及时处理。</w:t>
      </w:r>
      <w:r>
        <w:rPr>
          <w:lang w:eastAsia="zh-CN"/>
        </w:rPr>
        <w:br/>
      </w:r>
      <w:r>
        <w:rPr>
          <w:lang w:eastAsia="zh-CN"/>
        </w:rPr>
        <w:t>　　（9）现金出纳必须按财务规定存放现金，库存现金超过一定数额时必须存入银行，日清月结。如发现现金与账目不符，责任自负并追究责任；现金支票或转账支票的使用凭一把手领导填写“支票领用单”，由经办人、部门经理、财务主管、一把手领导签字后出纳方可开出，否则财务部有权拒绝提供使用。</w:t>
      </w:r>
      <w:r>
        <w:rPr>
          <w:lang w:eastAsia="zh-CN"/>
        </w:rPr>
        <w:br/>
      </w:r>
      <w:r>
        <w:rPr>
          <w:lang w:eastAsia="zh-CN"/>
        </w:rPr>
        <w:t>　　四、建议及策略</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6"/>
          <w:cols w:space="425"/>
          <w:titlePg w:val="0"/>
          <w:docGrid w:type="lines" w:linePitch="312"/>
        </w:sectPr>
      </w:pPr>
      <w:r>
        <w:rPr>
          <w:lang w:eastAsia="zh-CN"/>
        </w:rPr>
        <w:t>　　（1）国有企业引入权责发生制，对固定资产的购置成本予以资本化，建议固定资产取得的会计处理如下：取消“固定基金”、“专用基金—修购基金”会计科目，增设“在建工程”、“待处理财产损溢”会计科目。对于购置的不需要安装的固定资产，应按实际成本，借记“固定资产”贷记“财政补助收入”或有关资产帐户；对于发生的在建、改扩建工程支出，借记“在建工程”贷记“银行存款”或相关资产账户，项目完工交付使用，借记“固定资产”贷记“在建工程”。</w:t>
      </w:r>
      <w:r>
        <w:rPr>
          <w:lang w:eastAsia="zh-CN"/>
        </w:rPr>
        <w:br/>
      </w:r>
      <w:r>
        <w:rPr>
          <w:lang w:eastAsia="zh-CN"/>
        </w:rPr>
        <w:t>　　（2）建立固定资产折旧制度。增设“累计折旧”，计提折旧时，借记有关科目，贷记“累计折旧”同时借记“固定基金”贷记“专用基金—修购基金”，“累计折旧”作为固定资产的减项单独列示；这样使得资产负债表能购真实反映国有企业的资产、净资产的情况，以便于会计报表使用者利用真实的会计信息做出正确的决策。</w:t>
      </w:r>
      <w:r>
        <w:rPr>
          <w:lang w:eastAsia="zh-CN"/>
        </w:rPr>
        <w:br/>
      </w:r>
      <w:r>
        <w:rPr>
          <w:lang w:eastAsia="zh-CN"/>
        </w:rPr>
        <w:t xml:space="preserve">    2024财务工作总结报告 篇3 </w:t>
      </w:r>
      <w:r>
        <w:rPr>
          <w:lang w:eastAsia="zh-CN"/>
        </w:rPr>
        <w:br/>
      </w:r>
      <w:r>
        <w:rPr>
          <w:lang w:eastAsia="zh-CN"/>
        </w:rPr>
        <w:t>　　按照国家局《五条纪律》要求，针对20__年财经秩序专项整顿自查出来的薄弱环节，如扎账时间不规范、原始凭证不合法、资产管理不科学、财务收支不合规、核算不实、手续不全等问题，积极进行整改和自查自纠，进一步深化会计基础，完善财务管理体制。明年的重点要放在区局和基层网点，要规范会计核算、原始记录、财产清查的操作、传递、交接手续，落实资金、商品、资产的管理责任，强化内部控制，使管钱管账管物严格分工，相互核对，相互监督，防止经营活动中的失误差错，保障各财务环节安全运转，全面推动财务管理规范运作，通过专项整顿建立起规范、守法、诚信的财经秩序，确保在明年二至五月的省局复查和五月以后的国家局重点检查中全面过关。</w:t>
      </w:r>
      <w:r>
        <w:rPr>
          <w:lang w:eastAsia="zh-CN"/>
        </w:rPr>
        <w:br/>
      </w:r>
      <w:r>
        <w:rPr>
          <w:lang w:eastAsia="zh-CN"/>
        </w:rPr>
        <w:t>　　1、财务集中实现一个“流”字</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7"/>
          <w:cols w:space="425"/>
          <w:titlePg w:val="0"/>
          <w:docGrid w:type="lines" w:linePitch="312"/>
        </w:sectPr>
      </w:pPr>
      <w:r>
        <w:rPr>
          <w:lang w:eastAsia="zh-CN"/>
        </w:rPr>
        <w:t>　　全省“集中财务、资金中心、电子商务”三位一体的信息管理系统应用软件已由省局项目组完成，明年一季度将正式运行。该系统将统一会计科目与科目级次，统一固定资产折旧年限、方法，统一存货分类与单据格式，实现省局对分、县公司会计业务的跨单位审核、联查，直接进行预算表单的审批，为适应省局新管理方法的要求，我们将对目前的核算流程进行重组，资金每日上划，费用按预算按月核拔，与省局、网点上下联网，会计报账一天一报，财务、资金数据及时上传，让资金流、商品流、信息流实现数据共亨，建立“集中财务、分级控制、全面预算、责任会计”的财务管理体系。</w:t>
      </w:r>
      <w:r>
        <w:rPr>
          <w:lang w:eastAsia="zh-CN"/>
        </w:rPr>
        <w:br/>
      </w:r>
      <w:r>
        <w:rPr>
          <w:lang w:eastAsia="zh-CN"/>
        </w:rPr>
        <w:t>　　2、资金管理突出一个“零”字</w:t>
      </w:r>
      <w:r>
        <w:rPr>
          <w:lang w:eastAsia="zh-CN"/>
        </w:rPr>
        <w:br/>
      </w:r>
      <w:r>
        <w:rPr>
          <w:lang w:eastAsia="zh-CN"/>
        </w:rPr>
        <w:t>　　一是零资金运营，零运营资金并非真的零资金，而是用尽可能少的流动资金推动企业的生产经营运作。明年由于省局要搞全省资金中心，企业资金帐户开在省行，货款按合同合同执行划帐，留在企业周转的钱将非常少，我们将尽量利用各种应付款、应交款、预收款、未交税金、未交利润等负债资金进行负债经营，实现零资金成本。</w:t>
      </w:r>
      <w:r>
        <w:rPr>
          <w:lang w:eastAsia="zh-CN"/>
        </w:rPr>
        <w:br/>
      </w:r>
      <w:r>
        <w:rPr>
          <w:lang w:eastAsia="zh-CN"/>
        </w:rPr>
        <w:t>　　二是零库存管理，对各单位实行库存定额，超定额的单位将按超出比例扣减其经营得分，反之则增加得分，让库存定额与工资挂钩，促进各单位勤进快销，加速资金周转。</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8"/>
          <w:cols w:space="425"/>
          <w:titlePg w:val="0"/>
          <w:docGrid w:type="lines" w:linePitch="312"/>
        </w:sectPr>
      </w:pPr>
      <w:r>
        <w:rPr>
          <w:lang w:eastAsia="zh-CN"/>
        </w:rPr>
        <w:t>　　坚持费用管理“算、控、降”三字诀，算是全面预算，将费用按预算分解到各单位、各科室，按销量制定单箱卷烟的费用定额标准，销多少烟给多少费用。控是严格预算管理，超过预算的一律从个人月奖中扣回，实行“定额包干、责任到人、超支自付、节约奖励”的管理办法。降是按上年实际费用，每年下浮一定比例确定费用总额，进一步完善财务公开制度，逐项剖析费用成因，将费用与同期、与定额、与先进单位对比，通过分工明确，层层把关，促使各单位挖潜节支、堵塞漏洞。</w:t>
      </w:r>
      <w:r>
        <w:rPr>
          <w:lang w:eastAsia="zh-CN"/>
        </w:rPr>
        <w:br/>
      </w:r>
      <w:r>
        <w:rPr>
          <w:lang w:eastAsia="zh-CN"/>
        </w:rPr>
        <w:t>　　3、会计核算落实一个“真”字</w:t>
      </w:r>
      <w:r>
        <w:rPr>
          <w:lang w:eastAsia="zh-CN"/>
        </w:rPr>
        <w:br/>
      </w:r>
      <w:r>
        <w:rPr>
          <w:lang w:eastAsia="zh-CN"/>
        </w:rPr>
        <w:t>　　一是摸清“家底”，开展全系统的“清仓、清产、清资、清债”活动，对现有资产存量进行认真细致的分析，找出潜在薄弱环节，组织整理各单位历年的会计档案，指导各网点会计基础达标，促进分公司的会计基础工作更上一层楼。</w:t>
      </w:r>
      <w:r>
        <w:rPr>
          <w:lang w:eastAsia="zh-CN"/>
        </w:rPr>
        <w:br/>
      </w:r>
      <w:r>
        <w:rPr>
          <w:lang w:eastAsia="zh-CN"/>
        </w:rPr>
        <w:t>　　二是科学理财，学习聚财、生财、用财之道，在深度上从事后反映转变到事前控制、事后考核分析的管理会计上来，在广度上把会计核算和财务管理职能渗透到商品的进销存诸环节，推进会计电算化甩帐验收达标，使会计信息更加具有时效性和真实性。</w:t>
      </w:r>
      <w:r>
        <w:rPr>
          <w:lang w:eastAsia="zh-CN"/>
        </w:rPr>
        <w:br/>
      </w:r>
      <w:r>
        <w:rPr>
          <w:lang w:eastAsia="zh-CN"/>
        </w:rPr>
        <w:t>　　4、审计监督强化一个“严”字</w:t>
      </w:r>
      <w:r>
        <w:rPr>
          <w:lang w:eastAsia="zh-CN"/>
        </w:rPr>
        <w:br/>
      </w:r>
      <w:r>
        <w:rPr>
          <w:lang w:eastAsia="zh-CN"/>
        </w:rPr>
        <w:t>　　结合财经秩序专项整顿要求，加强审计监督，审查各单位的资金、商品、财产、损益、收支是否真实合法，计算国有资产管理是否保值增值，审定各单位负责人的任期和介中完成的主要财务指标和经营成果，公正客观的评价各单位经营业绩，严格考核管理，严肃查处小金库、赊销挪用、潜亏挂帐、虚开发票等违规违纪行为，坚决抵制假凭证、假规范、假审计弄虚作假的作法，推动审计监督进一步规范化、制度化、透明化。</w:t>
      </w:r>
      <w:r>
        <w:rPr>
          <w:lang w:eastAsia="zh-CN"/>
        </w:rPr>
        <w:br/>
      </w:r>
      <w:r>
        <w:rPr>
          <w:lang w:eastAsia="zh-CN"/>
        </w:rPr>
        <w:t xml:space="preserve">    2024财务工作总结报告 篇4 </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9"/>
          <w:cols w:space="425"/>
          <w:titlePg w:val="0"/>
          <w:docGrid w:type="lines" w:linePitch="312"/>
        </w:sectPr>
      </w:pPr>
      <w:r>
        <w:rPr>
          <w:lang w:eastAsia="zh-CN"/>
        </w:rPr>
        <w:t>　　今年，在领导的支持和帮忙下，我与单位同事的团结协作，以求真务实的工作精神，较好的完成了各项工作任务，取得了的必须成绩，现就个人工作状况总结如下：</w:t>
      </w:r>
      <w:r>
        <w:rPr>
          <w:lang w:eastAsia="zh-CN"/>
        </w:rPr>
        <w:br/>
      </w:r>
      <w:r>
        <w:rPr>
          <w:lang w:eastAsia="zh-CN"/>
        </w:rPr>
        <w:t>　　一、认真完成会计核算工作，及时上报各类会计报表</w:t>
      </w:r>
      <w:r>
        <w:rPr>
          <w:lang w:eastAsia="zh-CN"/>
        </w:rPr>
        <w:br/>
      </w:r>
      <w:r>
        <w:rPr>
          <w:lang w:eastAsia="zh-CN"/>
        </w:rPr>
        <w:t>　　制定了内部会计帐务处理规章制度及管理工作办法，加强财务内部管理，对各项经济业务手续的审核认真细致，严格把关，并能够及时与部门预算比较，对不合理的开支拒绝办理。加强和完善国有资产管理，为防止我办的国有固定资产的管理出现问题，我们升级账务软件将过去单一的固定资产管理升级为多样式的管理，为固定资产的使用和管理打下更好基础。对会计资料进行了整理，将相关会计档案进行了整理入档，使我办会计工作向标准化、规范化更进一步。</w:t>
      </w:r>
      <w:r>
        <w:rPr>
          <w:lang w:eastAsia="zh-CN"/>
        </w:rPr>
        <w:br/>
      </w:r>
      <w:r>
        <w:rPr>
          <w:lang w:eastAsia="zh-CN"/>
        </w:rPr>
        <w:t>　　按照市财政局的要求对固定资产账等银行往来账款进行了逐笔核对并进行了账务调整及上报工作。同时，按照审计制度对拨出的各项资金进行了严格的审计，现审计工作基本完成。按财政有关编制预算精神，结合我办实际支出状况，经认真研究测算，按规定时间完成了预算上报工作。</w:t>
      </w:r>
      <w:r>
        <w:rPr>
          <w:lang w:eastAsia="zh-CN"/>
        </w:rPr>
        <w:br/>
      </w:r>
      <w:r>
        <w:rPr>
          <w:lang w:eastAsia="zh-CN"/>
        </w:rPr>
        <w:t>　　二、保障正常经费的下拨，积极争取资金，提高资金使用效益</w:t>
      </w:r>
      <w:r>
        <w:rPr>
          <w:lang w:eastAsia="zh-CN"/>
        </w:rPr>
        <w:br/>
      </w:r>
      <w:r>
        <w:rPr>
          <w:lang w:eastAsia="zh-CN"/>
        </w:rPr>
        <w:t>　　积极加强与市、区两级财政的协调工作力度，为了能够有计划的安排好和使用好资金，在保证机场办工作正常运行下，财务管理方面，尽力减少不必要的开支，积极挖掘节约潜力。在日常办公时，充分利用网络办公系统，减少纸张的流通及其他物质的消耗。透过节约挖潜，取得了较好的效果。</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0"/>
          <w:cols w:space="425"/>
          <w:titlePg w:val="0"/>
          <w:docGrid w:type="lines" w:linePitch="312"/>
        </w:sectPr>
      </w:pPr>
      <w:r>
        <w:rPr>
          <w:lang w:eastAsia="zh-CN"/>
        </w:rPr>
        <w:t>　　三、积极参加业务培训，适应新形势的要求</w:t>
      </w:r>
      <w:r>
        <w:rPr>
          <w:lang w:eastAsia="zh-CN"/>
        </w:rPr>
        <w:br/>
      </w:r>
      <w:r>
        <w:rPr>
          <w:lang w:eastAsia="zh-CN"/>
        </w:rPr>
        <w:t>　　近年来，市、区财政局加大了预算管理改革力度，不断推出改革新举措。今年将固定资产纳入财政“固定资产动态管理”等。改革给会计工作带来许多新变化，这就需要不断地学习才能适应新形势的要求，为此，我积极参加财政局组织的各类业务培训。按照“学习制度化、资料个性化、形式多样化”的要求，透过学习提高了自身业务素质和业务技能。</w:t>
      </w:r>
      <w:r>
        <w:rPr>
          <w:lang w:eastAsia="zh-CN"/>
        </w:rPr>
        <w:br/>
      </w:r>
      <w:r>
        <w:rPr>
          <w:lang w:eastAsia="zh-CN"/>
        </w:rPr>
        <w:t>　　四、今后的.工作计划</w:t>
      </w:r>
      <w:r>
        <w:rPr>
          <w:lang w:eastAsia="zh-CN"/>
        </w:rPr>
        <w:br/>
      </w:r>
      <w:r>
        <w:rPr>
          <w:lang w:eastAsia="zh-CN"/>
        </w:rPr>
        <w:t>　　做好财务计划管理，加强财务计划执行状况的分析和控制，加强财务事先参与决策工作从源头上做好财务管理工作，为领导决策带给有用的决策信息。加强会计的核算和工作，认真按照会计准则和会计制度严格审核会计原始凭证及记账凭证，杜绝一切不合理的开支，继续加强对严重超过预算的各项支出进行严格控制。做到收入、支出科目细化控制到三级科目，并加以认真进行分析。按时提取工会经费，职工福利费和个人所得税工作，及时交纳职工医疗保险和税金。在对各项目和专款的使用中，要严格按照“专款专用”的原则，对各个项目资金的使用进行监督和管理配合审计部门做好资金的审计工作。</w:t>
      </w:r>
      <w:r>
        <w:rPr>
          <w:lang w:eastAsia="zh-CN"/>
        </w:rPr>
        <w:br/>
      </w:r>
      <w:r>
        <w:rPr>
          <w:lang w:eastAsia="zh-CN"/>
        </w:rPr>
        <w:t xml:space="preserve">    2024财务工作总结报告 篇5 </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1"/>
          <w:cols w:space="425"/>
          <w:titlePg w:val="0"/>
          <w:docGrid w:type="lines" w:linePitch="312"/>
        </w:sectPr>
      </w:pPr>
      <w:r>
        <w:rPr>
          <w:lang w:eastAsia="zh-CN"/>
        </w:rPr>
        <w:t>　　光阴如梭，一转眼一年过去了，在领导以及同事的大力支持和关心帮助下，通过自身的努力，无论是在敬业精神还是在业务素质、工作能力上都得到进一步提高。本人能够遵纪守法、认真学习、扎实工作、以勤恳的态度对待本职工作。为了总结经验，发扬成绩，克服不足也算经历了磨砺。现将本年的工作做如下回顾和总结：</w:t>
      </w:r>
      <w:r>
        <w:rPr>
          <w:lang w:eastAsia="zh-CN"/>
        </w:rPr>
        <w:br/>
      </w:r>
      <w:r>
        <w:rPr>
          <w:lang w:eastAsia="zh-CN"/>
        </w:rPr>
        <w:t>　　一、_销售出库单的审核，根据司磅员交来的销售出库单核对单价、重量、金额，单价与报价单核对。</w:t>
      </w:r>
      <w:r>
        <w:rPr>
          <w:lang w:eastAsia="zh-CN"/>
        </w:rPr>
        <w:br/>
      </w:r>
      <w:r>
        <w:rPr>
          <w:lang w:eastAsia="zh-CN"/>
        </w:rPr>
        <w:t>　　二、_增值税发票的填开：进入开票系统—发票管理—专用发票填开—发票号码确认—输入公司名称—回车—输入品名—输入数量—输入单价—选择收款人—复核人—打印—盖章，做到发票填开及时。</w:t>
      </w:r>
      <w:r>
        <w:rPr>
          <w:lang w:eastAsia="zh-CN"/>
        </w:rPr>
        <w:br/>
      </w:r>
      <w:r>
        <w:rPr>
          <w:lang w:eastAsia="zh-CN"/>
        </w:rPr>
        <w:t>　　三、进项发票的认证。</w:t>
      </w:r>
      <w:r>
        <w:rPr>
          <w:lang w:eastAsia="zh-CN"/>
        </w:rPr>
        <w:br/>
      </w:r>
      <w:r>
        <w:rPr>
          <w:lang w:eastAsia="zh-CN"/>
        </w:rPr>
        <w:t>　　四、在发票管理方面，随时查看发票剩余量，提前准备购所需资料，及时进行发票填开。对已经填开了的发票进行清理和检查，并保管好所有的票据。</w:t>
      </w:r>
      <w:r>
        <w:rPr>
          <w:lang w:eastAsia="zh-CN"/>
        </w:rPr>
        <w:br/>
      </w:r>
      <w:r>
        <w:rPr>
          <w:lang w:eastAsia="zh-CN"/>
        </w:rPr>
        <w:t>　　每季度上传财务报表根据会计报表中资产负债表与损益表填写，固定资产进项税抵扣情况表根据本月固定资产发生的进项税填写。</w:t>
      </w:r>
      <w:r>
        <w:rPr>
          <w:lang w:eastAsia="zh-CN"/>
        </w:rPr>
        <w:br/>
      </w:r>
      <w:r>
        <w:rPr>
          <w:lang w:eastAsia="zh-CN"/>
        </w:rPr>
        <w:t>　　增值税纳税申报表的提交及扣款截止日期为当月十五日，遇法定节假日顺延，具体时间看国家税务局各月份申报征收期限通知。(根据国家颁布的《征管法》没有在申报期间提交纳税申报表和扣缴税款将产生税额全部总额天的滞纳金)。</w:t>
      </w:r>
      <w:r>
        <w:rPr>
          <w:lang w:eastAsia="zh-CN"/>
        </w:rPr>
        <w:br/>
      </w:r>
      <w:r>
        <w:rPr>
          <w:lang w:eastAsia="zh-CN"/>
        </w:rPr>
        <w:t>　　六、地税申报：地税申报是在国税纳税申报表申报成功后进行申报，地税和国税的纳税时间最好是在当月15日前申报。</w:t>
      </w:r>
      <w:r>
        <w:rPr>
          <w:lang w:eastAsia="zh-CN"/>
        </w:rPr>
        <w:br/>
      </w:r>
      <w:r>
        <w:rPr>
          <w:lang w:eastAsia="zh-CN"/>
        </w:rPr>
        <w:t>　　七、每月上报重点税源表：根据每月增值税纳税申报表进行填报上报数据及税收分析。</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2"/>
          <w:cols w:space="425"/>
          <w:titlePg w:val="0"/>
          <w:docGrid w:type="lines" w:linePitch="312"/>
        </w:sectPr>
      </w:pPr>
      <w:r>
        <w:rPr>
          <w:lang w:eastAsia="zh-CN"/>
        </w:rPr>
        <w:t>　　八、九宝记账凭证审核和制作，日常账务处理和月末账务处理等。</w:t>
      </w:r>
      <w:r>
        <w:rPr>
          <w:lang w:eastAsia="zh-CN"/>
        </w:rPr>
        <w:br/>
      </w:r>
      <w:r>
        <w:rPr>
          <w:lang w:eastAsia="zh-CN"/>
        </w:rPr>
        <w:t>　　九、后勤人员工资的审核。</w:t>
      </w:r>
      <w:r>
        <w:rPr>
          <w:lang w:eastAsia="zh-CN"/>
        </w:rPr>
        <w:br/>
      </w:r>
      <w:r>
        <w:rPr>
          <w:lang w:eastAsia="zh-CN"/>
        </w:rPr>
        <w:t>　　十、月末仓库的盘点。</w:t>
      </w:r>
      <w:r>
        <w:rPr>
          <w:lang w:eastAsia="zh-CN"/>
        </w:rPr>
        <w:br/>
      </w:r>
      <w:r>
        <w:rPr>
          <w:lang w:eastAsia="zh-CN"/>
        </w:rPr>
        <w:t>　　在工作中也存在很多不足，主要表现在：本职工作上，由于经验和专业水平不足，有很多地方做的不到位，不够熟练。总之，在工作中我享受到收获的喜悦，也在工作中发现一些存在的问题，但和上级要求还有一定的差距，我愿在今后的工作中取别人之长，补自己之短，虚心向同志们学习，在工作上勇于奋进，在业务上不断学习，把今后的工作做得更好。</w:t>
      </w:r>
      <w:r>
        <w:rPr>
          <w:lang w:eastAsia="zh-CN"/>
        </w:rPr>
        <w:br/>
      </w:r>
      <w:r>
        <w:rPr>
          <w:lang w:eastAsia="zh-CN"/>
        </w:rPr>
        <w:t xml:space="preserve">    2024财务工作总结报告 篇6 </w:t>
      </w:r>
      <w:r>
        <w:rPr>
          <w:lang w:eastAsia="zh-CN"/>
        </w:rPr>
        <w:br/>
      </w:r>
      <w:r>
        <w:rPr>
          <w:lang w:eastAsia="zh-CN"/>
        </w:rPr>
        <w:t>　　一、顺利完成20__年度财务决算编报及会计报表审计工作</w:t>
      </w:r>
      <w:r>
        <w:rPr>
          <w:lang w:eastAsia="zh-CN"/>
        </w:rPr>
        <w:br/>
      </w:r>
      <w:r>
        <w:rPr>
          <w:lang w:eastAsia="zh-CN"/>
        </w:rPr>
        <w:t>　　20__年度财务决算按照上级要求编报，同时按要求配合会计师事务所完成年度报表审计工作。在公司领导大力支持和财务人员的共同努力下，我们按时保质保量地完成了决算编报并顺利通过了会计师事务所的审计。</w:t>
      </w:r>
      <w:r>
        <w:rPr>
          <w:lang w:eastAsia="zh-CN"/>
        </w:rPr>
        <w:br/>
      </w:r>
      <w:r>
        <w:rPr>
          <w:lang w:eastAsia="zh-CN"/>
        </w:rPr>
        <w:t>　　二、按照省公司财务部统一布置，顺利完成会计基础标准化达标工作和固定资产分类和折旧调整工作</w:t>
      </w:r>
      <w:r>
        <w:rPr>
          <w:lang w:eastAsia="zh-CN"/>
        </w:rPr>
        <w:br/>
      </w:r>
      <w:r>
        <w:rPr>
          <w:lang w:eastAsia="zh-CN"/>
        </w:rPr>
        <w:t>　　我们从年初就开始对20__年度以来的会计档案按照标准化的要求进行粘贴、整理、装订及入档工作，经过全体财务人员近一年的努力，顺利通过了省公司的验收。通过开展这次达标工作，规范、理顺了会计工作流程，促进了财务管理工作水平得到了提升。</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3"/>
          <w:cols w:space="425"/>
          <w:titlePg w:val="0"/>
          <w:docGrid w:type="lines" w:linePitch="312"/>
        </w:sectPr>
      </w:pPr>
      <w:r>
        <w:rPr>
          <w:lang w:eastAsia="zh-CN"/>
        </w:rPr>
        <w:t>　　10月份按照移动集团财务核算要求，对公司全部固定资产进行了重新分类，对折旧年限进行了调整，对折旧额进行了重新计提。</w:t>
      </w:r>
      <w:r>
        <w:rPr>
          <w:lang w:eastAsia="zh-CN"/>
        </w:rPr>
        <w:br/>
      </w:r>
      <w:r>
        <w:rPr>
          <w:lang w:eastAsia="zh-CN"/>
        </w:rPr>
        <w:t>　　三、推进全面预算管理，规范财务管理，增强公司经营控制力</w:t>
      </w:r>
      <w:r>
        <w:rPr>
          <w:lang w:eastAsia="zh-CN"/>
        </w:rPr>
        <w:br/>
      </w:r>
      <w:r>
        <w:rPr>
          <w:lang w:eastAsia="zh-CN"/>
        </w:rPr>
        <w:t>　　全面预算管理的推行对于增强公司控制力具有重要作用。20__年工程公司紧紧围绕省公司下达的各项经营指标，按照省公司财务预算编制要求，完成了20__年度财务预算编制工作。同时，结合省公司开展的规范化财务管理自查自纠活动，在日常经营工作中切实强化预算监督，提高预算执行效率，逐步由“事后控制”转向“事中控制”和“事前控制”，使各项收支有序可控，确保了公司经营目标的顺利实现。</w:t>
      </w:r>
      <w:r>
        <w:rPr>
          <w:lang w:eastAsia="zh-CN"/>
        </w:rPr>
        <w:br/>
      </w:r>
      <w:r>
        <w:rPr>
          <w:lang w:eastAsia="zh-CN"/>
        </w:rPr>
        <w:t>　　四、统筹兼顾，合理安排，管好用好建设资金</w:t>
      </w:r>
      <w:r>
        <w:rPr>
          <w:lang w:eastAsia="zh-CN"/>
        </w:rPr>
        <w:br/>
      </w:r>
      <w:r>
        <w:rPr>
          <w:lang w:eastAsia="zh-CN"/>
        </w:rPr>
        <w:t>　　资金收入方面根据工程进度及验工、转固情况，及时向省分请款;资金拨付严格按照审批流程，参考施工单位整体施工工作量以及发票到位情况进行付款，并着重做好“三节”前的资金需求预测和付款工作。同时在外委工程方面，坚持收入款项未到位的情况下不得发生资金支出的原则，确保外委工程不挤占内委工程资金。在今年省分资金偏紧的情况下，较好地保证了工程建设的顺利进行，避免了资金风险和各种纠纷的发生。</w:t>
      </w:r>
      <w:r>
        <w:rPr>
          <w:lang w:eastAsia="zh-CN"/>
        </w:rPr>
        <w:br/>
      </w:r>
      <w:r>
        <w:rPr>
          <w:lang w:eastAsia="zh-CN"/>
        </w:rPr>
        <w:t>　　五、加强外委工程的收支管理，确保利润目标的顺利实现</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4"/>
          <w:cols w:space="425"/>
          <w:titlePg w:val="0"/>
          <w:docGrid w:type="lines" w:linePitch="312"/>
        </w:sectPr>
      </w:pPr>
      <w:r>
        <w:rPr>
          <w:lang w:eastAsia="zh-CN"/>
        </w:rPr>
        <w:t>　　今年我们强化了外委工程的动态管理，建立了详细的收入、成本台帐，严格执行每月对帐制度实现对外委工程的立项、施工进度、收入确认、款项回收以及成本结算方面及时、动态的监管，增强了经营的控制力和预算的执行力，确保了利润目标的顺利实现。同时还积极配合各项目部进行工程应收款的催收，特别是移动工程，逐月与移动公司财务部门核对、协调，为工程回款作出了一份贡献。</w:t>
      </w:r>
      <w:r>
        <w:rPr>
          <w:lang w:eastAsia="zh-CN"/>
        </w:rPr>
        <w:br/>
      </w:r>
      <w:r>
        <w:rPr>
          <w:lang w:eastAsia="zh-CN"/>
        </w:rPr>
        <w:t>　　六、组织填写固定资产验收交接记录，完成内部工程的固定资产移交工作</w:t>
      </w:r>
      <w:r>
        <w:rPr>
          <w:lang w:eastAsia="zh-CN"/>
        </w:rPr>
        <w:br/>
      </w:r>
      <w:r>
        <w:rPr>
          <w:lang w:eastAsia="zh-CN"/>
        </w:rPr>
        <w:t>　　其中属20__年投资计划的资产万元，属20__年投资计划的资产万元。</w:t>
      </w:r>
      <w:r>
        <w:rPr>
          <w:lang w:eastAsia="zh-CN"/>
        </w:rPr>
        <w:br/>
      </w:r>
      <w:r>
        <w:rPr>
          <w:lang w:eastAsia="zh-CN"/>
        </w:rPr>
        <w:t>　　七、加强财务人员的培训和自学，不断提高素质</w:t>
      </w:r>
      <w:r>
        <w:rPr>
          <w:lang w:eastAsia="zh-CN"/>
        </w:rPr>
        <w:br/>
      </w:r>
      <w:r>
        <w:rPr>
          <w:lang w:eastAsia="zh-CN"/>
        </w:rPr>
        <w:t xml:space="preserve">    2024财务工作总结报告 篇7 </w:t>
      </w:r>
      <w:r>
        <w:rPr>
          <w:lang w:eastAsia="zh-CN"/>
        </w:rPr>
        <w:br/>
      </w:r>
      <w:r>
        <w:rPr>
          <w:lang w:eastAsia="zh-CN"/>
        </w:rPr>
        <w:t>　　无论在什么岗位，哪怕是毫不起眼的工作，都应该用心做到最好，哪怕是在别人眼中是一份枯燥的工作，也要善于从中寻找乐趣，做到日新月异，从改变中找到创新。</w:t>
      </w:r>
      <w:r>
        <w:rPr>
          <w:lang w:eastAsia="zh-CN"/>
        </w:rPr>
        <w:br/>
      </w:r>
      <w:r>
        <w:rPr>
          <w:lang w:eastAsia="zh-CN"/>
        </w:rPr>
        <w:t>　　光阴似箭，日月如梭，转眼间一年过去了，回首刚刚过去的一年，有欢笑，有委屈，更有颇多感慨，因着公司领导一句话，我义无反顾的融入到工作中，视公司如己家，不说兢兢业业，也算尽心尽力了，但往往事与愿违，也许是能力不够，也许是心太大、力太弱，工作中出现了诸多不遂人愿的地方，在此向公司各位领导说声抱歉，所做不如意的地方，在以后的工作中我会尽最大能力做好。过去的我谨记在心，不想过多回顾，请领导谅解，一切向前看，在此我想对明年的工作做一个计划，是对领导做一份承诺，也是给自己定一个目标。</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5"/>
          <w:cols w:space="425"/>
          <w:titlePg w:val="0"/>
          <w:docGrid w:type="lines" w:linePitch="312"/>
        </w:sectPr>
      </w:pPr>
      <w:r>
        <w:rPr>
          <w:lang w:eastAsia="zh-CN"/>
        </w:rPr>
        <w:t>　　1、做好日常会计核算工作。按照会计制度，分清资金渠道，认真审核每笔原始凭证，正确运用会计科目，编制会计凭证，进行记账。及时编制有关会计报表，及时装订会计凭证;及时清理往来款项。出纳要严格按照现金管理办法和银行结算制度，办理现金收付和银行结算业务;及时准确登记银行、现金日记账，做到日清月结。</w:t>
      </w:r>
      <w:r>
        <w:rPr>
          <w:lang w:eastAsia="zh-CN"/>
        </w:rPr>
        <w:br/>
      </w:r>
      <w:r>
        <w:rPr>
          <w:lang w:eastAsia="zh-CN"/>
        </w:rPr>
        <w:t>　　2、配合公司领导完成各部门经济责任指标的预算及制订工作，并做好公司有关财务管理制度的拟稿工作，加强财务制度建设。</w:t>
      </w:r>
      <w:r>
        <w:rPr>
          <w:lang w:eastAsia="zh-CN"/>
        </w:rPr>
        <w:br/>
      </w:r>
      <w:r>
        <w:rPr>
          <w:lang w:eastAsia="zh-CN"/>
        </w:rPr>
        <w:t>　　3、与商场部的配合工作中，单据管理仍然是一项重要而繁杂的工作，督促商场入库单的及时交回，尽可能减少货物丢失情况，早一些完成业务员、促销员提成与赠品的核算，尽可能减少公司损失，同时也尽可能配合公司领导让业务人员以最大激情参与到工作中，争取多出成绩。</w:t>
      </w:r>
      <w:r>
        <w:rPr>
          <w:lang w:eastAsia="zh-CN"/>
        </w:rPr>
        <w:br/>
      </w:r>
      <w:r>
        <w:rPr>
          <w:lang w:eastAsia="zh-CN"/>
        </w:rPr>
        <w:t>　　4、与业务部门的配合，做好单据保管工作，配合业务部门抽单调单。</w:t>
      </w:r>
      <w:r>
        <w:rPr>
          <w:lang w:eastAsia="zh-CN"/>
        </w:rPr>
        <w:br/>
      </w:r>
      <w:r>
        <w:rPr>
          <w:lang w:eastAsia="zh-CN"/>
        </w:rPr>
        <w:t xml:space="preserve">    2024财务工作总结报告 篇8 </w:t>
      </w:r>
      <w:r>
        <w:rPr>
          <w:lang w:eastAsia="zh-CN"/>
        </w:rPr>
        <w:br/>
      </w:r>
      <w:r>
        <w:rPr>
          <w:lang w:eastAsia="zh-CN"/>
        </w:rPr>
        <w:t>　　时光荏苒，今年在紧张忙碌的工作中临近尾声。一年来，在局、所领导及同事们的帮助指导下，通过自身努力，我成功从一名大学生转型为称职的国家公职人员，并在业务素质、工作能力等方面得到大幅提升，较好的完成了各项工作任务。现将本人一年来的工作、学习情况总结如下：</w:t>
      </w:r>
      <w:r>
        <w:rPr>
          <w:lang w:eastAsia="zh-CN"/>
        </w:rPr>
        <w:br/>
      </w:r>
      <w:r>
        <w:rPr>
          <w:lang w:eastAsia="zh-CN"/>
        </w:rPr>
        <w:t>　　一、努力学习，全面提高自身综合素质</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6"/>
          <w:cols w:space="425"/>
          <w:titlePg w:val="0"/>
          <w:docGrid w:type="lines" w:linePitch="312"/>
        </w:sectPr>
      </w:pPr>
      <w:r>
        <w:rPr>
          <w:lang w:eastAsia="zh-CN"/>
        </w:rPr>
        <w:t>　　学习是永恒的主题，具备良好的政治和业务素质是做好财务工作的必要条件，也是作为一名合格共产党员的基本前提。一年来，我不断加强政治理论和方针政策的学习，通过参加学习活动和坚持自学等多种形式，认真学习了党的路线、方针、政策，尤其是深入学习领会了党的“十八大”精神，用理论知识武装头脑，指导各项工作。同时，重点学习了财务工作相关规定，自觉按照国家政策和程序办事。努力钻研业务知识，积极参加部门组织的各种业务技能培训，充分利用业余时间，加强财务知识学习，保障了财务知识不断更新，工作水平有效提高。</w:t>
      </w:r>
      <w:r>
        <w:rPr>
          <w:lang w:eastAsia="zh-CN"/>
        </w:rPr>
        <w:br/>
      </w:r>
      <w:r>
        <w:rPr>
          <w:lang w:eastAsia="zh-CN"/>
        </w:rPr>
        <w:t>　　二、严格履职，扎实做好本职工作</w:t>
      </w:r>
      <w:r>
        <w:rPr>
          <w:lang w:eastAsia="zh-CN"/>
        </w:rPr>
        <w:br/>
      </w:r>
      <w:r>
        <w:rPr>
          <w:lang w:eastAsia="zh-CN"/>
        </w:rPr>
        <w:t>　　一年来，我能认真履行岗位职责，自觉服从组织和领导安排，脚踏实地、忠于职守、尽职尽责，按时、保质保量的完成了本职工作，合理合法的处理了相关财会业务。</w:t>
      </w:r>
      <w:r>
        <w:rPr>
          <w:lang w:eastAsia="zh-CN"/>
        </w:rPr>
        <w:br/>
      </w:r>
      <w:r>
        <w:rPr>
          <w:lang w:eastAsia="zh-CN"/>
        </w:rPr>
        <w:t>　　一是认真做好财务报账工作。工作中，我本着客观、严谨、细致的原则，严格执行财务纪律，按照财务报账制度和会计基础工作规范化要求进行财务报账。在审核原始凭证时，对不真实、不合规、不合法的原始凭证敢于指出，不予报销；对记载不准确、不完整的`原始凭证，予以退回，要求经办人员更正、补充。通过认真的审核和监督，保证了会计凭证手续齐备、规范合法，确保了我所会计信息的真实、合法、准确、完整。同时，定期向领导汇报财会业务执行情况，积极协调财务室与其他科室关系，认真完成领导交办的临时性工作任务。</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7"/>
          <w:cols w:space="425"/>
          <w:titlePg w:val="0"/>
          <w:docGrid w:type="lines" w:linePitch="312"/>
        </w:sectPr>
      </w:pPr>
      <w:r>
        <w:rPr>
          <w:lang w:eastAsia="zh-CN"/>
        </w:rPr>
        <w:t>　　二是有效加强日常财务收支管理。在校期间，本人系统全面的学习了财务知识，工作中做到了学以致用。一年来，我能积极主动的完成各月记账、结账和账务处理工作，准确无误的填报月度、季度、年终各类统计报表，并按时报送。较好的完成了往来银行间业务、税务申报与缴纳及其他各类日常费用的缴纳工作。在完成本职工作之余，积极参与工作。</w:t>
      </w:r>
      <w:r>
        <w:rPr>
          <w:lang w:eastAsia="zh-CN"/>
        </w:rPr>
        <w:br/>
      </w:r>
      <w:r>
        <w:rPr>
          <w:lang w:eastAsia="zh-CN"/>
        </w:rPr>
        <w:t>　　三、存在的问题及下一步工作打算</w:t>
      </w:r>
      <w:r>
        <w:rPr>
          <w:lang w:eastAsia="zh-CN"/>
        </w:rPr>
        <w:br/>
      </w:r>
      <w:r>
        <w:rPr>
          <w:lang w:eastAsia="zh-CN"/>
        </w:rPr>
        <w:t>　　总结一年来的工作，虽然取得了一定的成绩，但仍存在一些问题和不足：</w:t>
      </w:r>
      <w:r>
        <w:rPr>
          <w:lang w:eastAsia="zh-CN"/>
        </w:rPr>
        <w:br/>
      </w:r>
      <w:r>
        <w:rPr>
          <w:lang w:eastAsia="zh-CN"/>
        </w:rPr>
        <w:t>　　一是工作开展多，经验总结少，导致效率低下，事倍功半现象时有发生。我将虚心学习周围同事先进的工作经验，勤于思考、加强总结、提高效率，以便更好的开展工作。</w:t>
      </w:r>
      <w:r>
        <w:rPr>
          <w:lang w:eastAsia="zh-CN"/>
        </w:rPr>
        <w:br/>
      </w:r>
      <w:r>
        <w:rPr>
          <w:lang w:eastAsia="zh-CN"/>
        </w:rPr>
        <w:t>　　二是日常事务性工作多，深入学习研究财务相关管理办法及工作制度少，工作有广度，没深度。今后的工作中，我将更加严格要求自己，进一步加强业务知识学习，努力提高工作水平，以对工作高度负责的态度，解放思想、实事求是、发奋努力，力争更好地完成各项目标任务，不辜负领导和同志们对我的期望。</w:t>
      </w:r>
      <w:r>
        <w:rPr>
          <w:lang w:eastAsia="zh-CN"/>
        </w:rPr>
        <w:br/>
      </w:r>
      <w:r>
        <w:rPr>
          <w:lang w:eastAsia="zh-CN"/>
        </w:rPr>
        <w:t xml:space="preserve">    2024财务工作总结报告 篇9 </w:t>
      </w:r>
      <w:r>
        <w:rPr>
          <w:lang w:eastAsia="zh-CN"/>
        </w:rPr>
        <w:br/>
      </w:r>
      <w:r>
        <w:rPr>
          <w:lang w:eastAsia="zh-CN"/>
        </w:rPr>
        <w:t>　　在20__年3月19日我应聘到__公司会计岗位工作，在紧张的工作中不觉现在就到了年末，20__年的财务工作虽然还在持续中，但是回首这几个月来的财务工作，心中感受颇多。在物业公司快速发展期间，我有幸成为了其中的一员，因为企业的快速发展也促使我不得不加强自身素质的提高，以便适应公司快速前进的步伐。</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8"/>
          <w:cols w:space="425"/>
          <w:titlePg w:val="0"/>
          <w:docGrid w:type="lines" w:linePitch="312"/>
        </w:sectPr>
      </w:pPr>
      <w:r>
        <w:rPr>
          <w:lang w:eastAsia="zh-CN"/>
        </w:rPr>
        <w:t>　　在领导的指导和同事们的帮助下，我不断巩固、不断学习相关财务知识，时刻注意将理论知识和财务实践结合起来，个人无论是在敬业精神、思想境界，还是在业务素质、工作能力上都得到很大提升，能顺利地完成领导赋予的各项工作任务，较好地履行了岗位所赋予的职责。入职以来，我主要负责财务核算、纳税申报等工作，现将我这期间的思想、工作情况总结汇报如下：</w:t>
      </w:r>
      <w:r>
        <w:rPr>
          <w:lang w:eastAsia="zh-CN"/>
        </w:rPr>
        <w:br/>
      </w:r>
      <w:r>
        <w:rPr>
          <w:lang w:eastAsia="zh-CN"/>
        </w:rPr>
        <w:t>　　1、思想方面</w:t>
      </w:r>
      <w:r>
        <w:rPr>
          <w:lang w:eastAsia="zh-CN"/>
        </w:rPr>
        <w:br/>
      </w:r>
      <w:r>
        <w:rPr>
          <w:lang w:eastAsia="zh-CN"/>
        </w:rPr>
        <w:t>　　不断学习物业公司的管理理念和企业文化，始终以“崇德、齐同、卓新”的态度投入到日常的工作生活中，做到了与人为善，和睦相处。</w:t>
      </w:r>
      <w:r>
        <w:rPr>
          <w:lang w:eastAsia="zh-CN"/>
        </w:rPr>
        <w:br/>
      </w:r>
      <w:r>
        <w:rPr>
          <w:lang w:eastAsia="zh-CN"/>
        </w:rPr>
        <w:t>　　2、工作方面</w:t>
      </w:r>
      <w:r>
        <w:rPr>
          <w:lang w:eastAsia="zh-CN"/>
        </w:rPr>
        <w:br/>
      </w:r>
      <w:r>
        <w:rPr>
          <w:lang w:eastAsia="zh-CN"/>
        </w:rPr>
        <w:t>　　1）财务核算工作财务核算是会计人员的基本工作，也是日常性工作。现在的财务核算都是借助财务软件来完成的，对财务软件的日常性工作操作已经可以熟练掌握使用。在工作中做到及时编制凭证、按时结账、及时准确的出具财务报表并上报公司财务中心。</w:t>
      </w:r>
      <w:r>
        <w:rPr>
          <w:lang w:eastAsia="zh-CN"/>
        </w:rPr>
        <w:br/>
      </w:r>
      <w:r>
        <w:rPr>
          <w:lang w:eastAsia="zh-CN"/>
        </w:rPr>
        <w:t>　　2）月度资金预算及20__年财务预算的编制“凡事预则立，不预则废”——按照物业公司财务中心的要求每月及时填报月度资金预算表及年终填报下年度的资金预算计划，在完成此项工作中体会到公司在资金的方面的管理的先进性。合理有效地筹措、分配、使用资金，加强对公司内资金使用的监督和管理，提高资金利润率，保证资金安全。</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9"/>
          <w:cols w:space="425"/>
          <w:titlePg w:val="0"/>
          <w:docGrid w:type="lines" w:linePitch="312"/>
        </w:sectPr>
      </w:pPr>
      <w:r>
        <w:rPr>
          <w:lang w:eastAsia="zh-CN"/>
        </w:rPr>
        <w:t>　　3）财务内部报表的编制在日常的财务核算中编制的《资产负债表》、《损益表》等基础的财务报表并不能满足一个日益发展壮大的公司管理层企业管理的需求，而财务中心适时的推出、改进一系列的财务内部报表，为公司的进一步发展奠定了一个夯实的基础。在编制内部报表的过程中，能够正确领会到公司管理层的对物业公司下一步发展所指明的方向。促使自己在工作中完善核算方法，为公司的可持续发展做好扎实财务工作。</w:t>
      </w:r>
      <w:r>
        <w:rPr>
          <w:lang w:eastAsia="zh-CN"/>
        </w:rPr>
        <w:br/>
      </w:r>
      <w:r>
        <w:rPr>
          <w:lang w:eastAsia="zh-CN"/>
        </w:rPr>
        <w:t>　　4）物业软件的实施为了完善物业公司的核算工作，公司安装了专业的物业管理软件，以方便辅助财务的核算。在物业管理软件的推广使用中与软件公司的工程师积极沟通，励志，寻求解决完善软件存在问题的方法，并指导物管员正确的使用软件。使物业管理软件在日常物业管理中发挥的作用。</w:t>
      </w:r>
      <w:r>
        <w:rPr>
          <w:lang w:eastAsia="zh-CN"/>
        </w:rPr>
        <w:br/>
      </w:r>
      <w:r>
        <w:rPr>
          <w:lang w:eastAsia="zh-CN"/>
        </w:rPr>
        <w:t>　　5）领导临时交办的其他工作对于一件事重要与否应该在第一时间做出正确的判断，才方便下一步制定计划。在领导临时交办的其他工作，我总是要判断其是否重要、紧急，然后合理的安排时间，在有效的时间内高质高量的完成领导交办下来临时事项。合理的安排时间，有效的利用时间，否则纵使每天忙得团团转但其实又真的没干什么，就向一个救火队员一样，哪里有火哪里跑，最后却收益甚微。</w:t>
      </w:r>
      <w:r>
        <w:rPr>
          <w:lang w:eastAsia="zh-CN"/>
        </w:rPr>
        <w:br/>
      </w:r>
      <w:r>
        <w:rPr>
          <w:lang w:eastAsia="zh-CN"/>
        </w:rPr>
        <w:t>　　新的形势和新的发展要求赋予了我们新的责任和使命，作为物业的一名普通员工强烈的使命感和责任感又不断的鞭策我继续开拓创新，阔步向前，宏伟的企业愿景正在向我们敞开怀抱，在此谨借屈原的一句话表达我个人对新一年工作的态度，即“路漫漫其修远兮，吾将上下而求索”。</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0"/>
          <w:cols w:space="425"/>
          <w:titlePg w:val="0"/>
          <w:docGrid w:type="lines" w:linePitch="312"/>
        </w:sectPr>
      </w:pPr>
      <w:r>
        <w:rPr>
          <w:lang w:eastAsia="zh-CN"/>
        </w:rPr>
        <w:t xml:space="preserve">    2024财务工作总结报告 篇10 </w:t>
      </w:r>
      <w:r>
        <w:rPr>
          <w:lang w:eastAsia="zh-CN"/>
        </w:rPr>
        <w:br/>
      </w:r>
      <w:r>
        <w:rPr>
          <w:lang w:eastAsia="zh-CN"/>
        </w:rPr>
        <w:t>　　20__年即将过去与20__就要到来之际，我先祝贺各位同事在度过愉快丰收的一年和在未来一年中万事顺意!自己在局与中心领导和全体同事的关心、支持和帮助下，坚持自我严格要求、加强学习、踏实工作，在政治思想、工作学习等方面取得了不小的进步，下面把自己各方面的表现向领导和同事们作个小总结。</w:t>
      </w:r>
      <w:r>
        <w:rPr>
          <w:lang w:eastAsia="zh-CN"/>
        </w:rPr>
        <w:br/>
      </w:r>
      <w:r>
        <w:rPr>
          <w:lang w:eastAsia="zh-CN"/>
        </w:rPr>
        <w:t>　　一、爱岗敬业，坚持原则树立良好的职业道德</w:t>
      </w:r>
      <w:r>
        <w:rPr>
          <w:lang w:eastAsia="zh-CN"/>
        </w:rPr>
        <w:br/>
      </w:r>
      <w:r>
        <w:rPr>
          <w:lang w:eastAsia="zh-CN"/>
        </w:rPr>
        <w:t>　　在工作中，自己按照发展要有新思路，改革要有新突破，开放要有新局面，各项工作要新举措的要求，在工作中要能够坚持原则，秉公办事，顾全大局，以新《会计法》为依据。遵纪守法，遵守财经纪律。认真履行会计岗位职责，一丝不苟，忠于职守尽职尽责的工作。服从组织安排，并能按时保质保量完成岗位任务工作。主动利用会计的优势和特长，给领导当好参谋，合理合法处理好财会业务。对各办公室人员所需报销的单据进行认真审核，为领导把好第一关，对不合理的票据一律不予报销，发现问题及时向领导汇报，认真做好会计基础工作，认真审核原始凭证，会计凭证手续齐全，装订整洁符合要求，科目设置准确，帐目清楚，会计报表要准确及时完整定期向领导汇报财务业务执行情况，除按时完成本职工作之外，还能完成临时性工作任务。</w:t>
      </w:r>
      <w:r>
        <w:rPr>
          <w:lang w:eastAsia="zh-CN"/>
        </w:rPr>
        <w:br/>
      </w:r>
      <w:r>
        <w:rPr>
          <w:lang w:eastAsia="zh-CN"/>
        </w:rPr>
        <w:t>　　二、在生活作风方面</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1"/>
          <w:cols w:space="425"/>
          <w:titlePg w:val="0"/>
          <w:docGrid w:type="lines" w:linePitch="312"/>
        </w:sectPr>
      </w:pPr>
      <w:r>
        <w:rPr>
          <w:lang w:eastAsia="zh-CN"/>
        </w:rPr>
        <w:t>　　生活中继续发扬勤俭节约、团结互助的优良作风，并有意识约束自己的言行，努力做到：能自己解决的绝不找领导解决，能暂时凑合的绝不跟领导反映，绝不提过分和无理的要求。同时，正确处理好工作与生活的关系，以积极健康的生活状态为工作打下了良好的基础。</w:t>
      </w:r>
      <w:r>
        <w:rPr>
          <w:lang w:eastAsia="zh-CN"/>
        </w:rPr>
        <w:br/>
      </w:r>
      <w:r>
        <w:rPr>
          <w:lang w:eastAsia="zh-CN"/>
        </w:rPr>
        <w:t>　　三、加强政治学习努力提高自身素质</w:t>
      </w:r>
      <w:r>
        <w:rPr>
          <w:lang w:eastAsia="zh-CN"/>
        </w:rPr>
        <w:br/>
      </w:r>
      <w:r>
        <w:rPr>
          <w:lang w:eastAsia="zh-CN"/>
        </w:rPr>
        <w:t>　　我深知作为财务工作人员，肩负的任务繁重，责任重大，为了不辜负领导的重托和大家的信任，更好的履行职责，就必须不断的学习，因此把学习放在重要位置，认真学习业务知识和煤矿兼并重组的新形势下的政策，自己无论是在政治思想上还是业务水平方面，有了较大的提高。坚持把学习和积累作为提升自身素质，提高工作能力的基本途径，坚持把参加各种学习活动与业务学习结合起来，并认真做好重点学习笔记。工作中能认真执行有关财务管理规定，履行节约，勤俭办公，务实开拓。</w:t>
      </w:r>
      <w:r>
        <w:rPr>
          <w:lang w:eastAsia="zh-CN"/>
        </w:rPr>
        <w:br/>
      </w:r>
      <w:r>
        <w:rPr>
          <w:lang w:eastAsia="zh-CN"/>
        </w:rPr>
        <w:t>　　四、重视日常财务收支管理</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2"/>
          <w:cols w:space="425"/>
          <w:titlePg w:val="0"/>
          <w:docGrid w:type="lines" w:linePitch="312"/>
        </w:sectPr>
      </w:pPr>
      <w:r>
        <w:rPr>
          <w:lang w:eastAsia="zh-CN"/>
        </w:rPr>
        <w:t>　　收支管理是一个单位财务管理工作的重中之重，加强收支管理，既是缓解资金供需矛盾，发展事业的需要，也是贯彻执勤俭办一切事业方针的体现。为了加强这一管理，我们建立建全各项财务制度，财务日常工作，就可以做到有法可依，有章可循，实现管理的规范的制度化。对一切开支严格按财务制度办理，对一些创收积极进行催收，使得局和中心财务财务能够集中财力办公，通过财务室认真落实的执行，收效非常明显。在经费相当紧张的情况下，既保证局和中心一系列政党业务活动和财务收支健康顺利地开展，又使各项收支的安排使用符合发展的要求，极大的提高了资金的使用效益，达到了增收节支的目的。</w:t>
      </w:r>
      <w:r>
        <w:rPr>
          <w:lang w:eastAsia="zh-CN"/>
        </w:rPr>
        <w:br/>
      </w:r>
      <w:r>
        <w:rPr>
          <w:lang w:eastAsia="zh-CN"/>
        </w:rPr>
        <w:t>　　五、认真做好年终决算工作</w:t>
      </w:r>
      <w:r>
        <w:rPr>
          <w:lang w:eastAsia="zh-CN"/>
        </w:rPr>
        <w:br/>
      </w:r>
      <w:r>
        <w:rPr>
          <w:lang w:eastAsia="zh-CN"/>
        </w:rPr>
        <w:t>　　年终决算是一项比较复杂和繁重的工作任务，主要是进行结清旧账，年终转账和记入新账，编制会计报表等，财务报表是仅反映单位财务状况和收支情况的书面文件，单位领导了解情况，掌握政策，指导本单位预算执行工作的重要资料，也是编制下年度财务收支计划的基础。认真细致地搞好年终决算和编制各种会计报表。写出分析，能过分析总结出管理中的经验，提示出存在的问题，以便改进财务管理工作，提高管理水平也为领导的决策提供依据。</w:t>
      </w:r>
      <w:r>
        <w:rPr>
          <w:lang w:eastAsia="zh-CN"/>
        </w:rPr>
        <w:br/>
      </w:r>
      <w:r>
        <w:rPr>
          <w:lang w:eastAsia="zh-CN"/>
        </w:rPr>
        <w:t>　　六、存在的问题和不足</w:t>
      </w:r>
      <w:r>
        <w:rPr>
          <w:lang w:eastAsia="zh-CN"/>
        </w:rPr>
        <w:br/>
      </w:r>
      <w:r>
        <w:rPr>
          <w:lang w:eastAsia="zh-CN"/>
        </w:rPr>
        <w:t>　　工作取得了一些成绩，是与领导同事的信任和帮助是分不开的，同时也意识到自身还存在着许多不足之处，与大家的期望还有差距。一是虽然在思想上始终与党组织保持一致，但在行动上积极向党组织靠拢方面做得还不够好;二是在工作中存在一定失误，虽然都及时补救，但还是影响了工作效率;三是对工作的繁杂性有时出现厌倦情绪、畏难情绪，精神状态不够好，导致进度较慢，需要认真加以克服;四是记账对账受其他工作影响不够及时，同时，因为时间紧，工作任务多，对支出户未达账项的定期清理情况也不理想。五是因为基本在财务岗工作，对具体业务经办技能掌握较少，进而导致对各项业务政策的理解和掌握程度不够，需要进一步加强学习。</w:t>
      </w:r>
      <w:r>
        <w:rPr>
          <w:lang w:eastAsia="zh-CN"/>
        </w:rPr>
        <w:br/>
      </w:r>
      <w:r>
        <w:rPr>
          <w:lang w:eastAsia="zh-CN"/>
        </w:rPr>
        <w:t xml:space="preserve">    2024财务工作总结报告 篇11 </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3"/>
          <w:cols w:space="425"/>
          <w:titlePg w:val="0"/>
          <w:docGrid w:type="lines" w:linePitch="312"/>
        </w:sectPr>
      </w:pPr>
      <w:r>
        <w:rPr>
          <w:lang w:eastAsia="zh-CN"/>
        </w:rPr>
        <w:t>　　20__年，是本人在财务科工作的第二年。在一年的时间里，本人能够遵纪守法、认真学习、努力钻研、扎实工作，以勤勤恳恳、兢兢业业的态度对待本职工作，在财务岗位上发挥了应有的作用，做出了贡献。</w:t>
      </w:r>
      <w:r>
        <w:rPr>
          <w:lang w:eastAsia="zh-CN"/>
        </w:rPr>
        <w:br/>
      </w:r>
      <w:r>
        <w:rPr>
          <w:lang w:eastAsia="zh-CN"/>
        </w:rPr>
        <w:t>　　一、深入学习实践科学发展观，认真学习政治理论知识，参加有益的政治活动，不断提高自身思想修养和政治理论水平。20__年，本人进取响应自治区劳教局、所部两级提出的打造一支“学习型劳教机关”队伍的号召，在学习的过程中能做好记录、进取讨论、用心体会、写出心得。同时积极参与到“礼貌执法树形象”、“向任长霞同志学习”等政治活动以及“爱岗敬业”演讲比赛、“两个条例”知识竞赛活动中，在参加活动的时候，明确目标、树立榜样、锻炼胆识、提高认识。经过进行政治理论学习和参加政治活动及各种竞赛，本人在思想上、行动上与坚持高度一致，同时使得政治思想素质和执法水平得到了极大的提高，加强了廉洁自律、拒腐防变的本事，增强了执法和服务意识，为做好财务工作奠定了思想基础。</w:t>
      </w:r>
      <w:r>
        <w:rPr>
          <w:lang w:eastAsia="zh-CN"/>
        </w:rPr>
        <w:br/>
      </w:r>
      <w:r>
        <w:rPr>
          <w:lang w:eastAsia="zh-CN"/>
        </w:rPr>
        <w:t>　　二、爱岗敬业、扎实工作、不怕困难、勇挑重担，热情服务，在本职岗位上发挥出应有的作用。</w:t>
      </w:r>
      <w:r>
        <w:rPr>
          <w:lang w:eastAsia="zh-CN"/>
        </w:rPr>
        <w:br/>
      </w:r>
      <w:r>
        <w:rPr>
          <w:lang w:eastAsia="zh-CN"/>
        </w:rPr>
        <w:t>　　1、顾全大局、服从安排、团结协作。今年，根据财务科的工作安排，本人从原先的记账岗位上调整到报账岗位上。在岗位变动的过程中，本人能顾全大局、服从安排，虚心向有经验的同志学习，认真探索，总结方法，增强业务知识，掌握业务技能，并能团结同志，加强协作，很快适应了新的工作岗位，熟悉了报账业务，与全科同志一起做好财务审核和监督工作。</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4"/>
          <w:cols w:space="425"/>
          <w:titlePg w:val="0"/>
          <w:docGrid w:type="lines" w:linePitch="312"/>
        </w:sectPr>
      </w:pPr>
      <w:r>
        <w:rPr>
          <w:lang w:eastAsia="zh-CN"/>
        </w:rPr>
        <w:t>　　2、坚持原则、客观公正、依法办事。一年以来，本人主要负责财务报账工作，在实际工作中，本着客观、严谨、细致的原则，在办理会计事务时做到实事求是、细心审核、加强监督，严格执行财务纪律，按照财务报账制度和会计基础工作规范化的要求进行财务报账工作。在审核原始凭证时，对不真实、不合规、不合法的原始凭证敢于指出，坚决不予报销;对记载不准确、不完整的原始凭证，予以退回，要求经办人员更正、补充。经过认真的审核和监督，保证了会计凭证手续齐备、规范合法，确保了我所会计信息的真实、合法、准确、完整，切实发挥了财务核算和监督的作用。</w:t>
      </w:r>
      <w:r>
        <w:rPr>
          <w:lang w:eastAsia="zh-CN"/>
        </w:rPr>
        <w:br/>
      </w:r>
      <w:r>
        <w:rPr>
          <w:lang w:eastAsia="zh-CN"/>
        </w:rPr>
        <w:t>　　3、任劳任怨、乐于吃苦、甘于奉献。今年以来，由于场所整体搬迁和会计基础规范化整改工作，财务工作的力度和难度都有所加大。除了完成报账工作，本人还同时兼顾科里的内勤工作及其他业务。为了能按质按量完成各项任务，本人不计较个人得失，不讲报酬，牺牲个人利益，经常加班加点进行工作。在工作中发扬乐于吃苦、甘于奉献的精神，对待各项工作始终能够做到任劳任怨、尽职尽责。在完成报账任务的同时，兼顾内勤，做好预算，管理劳教存款，出色地完成各项工作任务，起到了先进和榜样的作用。</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5"/>
          <w:cols w:space="425"/>
          <w:titlePg w:val="0"/>
          <w:docGrid w:type="lines" w:linePitch="312"/>
        </w:sectPr>
      </w:pPr>
      <w:r>
        <w:rPr>
          <w:lang w:eastAsia="zh-CN"/>
        </w:rPr>
        <w:t>　　4、爱岗敬业、提高效率、热情服务。在财务战线上，本人始终以敬业、热情、耐心的态度投入到本职工作中。对待来报账的同志，能够做到一视同仁，热情服务、耐心讲解，做好会计法律法规的宣传工作。在工作过程中，不刁难同志、不拖延报账时间：对真实、合法的凭证，及时给予报销;对不合规的凭证，指明原因，要求改正。努力提高工作效率和服务质量，以高效、优质的服务，获得了民警职工的好评。</w:t>
      </w:r>
      <w:r>
        <w:rPr>
          <w:lang w:eastAsia="zh-CN"/>
        </w:rPr>
        <w:br/>
      </w:r>
      <w:r>
        <w:rPr>
          <w:lang w:eastAsia="zh-CN"/>
        </w:rPr>
        <w:t xml:space="preserve">    2024财务工作总结报告 篇12 </w:t>
      </w:r>
      <w:r>
        <w:rPr>
          <w:lang w:eastAsia="zh-CN"/>
        </w:rPr>
        <w:br/>
      </w:r>
      <w:r>
        <w:rPr>
          <w:lang w:eastAsia="zh-CN"/>
        </w:rPr>
        <w:t>　　1020__年很快要过去了，一年来财务工作在局领导的正确指导和各职能部门的精城合作及全体财务人员的共同努力，紧紧围绕全局工作，与上级业务部门密切配合下，回顾一年来本部门所做的工作;大量资金收付业务，繁杂的日常报销工作，日常财务，会计记账审核工作，食堂，洗衣房成本核算，各种财务票据的规范使用，内部与部门间的协调，会计人员的业务学习和指导等等。</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6"/>
          <w:cols w:space="425"/>
          <w:titlePg w:val="0"/>
          <w:docGrid w:type="lines" w:linePitch="312"/>
        </w:sectPr>
      </w:pPr>
      <w:r>
        <w:rPr>
          <w:lang w:eastAsia="zh-CN"/>
        </w:rPr>
        <w:t>　　1020__年我局财务人员共一十二人，除局财会四人以外，其余八人分别在食堂六人(仓库保管员3人，收款、发卡3人)，行政仓库保管员一人，洗衣房收款一人。由于我们部门人员对财务方便的知识都不是十分熟练，她们有的刚刚从学校毕业的，有的从其他行业调转来的，来到本局以后才从事此方便的业务，为此，财务方便的知识对于她们都是新生事务做起工作困难重重，而我本人做为负责人也是今年下半年刚刚上任，虽然本人从事过多年的会计工作，也具备了相关方便的职称，但从事的是企业会计，虽然会计原理都相同，但实务处理中，行政，企事业科目都不同。新的人员，新的工作环境，以及新的工作内容给财务工作带来了很大的挑战，尤其是本局正在筹建中，还没有和行署办脱离关系，财务方便的大量业务还是行署办掌控中;对于本年度的预算的执行情况，日常零余额资金的运行，以及政府采购等等。本局财会一律不掌握。在这种情况下，我们财务人员没有畏缩，在局长的指导与帮助下，凭着责任心和敬业精神，团结一致，在工作中学习，学习中工作，相互间取长补短，克服了种种压力与困难，在较短的时间内掌握了一定财务方便的基础知识，逐步完善财务管理，使财务工作平稳运行，完成了年度部门工作任务。现将20__年财务工作总结如下，不足之处望领导和相关人士多多包涵的基础上不吝指正。</w:t>
      </w:r>
      <w:r>
        <w:rPr>
          <w:lang w:eastAsia="zh-CN"/>
        </w:rPr>
        <w:br/>
      </w:r>
      <w:r>
        <w:rPr>
          <w:lang w:eastAsia="zh-CN"/>
        </w:rPr>
        <w:t>　　一、 会计基础工作方面</w:t>
      </w:r>
      <w:r>
        <w:rPr>
          <w:lang w:eastAsia="zh-CN"/>
        </w:rPr>
        <w:br/>
      </w:r>
      <w:r>
        <w:rPr>
          <w:lang w:eastAsia="zh-CN"/>
        </w:rPr>
        <w:t>　　为了确保财务核算在单位的各项工作中发挥准确的指导作用，我们在遵守财务制度的前提下，认真履行财务工作要求，正确地发挥会计工作的重要性。总结各方面工作的特点，制定岗位责任制，扎实地做好财务基础工作，一年来，我们把会计基础学习及各项计划、制度相结合，真实有效地把会计核算、会计档案管理等几项重要基础工作放到了重要工作日程上来，并按照每月份工作计划，组织本部门人员按月对会计凭证进行了装订归档，按时完成了凭证的装订工作。严格按照会计基础工作达标的要求，认真登记各类账簿及台帐，部门内部、部门之间及时对帐，做到帐帐相符、帐实相符。</w:t>
      </w:r>
      <w:r>
        <w:rPr>
          <w:lang w:eastAsia="zh-CN"/>
        </w:rPr>
        <w:br/>
      </w:r>
      <w:r>
        <w:rPr>
          <w:lang w:eastAsia="zh-CN"/>
        </w:rPr>
        <w:t>　　二、 财务核算和管理工作</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7"/>
          <w:cols w:space="425"/>
          <w:titlePg w:val="0"/>
          <w:docGrid w:type="lines" w:linePitch="312"/>
        </w:sectPr>
      </w:pPr>
      <w:r>
        <w:rPr>
          <w:lang w:eastAsia="zh-CN"/>
        </w:rPr>
        <w:t>　　食堂的成本核算，食堂是本年五月份正式开始运行，我是六月下旬来的，根据本单位工作性质，该单位属于财政补贴单位，而领导为了更好的经营与管理食堂的运行，专设食堂会计，进行成本核算，所以，我很快进入工作角色，与食堂会计马桂芳协同合作，开始理顺食堂账目，我来之前马会计已经统计好了食堂原材料购入与出库数据，做的非常准确细致，但与会计规范要求还有一定的差距，为了按着会计制度建立建全食堂的账目。从今年五月份做起，由于本人在从事会计工作中从未接触过餐饮方面的账，再加上合做伙伴都是业务新手，提供相关数据难度很大，白天和相关人员收集、整理资料、处理日常的工作，晚上自己学习有关业务方便的书，或是在网上查找相关方便的资料。就这样收集食堂的固定资产、低值易耗品购入凭证，合同及所有的原始票据。按着会计制度设置，审核原始票据、填制记账凭证、登记账薄、装订凭证、食堂成本核算、员工工资核算、资产负责表的填制等一系列工作，用两个多月的时间放弃节假日的休息加班加点，把五至八月共四个月的账，到八月末全部做完，到目前共审核原始凭证5千多笔，填制记账凭证530多张，装订凭证25册。建立了总账，各类明细分类帐，如：固定资产、收入、成本、应收、应付等10多个账薄。食堂的账已经进入了会计核算正规化，并做到了帐目健全，帐目清楚，帐帐相符，为领导决策提供了真实的决策信息。为此，在建账过程中我要感谢的人有马桂芳、李晓波，张志刚等等相关人员的鼎力相助，尤其是马桂芳同志虽然不是专业会计出身，但刻苦钻研会计工作，不怕苦，不怕累。在较短的时间内掌握了一定的会计基础工作。</w:t>
      </w:r>
      <w:r>
        <w:rPr>
          <w:lang w:eastAsia="zh-CN"/>
        </w:rPr>
        <w:br/>
      </w:r>
      <w:r>
        <w:rPr>
          <w:lang w:eastAsia="zh-CN"/>
        </w:rPr>
        <w:t xml:space="preserve">    2024财务工作总结报告 篇13 </w:t>
      </w:r>
      <w:r>
        <w:rPr>
          <w:lang w:eastAsia="zh-CN"/>
        </w:rPr>
        <w:br/>
      </w:r>
      <w:r>
        <w:rPr>
          <w:lang w:eastAsia="zh-CN"/>
        </w:rPr>
        <w:t>　　人生中第一次工作，虽然是实习。一周下来，稍微总结一下。</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8"/>
          <w:cols w:space="425"/>
          <w:titlePg w:val="0"/>
          <w:docGrid w:type="lines" w:linePitch="312"/>
        </w:sectPr>
      </w:pPr>
      <w:r>
        <w:rPr>
          <w:lang w:eastAsia="zh-CN"/>
        </w:rPr>
        <w:t>　　第一天很好奇也很紧张，虽然说老爹所在的公司，我认识一些人，可是财务部基本上都不认识，只认识一个阿姨，那是我同学的妈妈。剩下的人都不认识，倒是其它部门有一些居然认识我，可惜对他们我一点印象都没有，汗，真尴尬。</w:t>
      </w:r>
      <w:r>
        <w:rPr>
          <w:lang w:eastAsia="zh-CN"/>
        </w:rPr>
        <w:br/>
      </w:r>
      <w:r>
        <w:rPr>
          <w:lang w:eastAsia="zh-CN"/>
        </w:rPr>
        <w:t>　　由于大家的年龄各不相同，称呼起来也还是挺费劲，索性认识的那个就称阿姨;财务部的部长，她是认识我爸妈的，原先见到也是叫阿姨，可是在公司里总归是不能这么叫的，其他人都叫她领导或姜总，我就称她部长;然后就是那个叫李伟的，怎么说也是个主管，于是我就叫他主管了;剩下20多岁的就称哥哥姐姐、还有高姐啊，应该30多吧，一开始叫人家姐还挺不习惯，不过叫了几次就顺耳多了，这几天也一直在帮高姐干活，貌似他们其他人都用不到我，不知道是因为真的用不到还是不放心，总之在高姐这边干活我逐渐学到了一些东西，比如刚开始整理凭证，装盒查档案、找票据等等，后来开始让我用计算机了，打印凭证，再然后让我给公司各部门的人打电话来解决报销问题，昨天已经开始使用SAP来输机了，对于高姐对我的信任我很感动，真的，我不怕累，就怕没事闲着，只要随便谁给我点活干，哪怕只是琐屑之事我都十分高兴，呵呵~</w:t>
      </w:r>
      <w:r>
        <w:rPr>
          <w:lang w:eastAsia="zh-CN"/>
        </w:rPr>
        <w:br/>
      </w:r>
      <w:r>
        <w:rPr>
          <w:lang w:eastAsia="zh-CN"/>
        </w:rPr>
        <w:t>　　按照计划，我打算只在公司实习2周，之前跟人事部说过，可是不知道为什么这事后来才被部长知道，昨天她那字里话间不明说的暗示表示这样子不好，可是我有我的计划，我打算多花些时间在银行实习，可是我又不能说出口，这样子不是明摆鄙视人家嘛。</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9"/>
          <w:cols w:space="425"/>
          <w:titlePg w:val="0"/>
          <w:docGrid w:type="lines" w:linePitch="312"/>
        </w:sectPr>
      </w:pPr>
      <w:r>
        <w:rPr>
          <w:lang w:eastAsia="zh-CN"/>
        </w:rPr>
        <w:t>　　如果时间再长一些，我也愿意在公司多实习一段时间的，不过等财务那两个休假的人回来就没我地方了，也就意味着我也干不了什么了，索性还是两周就走人，对外企、对公司财务部的运行情况都大概有了些认识，虽说不深。</w:t>
      </w:r>
      <w:r>
        <w:rPr>
          <w:lang w:eastAsia="zh-CN"/>
        </w:rPr>
        <w:br/>
      </w:r>
      <w:r>
        <w:rPr>
          <w:lang w:eastAsia="zh-CN"/>
        </w:rPr>
        <w:t>　　我的原则就是不在于时间长短，只要是我在的一天就要认认真真地完成每项工作，能够学到一些为人处世和财务业务方面的东西。</w:t>
      </w:r>
      <w:r>
        <w:rPr>
          <w:lang w:eastAsia="zh-CN"/>
        </w:rPr>
        <w:br/>
      </w:r>
      <w:r>
        <w:rPr>
          <w:lang w:eastAsia="zh-CN"/>
        </w:rPr>
        <w:t>　　另外很喜欢郝颖姐，看样子她应该是财务部里年龄最小的了，应该比我大不了几岁，而且说来也巧，我们的名字里有个相同的字，那天聊天才得知她也好喜欢好喜欢动漫啊，然后感觉一下子距离近了好多，周一还要给她带彩云国的盘呢。</w:t>
      </w:r>
      <w:r>
        <w:rPr>
          <w:lang w:eastAsia="zh-CN"/>
        </w:rPr>
        <w:br/>
      </w:r>
      <w:r>
        <w:rPr>
          <w:lang w:eastAsia="zh-CN"/>
        </w:rPr>
        <w:t xml:space="preserve">    2024财务工作总结报告 篇14 </w:t>
      </w:r>
      <w:r>
        <w:rPr>
          <w:lang w:eastAsia="zh-CN"/>
        </w:rPr>
        <w:br/>
      </w:r>
      <w:r>
        <w:rPr>
          <w:lang w:eastAsia="zh-CN"/>
        </w:rPr>
        <w:t>　　一、加强财务内部监管</w:t>
      </w:r>
      <w:r>
        <w:rPr>
          <w:lang w:eastAsia="zh-CN"/>
        </w:rPr>
        <w:br/>
      </w:r>
      <w:r>
        <w:rPr>
          <w:lang w:eastAsia="zh-CN"/>
        </w:rPr>
        <w:t>　　1、加强组织领导</w:t>
      </w:r>
      <w:r>
        <w:rPr>
          <w:lang w:eastAsia="zh-CN"/>
        </w:rPr>
        <w:br/>
      </w:r>
      <w:r>
        <w:rPr>
          <w:lang w:eastAsia="zh-CN"/>
        </w:rPr>
        <w:t>　　为进一步完善学校内控，增强学校财务管理的透明度，学校成立了财务管理领导小组，下设财务公开与财务监管两个工作小组。领导小组制定了年度学校财务管理工作计划，明确了工作目标和具体工作措施，同时学校先后制定了学校财务管理意见，校务公开实施方案，物品采购监管工作的若干规定以及严格控制学校招待费支出的意见，日常管理中做到分工明确、责任到人、制度严格、管理到位、监督有效。</w:t>
      </w:r>
      <w:r>
        <w:rPr>
          <w:lang w:eastAsia="zh-CN"/>
        </w:rPr>
        <w:br/>
      </w:r>
      <w:r>
        <w:rPr>
          <w:lang w:eastAsia="zh-CN"/>
        </w:rPr>
        <w:t>　　2、夯实会计基础工作</w:t>
      </w:r>
      <w:r>
        <w:rPr>
          <w:lang w:eastAsia="zh-CN"/>
        </w:rPr>
        <w:br/>
      </w:r>
      <w:r>
        <w:rPr>
          <w:lang w:eastAsia="zh-CN"/>
        </w:rPr>
        <w:t>　　学校财务室每年制订详尽务实的财务工作计划，认真做好财务预算、财务决算工作，细致审核每一笔会计业务，帐务处理正确清晰。加强财务核算和财务分析，每半年向学校行政提供一份财务分析报告。及时做好会计档案工作，会计资料细致完整。</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0"/>
          <w:cols w:space="425"/>
          <w:titlePg w:val="0"/>
          <w:docGrid w:type="lines" w:linePitch="312"/>
        </w:sectPr>
      </w:pPr>
      <w:r>
        <w:rPr>
          <w:lang w:eastAsia="zh-CN"/>
        </w:rPr>
        <w:t>　　3、严格收入和收费管理</w:t>
      </w:r>
      <w:r>
        <w:rPr>
          <w:lang w:eastAsia="zh-CN"/>
        </w:rPr>
        <w:br/>
      </w:r>
      <w:r>
        <w:rPr>
          <w:lang w:eastAsia="zh-CN"/>
        </w:rPr>
        <w:t>　　学校严格按照财政部门的规定，实施收支两条线管理。学校在收费过程中能严格执行上级核定的收费范围和标准，并出具由省财政部门统一印制的规范票据，杜绝了乱收费现象。学校的所有收入均按规定及时足额纳入单位正式帐簿统一核算。学校财务监管小组每学期对学校收费和收入(包括各种回折扣)进行一次全面审查，无“公款私存”和“小金库”现象。</w:t>
      </w:r>
      <w:r>
        <w:rPr>
          <w:lang w:eastAsia="zh-CN"/>
        </w:rPr>
        <w:br/>
      </w:r>
      <w:r>
        <w:rPr>
          <w:lang w:eastAsia="zh-CN"/>
        </w:rPr>
        <w:t>　　4、抓好财务公开</w:t>
      </w:r>
      <w:r>
        <w:rPr>
          <w:lang w:eastAsia="zh-CN"/>
        </w:rPr>
        <w:br/>
      </w:r>
      <w:r>
        <w:rPr>
          <w:lang w:eastAsia="zh-CN"/>
        </w:rPr>
        <w:t>　　学校在每学期开学前，对面向学生的所有收费项目、收费标准、收费依据(批准相关和文号)收费范围以及投诉、举报电话等;对学校的收入情况，支出情况，学校的基建、维修、装璜情况和大宗物资采购情况以及财政预算、拔款到位情况都能向教代会公开。</w:t>
      </w:r>
      <w:r>
        <w:rPr>
          <w:lang w:eastAsia="zh-CN"/>
        </w:rPr>
        <w:br/>
      </w:r>
      <w:r>
        <w:rPr>
          <w:lang w:eastAsia="zh-CN"/>
        </w:rPr>
        <w:t>　　5、加强财务监管</w:t>
      </w:r>
      <w:r>
        <w:rPr>
          <w:lang w:eastAsia="zh-CN"/>
        </w:rPr>
        <w:br/>
      </w:r>
      <w:r>
        <w:rPr>
          <w:lang w:eastAsia="zh-CN"/>
        </w:rPr>
        <w:t>　　凡是学校的各种预算外收入，结算资金，物品采购和重大支出项目，学校都将其列入财务监管范围，每学期初对收费情况作一次内部审核。学期结束对学校的各项收入和重大支出作一次全面审计审核，学校经费支出均有一支笔审批、并有相关经手人验收人签字。学校能采取切实有效的措施，严格控制招待费支出。学校重大经济活动由校长室会同学校财务管理领导小组集体讨论决定、决策。</w:t>
      </w:r>
      <w:r>
        <w:rPr>
          <w:lang w:eastAsia="zh-CN"/>
        </w:rPr>
        <w:br/>
      </w:r>
      <w:r>
        <w:rPr>
          <w:lang w:eastAsia="zh-CN"/>
        </w:rPr>
        <w:t>　　二、加强采购工程监管</w:t>
      </w:r>
      <w:r>
        <w:rPr>
          <w:lang w:eastAsia="zh-CN"/>
        </w:rPr>
        <w:br/>
      </w:r>
      <w:r>
        <w:rPr>
          <w:lang w:eastAsia="zh-CN"/>
        </w:rPr>
        <w:t>　　1、实行政府集中采购</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1"/>
          <w:cols w:space="425"/>
          <w:titlePg w:val="0"/>
          <w:docGrid w:type="lines" w:linePitch="312"/>
        </w:sectPr>
      </w:pPr>
      <w:r>
        <w:rPr>
          <w:lang w:eastAsia="zh-CN"/>
        </w:rPr>
        <w:t>　　为贯彻落实上级有关规定，进一步规范学校物品采购工作，提高采购工作的效益，学校制定了--实验小学关于加强学校物品采购监管工作的若干规定。凡属政策集中采购目录内规定的设备、物品都能进行政策集中采购和定点采购。政府集中采购占实际采购的比例为100%。</w:t>
      </w:r>
      <w:r>
        <w:rPr>
          <w:lang w:eastAsia="zh-CN"/>
        </w:rPr>
        <w:br/>
      </w:r>
      <w:r>
        <w:rPr>
          <w:lang w:eastAsia="zh-CN"/>
        </w:rPr>
        <w:t>　　2、规范工程建设手续</w:t>
      </w:r>
      <w:r>
        <w:rPr>
          <w:lang w:eastAsia="zh-CN"/>
        </w:rPr>
        <w:br/>
      </w:r>
      <w:r>
        <w:rPr>
          <w:lang w:eastAsia="zh-CN"/>
        </w:rPr>
        <w:t>　　学校所有基建、维修、装璜工程均能按规定立项，并规定实施招投标，对投资额在1—10万元的建设工程，校长室能会同财务管理领导小组按有关规定自行组织招投标，招标过程做到公开、公平、透明;对一些学校零星维修，先由部门申报，再有学校行政讨论决定，学校基建维修装璜工程结束能按规定进行竣工决算审计，(零星维修有学校自行组织人员审核)，审计结果在校务公开栏里及时公开。</w:t>
      </w:r>
      <w:r>
        <w:rPr>
          <w:lang w:eastAsia="zh-CN"/>
        </w:rPr>
        <w:br/>
      </w:r>
      <w:r>
        <w:rPr>
          <w:lang w:eastAsia="zh-CN"/>
        </w:rPr>
        <w:t>　　三、加强食堂收支监管</w:t>
      </w:r>
      <w:r>
        <w:rPr>
          <w:lang w:eastAsia="zh-CN"/>
        </w:rPr>
        <w:br/>
      </w:r>
      <w:r>
        <w:rPr>
          <w:lang w:eastAsia="zh-CN"/>
        </w:rPr>
        <w:t>　　学校食堂由学校自主经营管理，严格执行市教育局《有关加强学校食堂财务管理工作和意见》的各项规定，成立了学校食堂管理工作领导小组，建立学校膳管会。为进一步加强管理，学校先后制定了食堂食品采购验收制度，主副食品进出库制度，食堂付款制度，学校所用的米、面、油、酱醋等均按规定实行定点采购。按教育局批复收取伙食费，并及时向学生出具合法票据(行政事业单位结算凭证);学校食堂能按要求建立帐册，规范齐全，成本核算真实、准确、合理，按规定计提人员报酬、设备维修、综合管理费，伙食利润控制在伙食收入的3%以内。食堂收支情况每月在校务公开栏公布，每学期结束有学校膳管会、财务监管小组进行一次审核。</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2"/>
          <w:cols w:space="425"/>
          <w:titlePg w:val="0"/>
          <w:docGrid w:type="lines" w:linePitch="312"/>
        </w:sectPr>
      </w:pPr>
      <w:r>
        <w:rPr>
          <w:lang w:eastAsia="zh-CN"/>
        </w:rPr>
        <w:t>　　--月份在创建“财务管理规范学校”工作验收中，得到了市局验收组的高度评价，我们将再接再厉，把握好每一个环节，推进我校财务管理再上新台阶。</w:t>
      </w:r>
      <w:r>
        <w:rPr>
          <w:lang w:eastAsia="zh-CN"/>
        </w:rPr>
        <w:br/>
      </w:r>
      <w:r>
        <w:rPr>
          <w:lang w:eastAsia="zh-CN"/>
        </w:rPr>
        <w:t xml:space="preserve">    2024财务工作总结报告 篇15 </w:t>
      </w:r>
      <w:r>
        <w:rPr>
          <w:lang w:eastAsia="zh-CN"/>
        </w:rPr>
        <w:br/>
      </w:r>
      <w:r>
        <w:rPr>
          <w:lang w:eastAsia="zh-CN"/>
        </w:rPr>
        <w:t>　　20__年_半年的工作已经结束，在_半年的工作中，我一直是在平淡中度过来的，工作不分大小，每一分工作都是需要平淡中度过，谁也不能接受整天在吵闹的环境中工作，这是很令人感到疲惫的事情。在上半年的工作中，我一直在不断的努力工作。总算还好，我半年来都是在不断的前进中度过，我相信自己能够做的更好，这是我一直以来不断努力的结果，我相信我能够在下半年中工作的更好!</w:t>
      </w:r>
      <w:r>
        <w:rPr>
          <w:lang w:eastAsia="zh-CN"/>
        </w:rPr>
        <w:br/>
      </w:r>
      <w:r>
        <w:rPr>
          <w:lang w:eastAsia="zh-CN"/>
        </w:rPr>
        <w:t>　　光阴如梭，半年的工作转瞬又将成为历史，今天站在这个发言席上，我多想骄傲自豪地说一声：“一份耕坛一份收获，我没有辜负领导的期望”。然而，近阶段的工作检查与仓库管理员的理论考试的结果，让我切切实实看到了财务管理的许多薄弱之处，作为财务部的主要责任领导，我负有不可推卸的责任。</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3"/>
          <w:cols w:space="425"/>
          <w:titlePg w:val="0"/>
          <w:docGrid w:type="lines" w:linePitch="312"/>
        </w:sectPr>
      </w:pPr>
      <w:r>
        <w:rPr>
          <w:lang w:eastAsia="zh-CN"/>
        </w:rPr>
        <w:t>　　“查找不足赶先进，立足根本争先进”，时值润发集团提出“树标兵、学先进、促发展、争效益”活动、润发机械又一度成为整个集团的标兵企业，“鑫宏企业与本公司进行对口红旗竞赛”的今天，作为个人我们要实现体现自已的人身价值，企业的兴衰直接关系到个人的荣辱，作为财务管理部门，为公司实现共同的目标我们要添砖加瓦，学习润机的六种精神：艰苦创业精神、改革创新精神、拓展市场精神、精益管理精神、永不满足精神、顾全大局精神。我们要把这六种精神贯穿于具体的工作中中去，下半年工作作为财务部的主要责任领导，对于“如何提高自我，服务于企业”这门必修课，我将不断地加强学习，完善自我，把“学习先进、赶超先进、争当先进”融入到工作中去，重点将放在加强仓库管理与财务分析这二块，下面就工作计划与思路向大会作一汇报：</w:t>
      </w:r>
      <w:r>
        <w:rPr>
          <w:lang w:eastAsia="zh-CN"/>
        </w:rPr>
        <w:br/>
      </w:r>
      <w:r>
        <w:rPr>
          <w:lang w:eastAsia="zh-CN"/>
        </w:rPr>
        <w:t>　　一、搞好财务分析，为领导提供有效的参考依据;</w:t>
      </w:r>
      <w:r>
        <w:rPr>
          <w:lang w:eastAsia="zh-CN"/>
        </w:rPr>
        <w:br/>
      </w:r>
      <w:r>
        <w:rPr>
          <w:lang w:eastAsia="zh-CN"/>
        </w:rPr>
        <w:t>　　我知道合理高效的财务分析思路与方法，是企业管理和决策水平提高的重要途径，并将使我们的工作事半功倍，在企业成本分析上向沈科学习、向车间的老师傅学习、向书本学习，为企业的生产经营销售，做好保本点与规模效益、销售定价分析等等，量化分析具体的财务数据，并结合企业总体战略，为企业决策和管理提供有力的财务信息支持;</w:t>
      </w:r>
      <w:r>
        <w:rPr>
          <w:lang w:eastAsia="zh-CN"/>
        </w:rPr>
        <w:br/>
      </w:r>
      <w:r>
        <w:rPr>
          <w:lang w:eastAsia="zh-CN"/>
        </w:rPr>
        <w:t>　　二、加强应收款催收管理力度，控制好库存材料与产品，提高资金的运行质量，合理控制资金的使用：</w:t>
      </w:r>
      <w:r>
        <w:rPr>
          <w:lang w:eastAsia="zh-CN"/>
        </w:rPr>
        <w:br/>
      </w:r>
      <w:r>
        <w:rPr>
          <w:lang w:eastAsia="zh-CN"/>
        </w:rPr>
        <w:t>　　公司发展至今，生产资金的筹集，一直是个头痛的问题，大家都知道资金就跟人体的血液一样重要，我们公司的主要特点是物资采购量大、生产批量大、销售批量大，筹集资金是财务的一个主要职能，良好的银企关系，是企业融资的一根纽带，目前我们只能在应收款管理与库存管理上进行控制，压缩库存，合理生产，控制资金的流向，使库存原辅材料在保证生产的同时控制到最底线，在资金尤为紧张的情况下，财务部将从采购材料与产成品这一块有效地跟踪好资金的运作;</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4"/>
          <w:cols w:space="425"/>
          <w:titlePg w:val="0"/>
          <w:docGrid w:type="lines" w:linePitch="312"/>
        </w:sectPr>
      </w:pPr>
      <w:r>
        <w:rPr>
          <w:lang w:eastAsia="zh-CN"/>
        </w:rPr>
        <w:t>　　三、继续做好各部门工资奖金的核算工作：</w:t>
      </w:r>
      <w:r>
        <w:rPr>
          <w:lang w:eastAsia="zh-CN"/>
        </w:rPr>
        <w:br/>
      </w:r>
      <w:r>
        <w:rPr>
          <w:lang w:eastAsia="zh-CN"/>
        </w:rPr>
        <w:t>　　今年公司对各部门都签订了责任合同，我财务部将继续严谨细致而认真地按照责任合同严格审核结算工资，并组织资金确保工资的发放。</w:t>
      </w:r>
      <w:r>
        <w:rPr>
          <w:lang w:eastAsia="zh-CN"/>
        </w:rPr>
        <w:br/>
      </w:r>
      <w:r>
        <w:rPr>
          <w:lang w:eastAsia="zh-CN"/>
        </w:rPr>
        <w:t>　　四、完善公司内部管理制度;部门责任领导明确分工的职责，加强责任考核;</w:t>
      </w:r>
      <w:r>
        <w:rPr>
          <w:lang w:eastAsia="zh-CN"/>
        </w:rPr>
        <w:br/>
      </w:r>
      <w:r>
        <w:rPr>
          <w:lang w:eastAsia="zh-CN"/>
        </w:rPr>
        <w:t>　　内部管理制度通过将近一年多来的实施，仍然有许多不合理的地方，为使企业的管理制度更趋于完善，财务部将结合集团管理的要求，与有关部门进行修正。部门责任领导之间明确分工职责，按照年初签定的责任合同，组织落实强化到位，领导之间相互信任，遇事不推诿，搞好通力协助，对分管内容加强责任考核力度，做到奖罚分明。</w:t>
      </w:r>
      <w:r>
        <w:rPr>
          <w:lang w:eastAsia="zh-CN"/>
        </w:rPr>
        <w:br/>
      </w:r>
      <w:r>
        <w:rPr>
          <w:lang w:eastAsia="zh-CN"/>
        </w:rPr>
        <w:t>　　五、针对此次突击检查与仓库管理员的业务理论考试，合理调整组合人力资源，继续加强培训力度与仓库管理检查监督力度;</w:t>
      </w:r>
      <w:r>
        <w:rPr>
          <w:lang w:eastAsia="zh-CN"/>
        </w:rPr>
        <w:br/>
      </w:r>
      <w:r>
        <w:rPr>
          <w:lang w:eastAsia="zh-CN"/>
        </w:rPr>
        <w:t xml:space="preserve">    2024财务工作总结报告 篇16 </w:t>
      </w:r>
      <w:r>
        <w:rPr>
          <w:lang w:eastAsia="zh-CN"/>
        </w:rPr>
        <w:br/>
      </w:r>
      <w:r>
        <w:rPr>
          <w:lang w:eastAsia="zh-CN"/>
        </w:rPr>
        <w:t>　　一年来，我自觉服从组织和领导的安排，努力做好各项工作，较好地完成了各项工作任务。由于财会工作繁事、杂事多，其工作都具有事务性和突发性的特点，因此结合具体情况，现对全年的财务会计个人工作总结如下：</w:t>
      </w:r>
      <w:r>
        <w:rPr>
          <w:lang w:eastAsia="zh-CN"/>
        </w:rPr>
        <w:br/>
      </w:r>
      <w:r>
        <w:rPr>
          <w:lang w:eastAsia="zh-CN"/>
        </w:rPr>
        <w:t>　　一、顺利完成的工作</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5"/>
          <w:cols w:space="425"/>
          <w:titlePg w:val="0"/>
          <w:docGrid w:type="lines" w:linePitch="312"/>
        </w:sectPr>
      </w:pPr>
      <w:r>
        <w:rPr>
          <w:lang w:eastAsia="zh-CN"/>
        </w:rPr>
        <w:t>　　以认真的态度积极参加_财政局集中所得税培训，做好财务软件记账及系统的维护。及时准确的完成各月记账、结账和账务处理工作，及时准确地填报市各类月度、季度、年终统计报表，按时向各部门报送。完成了税务申报与缴纳，以及往来银行间的业务和各种日常费用的缴纳。对各类财务会计档案，进行了分类、装订、归档。</w:t>
      </w:r>
      <w:r>
        <w:rPr>
          <w:lang w:eastAsia="zh-CN"/>
        </w:rPr>
        <w:br/>
      </w:r>
      <w:r>
        <w:rPr>
          <w:lang w:eastAsia="zh-CN"/>
        </w:rPr>
        <w:t>　　二、学习方面和个人修养和综合素质的提升</w:t>
      </w:r>
      <w:r>
        <w:rPr>
          <w:lang w:eastAsia="zh-CN"/>
        </w:rPr>
        <w:br/>
      </w:r>
      <w:r>
        <w:rPr>
          <w:lang w:eastAsia="zh-CN"/>
        </w:rPr>
        <w:t>　　三、仍然存在的不足</w:t>
      </w:r>
      <w:r>
        <w:rPr>
          <w:lang w:eastAsia="zh-CN"/>
        </w:rPr>
        <w:br/>
      </w:r>
      <w:r>
        <w:rPr>
          <w:lang w:eastAsia="zh-CN"/>
        </w:rPr>
        <w:t>　　尽管我们圆满完成了今年的各项工作任务，但必须看到工作存在的不足：只干工作，不善于总结，所以有些工作费力气大，但与收效不成比例，事倍功半的现象时有发生，今后要逐步学习用科学的方法，善总结、勤思考，逐步达到事半功倍的的效果。忙于应付事务性工作多，深入探讨、思考、认认真真的研究条件及财务管理办法、工作制度少，工作有广度，没深度。理论水平不高，当前社会财务会计知识和业务更新换代比较快，缺乏对新的业务知识和会计法规的系统学习，导致了财务会计基础知识和财务会计基础工作缺乏，影响来工作水平的提高。</w:t>
      </w:r>
      <w:r>
        <w:rPr>
          <w:lang w:eastAsia="zh-CN"/>
        </w:rPr>
        <w:br/>
      </w:r>
      <w:r>
        <w:rPr>
          <w:lang w:eastAsia="zh-CN"/>
        </w:rPr>
        <w:t>　　今后我将严格履行财务会计岗位职责，扎实做好本职工作：善于总结，提出自己的意见和建议，为领导决策提供准确依据，不断提高单位管理水平和经济效益。总结经验，建立健全良好的工作机制。不断学习、更新知识、转变观念、完善自我，跟上时代发展的步伐。</w:t>
      </w:r>
      <w:r>
        <w:rPr>
          <w:lang w:eastAsia="zh-CN"/>
        </w:rPr>
        <w:br/>
      </w:r>
      <w:r>
        <w:rPr>
          <w:lang w:eastAsia="zh-CN"/>
        </w:rPr>
        <w:t xml:space="preserve">    2024财务工作总结报告 篇17 </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6"/>
          <w:cols w:space="425"/>
          <w:titlePg w:val="0"/>
          <w:docGrid w:type="lines" w:linePitch="312"/>
        </w:sectPr>
      </w:pPr>
      <w:r>
        <w:rPr>
          <w:lang w:eastAsia="zh-CN"/>
        </w:rPr>
        <w:t>　　时光流逝，不知不觉间，20__年已经过去一半，在公司领导和各部门的配合下，财务部认真完成所有财务核算及收支工作，对公司各部门财务指标进行考核，分析及监督，对各种报表的上报，帐务的处理等都已时间过半任务过半。在编制预算、资金安排上做到量入为出，以下是我对20__年上半年财务工作总结。</w:t>
      </w:r>
      <w:r>
        <w:rPr>
          <w:lang w:eastAsia="zh-CN"/>
        </w:rPr>
        <w:br/>
      </w:r>
      <w:r>
        <w:rPr>
          <w:lang w:eastAsia="zh-CN"/>
        </w:rPr>
        <w:t>　　一、以人为本抓管理，夯实基础促工作。</w:t>
      </w:r>
      <w:r>
        <w:rPr>
          <w:lang w:eastAsia="zh-CN"/>
        </w:rPr>
        <w:br/>
      </w:r>
      <w:r>
        <w:rPr>
          <w:lang w:eastAsia="zh-CN"/>
        </w:rPr>
        <w:t>　　1、坚持学习，不断提高工作能力。一直以来我都给自己定有严格学习计划，树立终身学习的理念，在学习中工作、在工作中学习，在加强自身学习的基础上，也发现了一些问题，通过个人学习不能完全提高整个财务部工作能力，只有引导部门所有同事参与到学习中来，坚持正常的学习，逐步提高会计人员的专业知识、技能和职业判断能力。多组织部门同事学习专业知识，多参与讨论，营造浓厚的学习氛围，努力建设学习型部门。不断吸收新知识，与时俱进，适应工作需要，提升整体工作能力。</w:t>
      </w:r>
      <w:r>
        <w:rPr>
          <w:lang w:eastAsia="zh-CN"/>
        </w:rPr>
        <w:br/>
      </w:r>
      <w:r>
        <w:rPr>
          <w:lang w:eastAsia="zh-CN"/>
        </w:rPr>
        <w:t>　　2、明确分工，落实工作责任制。根据公司管理的要求，紧紧围绕年度经营考核指标，完成今年财务工作的目标任务，积极进取、扎实工作成效显著，在大渡口项目的前期工作中，根据政策法规，财务部经过多次努力，在公司其他部门的配合下，终于顺利到大渡口地税局办理好税务登记工作，并且已经到八桥税务所报到，为税务工作的开展作好基础工作。为确保完成年度工作目标责任制任务，财务部将在接下来一段时间内制定工作岗位责任，明确人员岗位的职责权限、工作分工和纪律要求，天天要有工作计划，周周要对工作进行回顾，强化人员的责任感，加强内部核算监督，同时促进了财务人员合作与团结，从制度上奠定完成年度目标任务的基础。</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7"/>
          <w:cols w:space="425"/>
          <w:titlePg w:val="0"/>
          <w:docGrid w:type="lines" w:linePitch="312"/>
        </w:sectPr>
      </w:pPr>
      <w:r>
        <w:rPr>
          <w:lang w:eastAsia="zh-CN"/>
        </w:rPr>
        <w:t>　　二、围绕目标抓落实，扎实工作出成效。</w:t>
      </w:r>
      <w:r>
        <w:rPr>
          <w:lang w:eastAsia="zh-CN"/>
        </w:rPr>
        <w:br/>
      </w:r>
      <w:r>
        <w:rPr>
          <w:lang w:eastAsia="zh-CN"/>
        </w:rPr>
        <w:t>　　1、上半年财务指标完成情况：全公司实现收入1096.65万元，占20__年度预算指标50.77%，比上年同期增长38.01%；其中：_公司收入1033.59万元，物业公司收入63.06万元。全公司上半年实现内部利润611.08万元，占年度预算的56.58%，比上年同期增加103.05%；其中:__公司内部利润614.06万元，占年度总预算的56.85%，比上年同期增加118.37%，物业管理公司实现内部利润-2.98万元，比上年同期净额减少22.72万元（减少部分主要是20__年上半年的的车库收入），利税在上半年实现165.74万元，占全年指标的52.12%,比上年同期降低23.5%,各项经营指标均超额完成，这并不是我们的工作都已经做得很好了，只是我们在做年度预算时，对指标留有了一部分余地，这是年初我们对公司的经营指标的完成情况过分保守，在接下来的工作中我们要不段挖掘我们的潜能，利用好我们现有资源，在增收节支方面要下足功夫，对各个部门实行全方位的监督。</w:t>
      </w:r>
      <w:r>
        <w:rPr>
          <w:lang w:eastAsia="zh-CN"/>
        </w:rPr>
        <w:br/>
      </w:r>
      <w:r>
        <w:rPr>
          <w:lang w:eastAsia="zh-CN"/>
        </w:rPr>
        <w:t>　　2、规范财务管理，集团公司年初重新修订了经营指标预算考核管理办法，为规范财务管理提供了制度保证，财务部也认真编制了公司的财务预算及各项经营指标，财务部内部也对上半年公司的财务收支两条线的执行情况进行了检查，各项经营指标完成情况良好，都是按财务制度的规定在执行。</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8"/>
          <w:cols w:space="425"/>
          <w:titlePg w:val="0"/>
          <w:docGrid w:type="lines" w:linePitch="312"/>
        </w:sectPr>
      </w:pPr>
      <w:r>
        <w:rPr>
          <w:lang w:eastAsia="zh-CN"/>
        </w:rPr>
        <w:t>　　3、合理调度筹措资金，保障商场及大渡口新项目的需要。关注大渡口新项目的时时动态，及时做好资金的筹措，将资金需要的缺口及时与集团公司进行沟通、协调。在银行融资方面，积极与银行进行沟通，及时提供银行需要的详细资料，积极配合银行进行前期的调查及评估工作，争取早日预授信，为明年的开工建设提供资金保障。</w:t>
      </w:r>
      <w:r>
        <w:rPr>
          <w:lang w:eastAsia="zh-CN"/>
        </w:rPr>
        <w:br/>
      </w:r>
      <w:r>
        <w:rPr>
          <w:lang w:eastAsia="zh-CN"/>
        </w:rPr>
        <w:t>　　4、积极整理会计档案，规范会计档案管理。我们克服了人手少、任务重的困难，按照集团公司对会计档案的整理要求，对20__年的会计档案进行整理归档，经过前后三个多月的努力，完成了会计档案归档工作。在接下来的下半年，财务部在增加一个人的情况下，将对05-07年发生的各种会计档案进行重新清理、装订、归档。进一步清理财务过时资料，优化财务办公效率。</w:t>
      </w:r>
      <w:r>
        <w:rPr>
          <w:lang w:eastAsia="zh-CN"/>
        </w:rPr>
        <w:br/>
      </w:r>
      <w:r>
        <w:rPr>
          <w:lang w:eastAsia="zh-CN"/>
        </w:rPr>
        <w:t>　　5、积极融入到大渡口新项目中去，多参予前期工作，站在财务的角度来分析和判断，为未来开工建设提供财务上的支持，为未来地产项目的开发提供前期的纳税筹划，降低事后进行的财税风险。</w:t>
      </w:r>
      <w:r>
        <w:rPr>
          <w:lang w:eastAsia="zh-CN"/>
        </w:rPr>
        <w:br/>
      </w:r>
      <w:r>
        <w:rPr>
          <w:lang w:eastAsia="zh-CN"/>
        </w:rPr>
        <w:t>　　财务部在领导的关心指引下，兄弟部门的大力协助下，超额完成了上半年经营预算指标，我们深知以前的工作不能说明什么，还有很多的挑战与我们同行，请领导放心，财务部一定会一如既往、排除万难，与其他兄弟部门一起帮领导分忧，做好财务部20__年下半年工作，尽全力完成领导交付的各种任务，为公司的发展贡献自己应尽的力量!</w:t>
      </w:r>
      <w:r>
        <w:rPr>
          <w:lang w:eastAsia="zh-CN"/>
        </w:rPr>
        <w:br/>
      </w:r>
      <w:r>
        <w:rPr>
          <w:lang w:eastAsia="zh-CN"/>
        </w:rPr>
        <w:t xml:space="preserve">    2024财务工作总结报告 篇18 </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9"/>
          <w:cols w:space="425"/>
          <w:titlePg w:val="0"/>
          <w:docGrid w:type="lines" w:linePitch="312"/>
        </w:sectPr>
      </w:pPr>
      <w:r>
        <w:rPr>
          <w:lang w:eastAsia="zh-CN"/>
        </w:rPr>
        <w:t>　　时间飞逝，20__已过，感谢公司对我的信任，使得我有机会加入__大家庭，公司是一个成长型的企业，在正确领导下，公司在一年下来也取得了不错的成绩，虽然工作中也有一些做得不足的地方，但我一直本着洁身自好，恪尽职守，善用其财，无愧其禄的工作观念，踏踏实实的工作。现对今年财务工作进行以下总结。</w:t>
      </w:r>
      <w:r>
        <w:rPr>
          <w:lang w:eastAsia="zh-CN"/>
        </w:rPr>
        <w:br/>
      </w:r>
      <w:r>
        <w:rPr>
          <w:lang w:eastAsia="zh-CN"/>
        </w:rPr>
        <w:t>　　一、对工作的建议</w:t>
      </w:r>
      <w:r>
        <w:rPr>
          <w:lang w:eastAsia="zh-CN"/>
        </w:rPr>
        <w:br/>
      </w:r>
      <w:r>
        <w:rPr>
          <w:lang w:eastAsia="zh-CN"/>
        </w:rPr>
        <w:t>　　20__年，就工作中发现的问题，我个人认为：需要把各岗位细分化，职责更明确化，才能更大的提高工作效率。工地成本核算需要大大的加强，才能保证工地能够获取利润。工地的跟踪服务一定要有专人负责，才能有效的保证工地的顺利进行，以及工程款的进度，最后按工期完成验收交尾款。我们要对过去工作中不足的地方进行完善管理，对做得好的我们需要把工作做得更好，加强财务管理，做到财务工作长计划，短安排。使财务工作在规范化、制度化的良好环境中更好地发挥作用。</w:t>
      </w:r>
      <w:r>
        <w:rPr>
          <w:lang w:eastAsia="zh-CN"/>
        </w:rPr>
        <w:br/>
      </w:r>
      <w:r>
        <w:rPr>
          <w:lang w:eastAsia="zh-CN"/>
        </w:rPr>
        <w:t>　　二、工作成就</w:t>
      </w:r>
      <w:r>
        <w:rPr>
          <w:lang w:eastAsia="zh-CN"/>
        </w:rPr>
        <w:br/>
      </w:r>
      <w:r>
        <w:rPr>
          <w:lang w:eastAsia="zh-CN"/>
        </w:rPr>
        <w:t>　　响应公司工作会议精神，围绕公司资产经营考核目标，开源节流，增收节支，强化成本控制，从每一件小事做起，为公司真正的开源节流；</w:t>
      </w:r>
      <w:r>
        <w:rPr>
          <w:lang w:eastAsia="zh-CN"/>
        </w:rPr>
        <w:br/>
      </w:r>
      <w:r>
        <w:rPr>
          <w:lang w:eastAsia="zh-CN"/>
        </w:rPr>
        <w:t>　　财务部作为公司的核心部门之一，肩负着对成本的计划控制、各部门的费用支出、以及对销售工作的配合与总结等工作任务，在领导的监督下财务部各工作人员应合理的调节各项费用的支出，保证财务物资的安全；</w:t>
      </w:r>
      <w:r>
        <w:rPr>
          <w:lang w:eastAsia="zh-CN"/>
        </w:rPr>
        <w:br/>
      </w:r>
      <w:r>
        <w:rPr>
          <w:lang w:eastAsia="zh-CN"/>
        </w:rPr>
        <w:t>　　服务于公司、服务于员工、服务于客户，以促进公司开拓市场、增收节支，从而谋取利润化，以的人力配置谋取的经济效益。</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40"/>
          <w:cols w:space="425"/>
          <w:titlePg w:val="0"/>
          <w:docGrid w:type="lines" w:linePitch="312"/>
        </w:sectPr>
      </w:pPr>
      <w:r>
        <w:rPr>
          <w:lang w:eastAsia="zh-CN"/>
        </w:rPr>
        <w:t>　　三、明年的工作计划</w:t>
      </w:r>
      <w:r>
        <w:rPr>
          <w:lang w:eastAsia="zh-CN"/>
        </w:rPr>
        <w:br/>
      </w:r>
      <w:r>
        <w:rPr>
          <w:lang w:eastAsia="zh-CN"/>
        </w:rPr>
        <w:t>　　在新的一年里，财务部工作人员应在领导的正确领导下制定对全公司其他部门的考核制度或者相关办法；</w:t>
      </w:r>
      <w:r>
        <w:rPr>
          <w:lang w:eastAsia="zh-CN"/>
        </w:rPr>
        <w:br/>
      </w:r>
      <w:r>
        <w:rPr>
          <w:lang w:eastAsia="zh-CN"/>
        </w:rPr>
        <w:t>　　在财务部内部明确考核制度：财务人员的分工及各职能部门的协作，要分工明确并带有互相协作补充性，相互配合的工作中不断学习，对各项费用的合理支出起到监督作用。</w:t>
      </w:r>
      <w:r>
        <w:rPr>
          <w:lang w:eastAsia="zh-CN"/>
        </w:rPr>
        <w:br/>
      </w:r>
      <w:r>
        <w:rPr>
          <w:lang w:eastAsia="zh-CN"/>
        </w:rPr>
        <w:t>　　在应收帐款上起到有效的监督作用：明确各岗位的职责，对应收款的监督，对工程款回收的期限把握、回款具体事宜、相关责任人都应有相应的监督，加大财务监督力度；</w:t>
      </w:r>
      <w:r>
        <w:rPr>
          <w:lang w:eastAsia="zh-CN"/>
        </w:rPr>
        <w:br/>
      </w:r>
      <w:r>
        <w:rPr>
          <w:lang w:eastAsia="zh-CN"/>
        </w:rPr>
        <w:t>　　对前工作期间应进行有阶段性的总结，从月度小结到季度、半年、全年总结；</w:t>
      </w:r>
      <w:r>
        <w:rPr>
          <w:lang w:eastAsia="zh-CN"/>
        </w:rPr>
        <w:br/>
      </w:r>
      <w:r>
        <w:rPr>
          <w:lang w:eastAsia="zh-CN"/>
        </w:rPr>
        <w:t>　　做好资金预算工作，其中包括对应付款项、应收款项等等；</w:t>
      </w:r>
      <w:r>
        <w:rPr>
          <w:lang w:eastAsia="zh-CN"/>
        </w:rPr>
        <w:br/>
      </w:r>
      <w:r>
        <w:rPr>
          <w:lang w:eastAsia="zh-CN"/>
        </w:rPr>
        <w:t>　　做好财务报表的编制工作，要求帐务清晰、任务明确；</w:t>
      </w:r>
      <w:r>
        <w:rPr>
          <w:lang w:eastAsia="zh-CN"/>
        </w:rPr>
        <w:br/>
      </w:r>
      <w:r>
        <w:rPr>
          <w:lang w:eastAsia="zh-CN"/>
        </w:rPr>
        <w:t>　　其他方面，听从公司领导的工作安排，认真的完成每一项任务。</w:t>
      </w:r>
      <w:r>
        <w:rPr>
          <w:lang w:eastAsia="zh-CN"/>
        </w:rPr>
        <w:br/>
      </w:r>
      <w:r>
        <w:rPr>
          <w:lang w:eastAsia="zh-CN"/>
        </w:rPr>
        <w:t>　　从一名在校大学生正式转变成为一名工作职员，展开了我人生职业生涯的第一个篇章。我初到中青旅中山国旅财务部做出纳，从不熟悉到慢慢学习、了解和适应。现在我对自己所从事的出纳工作已经比较熟悉，也相信自己能胜任这项工作。在这段时间里，我学到了很多受益一生的东西，学到了很多会计方面的实践知识，同时也学到了很多社会经验。下面我就这一段时间的工作做一下总结:</w:t>
      </w:r>
      <w:r>
        <w:rPr>
          <w:lang w:eastAsia="zh-CN"/>
        </w:rPr>
        <w:br/>
      </w:r>
      <w:r>
        <w:rPr>
          <w:lang w:eastAsia="zh-CN"/>
        </w:rPr>
        <w:t>　　一、出纳的日常工作</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41"/>
          <w:cols w:space="425"/>
          <w:titlePg w:val="0"/>
          <w:docGrid w:type="lines" w:linePitch="312"/>
        </w:sectPr>
      </w:pPr>
      <w:r>
        <w:rPr>
          <w:lang w:eastAsia="zh-CN"/>
        </w:rPr>
        <w:t>　　1、严格审核报销单据、发票等原始凭证，按照费用报销的有关规定办理业务，做到合法准确、手续完备、单证齐全。对不符要求的，指明原因，要求改正。出纳工作一定要认真细心，不能出任何差错，多一分少一分都不可以。所以在每次审核票据的时候，我都会点两遍算两遍，确保无误后才付款。</w:t>
      </w:r>
      <w:r>
        <w:rPr>
          <w:lang w:eastAsia="zh-CN"/>
        </w:rPr>
        <w:br/>
      </w:r>
      <w:r>
        <w:rPr>
          <w:lang w:eastAsia="zh-CN"/>
        </w:rPr>
        <w:t>　　2、每日做好现金及银行存款日记账，日清月结，保证账证相符、账款相符、账账相符，发现差错及时查清更正。最后将原始凭证及时登账。每月末做好银行对账工作，努力做到不出差错。</w:t>
      </w:r>
      <w:r>
        <w:rPr>
          <w:lang w:eastAsia="zh-CN"/>
        </w:rPr>
        <w:br/>
      </w:r>
      <w:r>
        <w:rPr>
          <w:lang w:eastAsia="zh-CN"/>
        </w:rPr>
        <w:t>　　3、严格按照公司有关规章制度提供人员工资变动名册，按时核算发放单位职工的工资、补贴及各类奖金。因为工资直接关系到每个人的利益，所以其计算、发放更是需要及时且细心谨慎。</w:t>
      </w:r>
      <w:r>
        <w:rPr>
          <w:lang w:eastAsia="zh-CN"/>
        </w:rPr>
        <w:br/>
      </w:r>
      <w:r>
        <w:rPr>
          <w:lang w:eastAsia="zh-CN"/>
        </w:rPr>
        <w:t>　　4、负责妥善保管空白支票、有价证券、有关印章和收据，做好有关单据、账册、报表等会计资料的整理、归档工作。</w:t>
      </w:r>
      <w:r>
        <w:rPr>
          <w:lang w:eastAsia="zh-CN"/>
        </w:rPr>
        <w:br/>
      </w:r>
      <w:r>
        <w:rPr>
          <w:lang w:eastAsia="zh-CN"/>
        </w:rPr>
        <w:t>　　二、与出纳相关的其他工作</w:t>
      </w:r>
      <w:r>
        <w:rPr>
          <w:lang w:eastAsia="zh-CN"/>
        </w:rPr>
        <w:br/>
      </w:r>
      <w:r>
        <w:rPr>
          <w:lang w:eastAsia="zh-CN"/>
        </w:rPr>
        <w:t>　　1、严格按照会计档案有关规定，及时完成凭证装订和会计档案整理及保存工作。</w:t>
      </w:r>
      <w:r>
        <w:rPr>
          <w:lang w:eastAsia="zh-CN"/>
        </w:rPr>
        <w:br/>
      </w:r>
      <w:r>
        <w:rPr>
          <w:lang w:eastAsia="zh-CN"/>
        </w:rPr>
        <w:t>　　2、严格按照国家及规定章程，及时做好外币结汇工作，并按照会计有关制度登记外币账目。</w:t>
      </w:r>
      <w:r>
        <w:rPr>
          <w:lang w:eastAsia="zh-CN"/>
        </w:rPr>
        <w:br/>
      </w:r>
      <w:r>
        <w:rPr>
          <w:lang w:eastAsia="zh-CN"/>
        </w:rPr>
        <w:t>　　3、认真完成单位领导临时交办的其他工作。</w:t>
      </w:r>
      <w:r>
        <w:rPr>
          <w:lang w:eastAsia="zh-CN"/>
        </w:rPr>
        <w:br/>
      </w:r>
      <w:r>
        <w:rPr>
          <w:lang w:eastAsia="zh-CN"/>
        </w:rPr>
        <w:t>　　三、在岗期间的自我要求</w:t>
      </w:r>
      <w:r>
        <w:rPr>
          <w:lang w:eastAsia="zh-CN"/>
        </w:rPr>
        <w:br/>
      </w:r>
      <w:r>
        <w:rPr>
          <w:lang w:eastAsia="zh-CN"/>
        </w:rPr>
        <w:t>　　1、认真学习财经方面的各项规定，自觉按照国家的财经政策和程序办事。</w:t>
      </w:r>
      <w:r>
        <w:rPr>
          <w:lang w:eastAsia="zh-CN"/>
        </w:rPr>
        <w:br/>
      </w:r>
    </w:p>
    <w:p w:rsidR="001B1F19" w14:textId="27C3F48A">
      <w:pPr>
        <w:rPr>
          <w:rFonts w:hint="eastAsia"/>
          <w:lang w:eastAsia="zh-CN"/>
        </w:rPr>
      </w:pPr>
      <w:r>
        <w:rPr>
          <w:lang w:eastAsia="zh-CN"/>
        </w:rPr>
        <w:t>　　2、经常了解各部门的经费需要情况和使用情况，配合各部门合理使用好各项资金。</w:t>
      </w:r>
      <w:r>
        <w:rPr>
          <w:lang w:eastAsia="zh-CN"/>
        </w:rPr>
        <w:br/>
      </w:r>
      <w:r>
        <w:rPr>
          <w:lang w:eastAsia="zh-CN"/>
        </w:rPr>
        <w:t>　　3、不断改进学习方法，讲求学习效果，“在工作中学习，在学习中工作”。坚持学以致用，注重融会贯通，理论联系实际。用新的知识、新的思维和新的启示，巩固和丰富综合知识，使自身综合能力不断得到提高。</w:t>
      </w:r>
      <w:r>
        <w:rPr>
          <w:lang w:eastAsia="zh-CN"/>
        </w:rPr>
        <w:br/>
      </w:r>
      <w:r>
        <w:rPr>
          <w:lang w:eastAsia="zh-CN"/>
        </w:rPr>
        <w:t>　　4、努力钻研业务知识；极参加相关部门组织的各种业务技能的培训，始终把增强工作能力作为一切工作的基础;始终把工作放在严谨、细致、扎实、求实上，脚踏实地工作。</w:t>
      </w:r>
      <w:r>
        <w:rPr>
          <w:lang w:eastAsia="zh-CN"/>
        </w:rPr>
        <w:br/>
      </w:r>
      <w:r>
        <w:rPr>
          <w:lang w:eastAsia="zh-CN"/>
        </w:rPr>
        <w:t>　　5、要恪守良好的职业道德。出纳每天和金钱打交道，稍有不慎就会造成意想不到的损失。出纳人员必须养成与出纳职业相符合的工作作风，要注意保守机密，要竭力为本单位衷心工作。</w:t>
      </w:r>
      <w:r>
        <w:rPr>
          <w:lang w:eastAsia="zh-CN"/>
        </w:rPr>
        <w:br/>
      </w:r>
      <w:r>
        <w:rPr>
          <w:lang w:eastAsia="zh-CN"/>
        </w:rPr>
        <w:t>　　四、工作过程中存在的问题</w:t>
      </w:r>
      <w:r>
        <w:rPr>
          <w:lang w:eastAsia="zh-CN"/>
        </w:rPr>
        <w:br/>
      </w:r>
      <w:r>
        <w:rPr>
          <w:lang w:eastAsia="zh-CN"/>
        </w:rPr>
        <w:t>　　1、只干工作，不善于总结，所以有些工作费力气大，但与收效不成比例，事倍功半的现象时有发生。今后要逐步学习用科学的方法，善总结、勤思考，逐步达到事半功倍的效果。</w:t>
      </w:r>
      <w:r>
        <w:rPr>
          <w:lang w:eastAsia="zh-CN"/>
        </w:rPr>
        <w:br/>
      </w:r>
      <w:r>
        <w:rPr>
          <w:lang w:eastAsia="zh-CN"/>
        </w:rPr>
        <w:t>　　2、忙于应付事务性工作多，深入探讨、思考、认认真真的研究条件及财务管理办法、工作制度少，工作有广度没深度。</w:t>
      </w:r>
      <w:r>
        <w:rPr>
          <w:lang w:eastAsia="zh-CN"/>
        </w:rPr>
        <w:br/>
      </w:r>
      <w:r>
        <w:rPr>
          <w:lang w:eastAsia="zh-CN"/>
        </w:rPr>
        <w:t>　　3、由于刚出校门，自身拥有的只是书本上的理论知识，而缺乏实践的工作经验，因此在实际工作过程中还会产生各种操作性的专业问题。</w:t>
      </w:r>
      <w:r>
        <w:rPr>
          <w:lang w:eastAsia="zh-CN"/>
        </w:rPr>
        <w:br/>
      </w:r>
      <w:r>
        <w:rPr>
          <w:rFonts w:hint="eastAsia"/>
          <w:lang w:eastAsia="zh-CN"/>
        </w:rPr>
        <w:br/>
      </w:r>
      <w:r>
        <w:rPr>
          <w:rFonts w:hint="eastAsia"/>
          <w:lang w:eastAsia="zh-CN"/>
        </w:rPr>
        <w:br/>
      </w:r>
    </w:p>
    <w:p>
      <w:pPr>
        <w:spacing w:after="0" w:line="240" w:lineRule="auto"/>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4" w:history="1">
        <w:r>
          <w:rPr>
            <w:rFonts w:ascii="SimSun" w:eastAsia="SimSun" w:hAnsi="SimSun" w:cs="SimSun"/>
            <w:b/>
            <w:bCs/>
            <w:color w:val="0000EE"/>
            <w:sz w:val="30"/>
            <w:szCs w:val="30"/>
            <w:u w:val="single" w:color="0000EE"/>
          </w:rPr>
          <w:t>https://d.book118.com/836052051013010045</w:t>
        </w:r>
      </w:hyperlink>
    </w:p>
    <w:p w:rsidR="001B1F19">
      <w:pPr>
        <w:rPr>
          <w:rFonts w:hint="eastAsia"/>
          <w:lang w:eastAsia="zh-CN"/>
        </w:rPr>
      </w:pPr>
    </w:p>
    <w:sectPr>
      <w:type w:val="nextPage"/>
      <w:pgSz w:w="11906" w:h="16838"/>
      <w:pgMar w:top="1440" w:right="1800" w:bottom="1440" w:left="1800" w:header="851" w:footer="992" w:gutter="0"/>
      <w:pgNumType w:start="42"/>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Courier">
    <w:panose1 w:val="02070409020205020404"/>
    <w:charset w:val="00"/>
    <w:family w:val="modern"/>
    <w:pitch w:val="fixed"/>
    <w:sig w:usb0="00000003" w:usb1="00000000" w:usb2="00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abstractNum w:abstractNumId="0">
    <w:nsid w:val="49D07D03"/>
    <w:multiLevelType w:val="multilevel"/>
    <w:tmpl w:val="3AE4B26C"/>
    <w:lvl w:ilvl="0">
      <w:start w:val="1"/>
      <w:numFmt w:val="decimal"/>
      <w:pStyle w:val="ListBullet"/>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num w:numId="1" w16cid:durableId="820273113">
    <w:abstractNumId w:val="0"/>
  </w:num>
  <w:num w:numId="2" w16cid:durableId="1499691143">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60222273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425000978">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1448427477">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152334880">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defaultTabStop w:val="420"/>
  <w:characterSpacingControl w:val="doNotCompress"/>
  <w:compat>
    <w:useFELayout/>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B1F19"/>
    <w:rsid w:val="00012D24"/>
    <w:rsid w:val="000B76DB"/>
    <w:rsid w:val="001B1F19"/>
    <w:rsid w:val="002E2E1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508D8A34"/>
  <w15:docId w15:val="{83B6B1C2-FF47-43CC-85A6-22B37870D63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FC693F"/>
    <w:rPr>
      <w:rFonts w:ascii="仿宋" w:eastAsia="仿宋" w:hAnsi="仿宋"/>
      <w:sz w:val="28"/>
    </w:rPr>
  </w:style>
  <w:style w:type="paragraph" w:styleId="Heading1">
    <w:name w:val="heading 1"/>
    <w:basedOn w:val="Normal"/>
    <w:next w:val="Normal"/>
    <w:link w:val="1"/>
    <w:uiPriority w:val="9"/>
    <w:qFormat/>
    <w:rsid w:val="00FC693F"/>
    <w:pPr>
      <w:keepNext/>
      <w:keepLines/>
      <w:spacing w:before="480" w:after="0"/>
      <w:outlineLvl w:val="0"/>
    </w:pPr>
    <w:rPr>
      <w:rFonts w:asciiTheme="majorHAnsi" w:eastAsiaTheme="majorEastAsia" w:hAnsiTheme="majorHAnsi" w:cstheme="majorBidi"/>
      <w:b/>
      <w:bCs/>
      <w:color w:val="2F5496" w:themeColor="accent1" w:themeShade="BF"/>
      <w:szCs w:val="28"/>
    </w:rPr>
  </w:style>
  <w:style w:type="paragraph" w:styleId="Heading2">
    <w:name w:val="heading 2"/>
    <w:basedOn w:val="Normal"/>
    <w:next w:val="Normal"/>
    <w:link w:val="2"/>
    <w:uiPriority w:val="9"/>
    <w:unhideWhenUsed/>
    <w:qFormat/>
    <w:rsid w:val="00FC693F"/>
    <w:pPr>
      <w:keepNext/>
      <w:keepLines/>
      <w:spacing w:before="200" w:after="0"/>
      <w:outlineLvl w:val="1"/>
    </w:pPr>
    <w:rPr>
      <w:rFonts w:asciiTheme="majorHAnsi" w:eastAsiaTheme="majorEastAsia" w:hAnsiTheme="majorHAnsi" w:cstheme="majorBidi"/>
      <w:b/>
      <w:bCs/>
      <w:color w:val="4472C4" w:themeColor="accent1"/>
      <w:sz w:val="26"/>
      <w:szCs w:val="26"/>
    </w:rPr>
  </w:style>
  <w:style w:type="paragraph" w:styleId="Heading3">
    <w:name w:val="heading 3"/>
    <w:basedOn w:val="Normal"/>
    <w:next w:val="Normal"/>
    <w:link w:val="3"/>
    <w:uiPriority w:val="9"/>
    <w:unhideWhenUsed/>
    <w:qFormat/>
    <w:rsid w:val="00FC693F"/>
    <w:pPr>
      <w:keepNext/>
      <w:keepLines/>
      <w:spacing w:before="200" w:after="0"/>
      <w:outlineLvl w:val="2"/>
    </w:pPr>
    <w:rPr>
      <w:rFonts w:asciiTheme="majorHAnsi" w:eastAsiaTheme="majorEastAsia" w:hAnsiTheme="majorHAnsi" w:cstheme="majorBidi"/>
      <w:b/>
      <w:bCs/>
      <w:color w:val="4472C4" w:themeColor="accent1"/>
    </w:rPr>
  </w:style>
  <w:style w:type="paragraph" w:styleId="Heading4">
    <w:name w:val="heading 4"/>
    <w:basedOn w:val="Normal"/>
    <w:next w:val="Normal"/>
    <w:link w:val="4"/>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472C4" w:themeColor="accent1"/>
    </w:rPr>
  </w:style>
  <w:style w:type="paragraph" w:styleId="Heading5">
    <w:name w:val="heading 5"/>
    <w:basedOn w:val="Normal"/>
    <w:next w:val="Normal"/>
    <w:link w:val="5"/>
    <w:uiPriority w:val="9"/>
    <w:semiHidden/>
    <w:unhideWhenUsed/>
    <w:qFormat/>
    <w:rsid w:val="00FC693F"/>
    <w:pPr>
      <w:keepNext/>
      <w:keepLines/>
      <w:spacing w:before="200" w:after="0"/>
      <w:outlineLvl w:val="4"/>
    </w:pPr>
    <w:rPr>
      <w:rFonts w:asciiTheme="majorHAnsi" w:eastAsiaTheme="majorEastAsia" w:hAnsiTheme="majorHAnsi" w:cstheme="majorBidi"/>
      <w:color w:val="1F3763" w:themeColor="accent1" w:themeShade="7F"/>
    </w:rPr>
  </w:style>
  <w:style w:type="paragraph" w:styleId="Heading6">
    <w:name w:val="heading 6"/>
    <w:basedOn w:val="Normal"/>
    <w:next w:val="Normal"/>
    <w:link w:val="6"/>
    <w:uiPriority w:val="9"/>
    <w:semiHidden/>
    <w:unhideWhenUsed/>
    <w:qFormat/>
    <w:rsid w:val="00FC693F"/>
    <w:pPr>
      <w:keepNext/>
      <w:keepLines/>
      <w:spacing w:before="200" w:after="0"/>
      <w:outlineLvl w:val="5"/>
    </w:pPr>
    <w:rPr>
      <w:rFonts w:asciiTheme="majorHAnsi" w:eastAsiaTheme="majorEastAsia" w:hAnsiTheme="majorHAnsi" w:cstheme="majorBidi"/>
      <w:i/>
      <w:iCs/>
      <w:color w:val="1F3763" w:themeColor="accent1" w:themeShade="7F"/>
    </w:rPr>
  </w:style>
  <w:style w:type="paragraph" w:styleId="Heading7">
    <w:name w:val="heading 7"/>
    <w:basedOn w:val="Normal"/>
    <w:next w:val="Normal"/>
    <w:link w:val="7"/>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8"/>
    <w:uiPriority w:val="9"/>
    <w:semiHidden/>
    <w:unhideWhenUsed/>
    <w:qFormat/>
    <w:rsid w:val="00FC693F"/>
    <w:pPr>
      <w:keepNext/>
      <w:keepLines/>
      <w:spacing w:before="200" w:after="0"/>
      <w:outlineLvl w:val="7"/>
    </w:pPr>
    <w:rPr>
      <w:rFonts w:asciiTheme="majorHAnsi" w:eastAsiaTheme="majorEastAsia" w:hAnsiTheme="majorHAnsi" w:cstheme="majorBidi"/>
      <w:color w:val="4472C4" w:themeColor="accent1"/>
      <w:sz w:val="20"/>
      <w:szCs w:val="20"/>
    </w:rPr>
  </w:style>
  <w:style w:type="paragraph" w:styleId="Heading9">
    <w:name w:val="heading 9"/>
    <w:basedOn w:val="Normal"/>
    <w:next w:val="Normal"/>
    <w:link w:val="9"/>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
    <w:uiPriority w:val="99"/>
    <w:unhideWhenUsed/>
    <w:rsid w:val="00E618BF"/>
    <w:pPr>
      <w:tabs>
        <w:tab w:val="center" w:pos="4680"/>
        <w:tab w:val="right" w:pos="9360"/>
      </w:tabs>
      <w:spacing w:after="0" w:line="240" w:lineRule="auto"/>
    </w:pPr>
  </w:style>
  <w:style w:type="character" w:customStyle="1" w:styleId="a">
    <w:name w:val="页眉 字符"/>
    <w:basedOn w:val="DefaultParagraphFont"/>
    <w:link w:val="Header"/>
    <w:uiPriority w:val="99"/>
    <w:rsid w:val="00E618BF"/>
  </w:style>
  <w:style w:type="paragraph" w:styleId="Footer">
    <w:name w:val="footer"/>
    <w:basedOn w:val="Normal"/>
    <w:link w:val="a0"/>
    <w:uiPriority w:val="99"/>
    <w:unhideWhenUsed/>
    <w:rsid w:val="00E618BF"/>
    <w:pPr>
      <w:tabs>
        <w:tab w:val="center" w:pos="4680"/>
        <w:tab w:val="right" w:pos="9360"/>
      </w:tabs>
      <w:spacing w:after="0" w:line="240" w:lineRule="auto"/>
    </w:pPr>
  </w:style>
  <w:style w:type="character" w:customStyle="1" w:styleId="a0">
    <w:name w:val="页脚 字符"/>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1">
    <w:name w:val="标题 1 字符"/>
    <w:basedOn w:val="DefaultParagraphFont"/>
    <w:link w:val="Heading1"/>
    <w:uiPriority w:val="9"/>
    <w:rsid w:val="00FC693F"/>
    <w:rPr>
      <w:rFonts w:asciiTheme="majorHAnsi" w:eastAsiaTheme="majorEastAsia" w:hAnsiTheme="majorHAnsi" w:cstheme="majorBidi"/>
      <w:b/>
      <w:bCs/>
      <w:color w:val="2F5496" w:themeColor="accent1" w:themeShade="BF"/>
      <w:sz w:val="28"/>
      <w:szCs w:val="28"/>
    </w:rPr>
  </w:style>
  <w:style w:type="character" w:customStyle="1" w:styleId="2">
    <w:name w:val="标题 2 字符"/>
    <w:basedOn w:val="DefaultParagraphFont"/>
    <w:link w:val="Heading2"/>
    <w:uiPriority w:val="9"/>
    <w:rsid w:val="00FC693F"/>
    <w:rPr>
      <w:rFonts w:asciiTheme="majorHAnsi" w:eastAsiaTheme="majorEastAsia" w:hAnsiTheme="majorHAnsi" w:cstheme="majorBidi"/>
      <w:b/>
      <w:bCs/>
      <w:color w:val="4472C4" w:themeColor="accent1"/>
      <w:sz w:val="26"/>
      <w:szCs w:val="26"/>
    </w:rPr>
  </w:style>
  <w:style w:type="character" w:customStyle="1" w:styleId="3">
    <w:name w:val="标题 3 字符"/>
    <w:basedOn w:val="DefaultParagraphFont"/>
    <w:link w:val="Heading3"/>
    <w:uiPriority w:val="9"/>
    <w:rsid w:val="00FC693F"/>
    <w:rPr>
      <w:rFonts w:asciiTheme="majorHAnsi" w:eastAsiaTheme="majorEastAsia" w:hAnsiTheme="majorHAnsi" w:cstheme="majorBidi"/>
      <w:b/>
      <w:bCs/>
      <w:color w:val="4472C4" w:themeColor="accent1"/>
    </w:rPr>
  </w:style>
  <w:style w:type="paragraph" w:styleId="Title">
    <w:name w:val="Title"/>
    <w:basedOn w:val="Normal"/>
    <w:next w:val="Normal"/>
    <w:link w:val="a1"/>
    <w:uiPriority w:val="10"/>
    <w:qFormat/>
    <w:rsid w:val="00FC693F"/>
    <w:pPr>
      <w:pBdr>
        <w:bottom w:val="single" w:sz="8" w:space="4" w:color="4472C4" w:themeColor="accent1"/>
      </w:pBdr>
      <w:spacing w:after="300" w:line="240" w:lineRule="auto"/>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a1">
    <w:name w:val="标题 字符"/>
    <w:basedOn w:val="DefaultParagraphFont"/>
    <w:link w:val="Title"/>
    <w:uiPriority w:val="10"/>
    <w:rsid w:val="00FC693F"/>
    <w:rPr>
      <w:rFonts w:asciiTheme="majorHAnsi" w:eastAsiaTheme="majorEastAsia" w:hAnsiTheme="majorHAnsi" w:cstheme="majorBidi"/>
      <w:color w:val="323E4F" w:themeColor="text2" w:themeShade="BF"/>
      <w:spacing w:val="5"/>
      <w:kern w:val="28"/>
      <w:sz w:val="52"/>
      <w:szCs w:val="52"/>
    </w:rPr>
  </w:style>
  <w:style w:type="paragraph" w:styleId="Subtitle">
    <w:name w:val="Subtitle"/>
    <w:basedOn w:val="Normal"/>
    <w:next w:val="Normal"/>
    <w:link w:val="a2"/>
    <w:uiPriority w:val="11"/>
    <w:qFormat/>
    <w:rsid w:val="00FC693F"/>
    <w:pPr>
      <w:numPr>
        <w:ilvl w:val="1"/>
      </w:numPr>
    </w:pPr>
    <w:rPr>
      <w:rFonts w:asciiTheme="majorHAnsi" w:eastAsiaTheme="majorEastAsia" w:hAnsiTheme="majorHAnsi" w:cstheme="majorBidi"/>
      <w:i/>
      <w:iCs/>
      <w:color w:val="4472C4" w:themeColor="accent1"/>
      <w:spacing w:val="15"/>
      <w:sz w:val="24"/>
      <w:szCs w:val="24"/>
    </w:rPr>
  </w:style>
  <w:style w:type="character" w:customStyle="1" w:styleId="a2">
    <w:name w:val="副标题 字符"/>
    <w:basedOn w:val="DefaultParagraphFont"/>
    <w:link w:val="Subtitle"/>
    <w:uiPriority w:val="11"/>
    <w:rsid w:val="00FC693F"/>
    <w:rPr>
      <w:rFonts w:asciiTheme="majorHAnsi" w:eastAsiaTheme="majorEastAsia" w:hAnsiTheme="majorHAnsi" w:cstheme="majorBidi"/>
      <w:i/>
      <w:iCs/>
      <w:color w:val="4472C4"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a3"/>
    <w:uiPriority w:val="99"/>
    <w:unhideWhenUsed/>
    <w:rsid w:val="00AA1D8D"/>
    <w:pPr>
      <w:spacing w:after="120"/>
    </w:pPr>
  </w:style>
  <w:style w:type="character" w:customStyle="1" w:styleId="a3">
    <w:name w:val="正文文本 字符"/>
    <w:basedOn w:val="DefaultParagraphFont"/>
    <w:link w:val="BodyText"/>
    <w:uiPriority w:val="99"/>
    <w:rsid w:val="00AA1D8D"/>
  </w:style>
  <w:style w:type="paragraph" w:styleId="BodyText2">
    <w:name w:val="Body Text 2"/>
    <w:basedOn w:val="Normal"/>
    <w:link w:val="20"/>
    <w:uiPriority w:val="99"/>
    <w:unhideWhenUsed/>
    <w:rsid w:val="00AA1D8D"/>
    <w:pPr>
      <w:spacing w:after="120" w:line="480" w:lineRule="auto"/>
    </w:pPr>
  </w:style>
  <w:style w:type="character" w:customStyle="1" w:styleId="20">
    <w:name w:val="正文文本 2 字符"/>
    <w:basedOn w:val="DefaultParagraphFont"/>
    <w:link w:val="BodyText2"/>
    <w:uiPriority w:val="99"/>
    <w:rsid w:val="00AA1D8D"/>
  </w:style>
  <w:style w:type="paragraph" w:styleId="BodyText3">
    <w:name w:val="Body Text 3"/>
    <w:basedOn w:val="Normal"/>
    <w:link w:val="30"/>
    <w:uiPriority w:val="99"/>
    <w:unhideWhenUsed/>
    <w:rsid w:val="00AA1D8D"/>
    <w:pPr>
      <w:spacing w:after="120"/>
    </w:pPr>
    <w:rPr>
      <w:sz w:val="16"/>
      <w:szCs w:val="16"/>
    </w:rPr>
  </w:style>
  <w:style w:type="character" w:customStyle="1" w:styleId="30">
    <w:name w:val="正文文本 3 字符"/>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tabs>
        <w:tab w:val="num" w:pos="720"/>
      </w:tabs>
      <w:ind w:left="720" w:hanging="720"/>
      <w:contextualSpacing/>
    </w:pPr>
  </w:style>
  <w:style w:type="paragraph" w:styleId="ListBullet3">
    <w:name w:val="List Bullet 3"/>
    <w:basedOn w:val="Normal"/>
    <w:uiPriority w:val="99"/>
    <w:unhideWhenUsed/>
    <w:rsid w:val="00326F90"/>
    <w:pPr>
      <w:tabs>
        <w:tab w:val="num" w:pos="720"/>
      </w:tabs>
      <w:ind w:left="720" w:hanging="720"/>
      <w:contextualSpacing/>
    </w:pPr>
  </w:style>
  <w:style w:type="paragraph" w:styleId="ListNumber">
    <w:name w:val="List Number"/>
    <w:basedOn w:val="Normal"/>
    <w:uiPriority w:val="99"/>
    <w:unhideWhenUsed/>
    <w:rsid w:val="00326F90"/>
    <w:pPr>
      <w:tabs>
        <w:tab w:val="num" w:pos="720"/>
      </w:tabs>
      <w:ind w:left="720" w:hanging="720"/>
      <w:contextualSpacing/>
    </w:pPr>
  </w:style>
  <w:style w:type="paragraph" w:styleId="ListNumber2">
    <w:name w:val="List Number 2"/>
    <w:basedOn w:val="Normal"/>
    <w:uiPriority w:val="99"/>
    <w:unhideWhenUsed/>
    <w:rsid w:val="0029639D"/>
    <w:pPr>
      <w:tabs>
        <w:tab w:val="num" w:pos="720"/>
      </w:tabs>
      <w:ind w:left="720" w:hanging="720"/>
      <w:contextualSpacing/>
    </w:pPr>
  </w:style>
  <w:style w:type="paragraph" w:styleId="ListNumber3">
    <w:name w:val="List Number 3"/>
    <w:basedOn w:val="Normal"/>
    <w:uiPriority w:val="99"/>
    <w:unhideWhenUsed/>
    <w:rsid w:val="0029639D"/>
    <w:pPr>
      <w:tabs>
        <w:tab w:val="num" w:pos="720"/>
      </w:tabs>
      <w:ind w:left="720" w:hanging="720"/>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
    <w:name w:val="macro"/>
    <w:link w:val="a4"/>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a4">
    <w:name w:val="宏文本 字符"/>
    <w:basedOn w:val="DefaultParagraphFont"/>
    <w:link w:val="Macro"/>
    <w:uiPriority w:val="99"/>
    <w:rsid w:val="0029639D"/>
    <w:rPr>
      <w:rFonts w:ascii="Courier" w:hAnsi="Courier"/>
      <w:sz w:val="20"/>
      <w:szCs w:val="20"/>
    </w:rPr>
  </w:style>
  <w:style w:type="paragraph" w:styleId="Quote">
    <w:name w:val="Quote"/>
    <w:basedOn w:val="Normal"/>
    <w:next w:val="Normal"/>
    <w:link w:val="a5"/>
    <w:uiPriority w:val="29"/>
    <w:qFormat/>
    <w:rsid w:val="00FC693F"/>
    <w:rPr>
      <w:i/>
      <w:iCs/>
      <w:color w:val="000000" w:themeColor="text1"/>
    </w:rPr>
  </w:style>
  <w:style w:type="character" w:customStyle="1" w:styleId="a5">
    <w:name w:val="引用 字符"/>
    <w:basedOn w:val="DefaultParagraphFont"/>
    <w:link w:val="Quote"/>
    <w:uiPriority w:val="29"/>
    <w:rsid w:val="00FC693F"/>
    <w:rPr>
      <w:i/>
      <w:iCs/>
      <w:color w:val="000000" w:themeColor="text1"/>
    </w:rPr>
  </w:style>
  <w:style w:type="character" w:customStyle="1" w:styleId="4">
    <w:name w:val="标题 4 字符"/>
    <w:basedOn w:val="DefaultParagraphFont"/>
    <w:link w:val="Heading4"/>
    <w:uiPriority w:val="9"/>
    <w:semiHidden/>
    <w:rsid w:val="00FC693F"/>
    <w:rPr>
      <w:rFonts w:asciiTheme="majorHAnsi" w:eastAsiaTheme="majorEastAsia" w:hAnsiTheme="majorHAnsi" w:cstheme="majorBidi"/>
      <w:b/>
      <w:bCs/>
      <w:i/>
      <w:iCs/>
      <w:color w:val="4472C4" w:themeColor="accent1"/>
    </w:rPr>
  </w:style>
  <w:style w:type="character" w:customStyle="1" w:styleId="5">
    <w:name w:val="标题 5 字符"/>
    <w:basedOn w:val="DefaultParagraphFont"/>
    <w:link w:val="Heading5"/>
    <w:uiPriority w:val="9"/>
    <w:semiHidden/>
    <w:rsid w:val="00FC693F"/>
    <w:rPr>
      <w:rFonts w:asciiTheme="majorHAnsi" w:eastAsiaTheme="majorEastAsia" w:hAnsiTheme="majorHAnsi" w:cstheme="majorBidi"/>
      <w:color w:val="1F3763" w:themeColor="accent1" w:themeShade="7F"/>
    </w:rPr>
  </w:style>
  <w:style w:type="character" w:customStyle="1" w:styleId="6">
    <w:name w:val="标题 6 字符"/>
    <w:basedOn w:val="DefaultParagraphFont"/>
    <w:link w:val="Heading6"/>
    <w:uiPriority w:val="9"/>
    <w:semiHidden/>
    <w:rsid w:val="00FC693F"/>
    <w:rPr>
      <w:rFonts w:asciiTheme="majorHAnsi" w:eastAsiaTheme="majorEastAsia" w:hAnsiTheme="majorHAnsi" w:cstheme="majorBidi"/>
      <w:i/>
      <w:iCs/>
      <w:color w:val="1F3763" w:themeColor="accent1" w:themeShade="7F"/>
    </w:rPr>
  </w:style>
  <w:style w:type="character" w:customStyle="1" w:styleId="7">
    <w:name w:val="标题 7 字符"/>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8">
    <w:name w:val="标题 8 字符"/>
    <w:basedOn w:val="DefaultParagraphFont"/>
    <w:link w:val="Heading8"/>
    <w:uiPriority w:val="9"/>
    <w:semiHidden/>
    <w:rsid w:val="00FC693F"/>
    <w:rPr>
      <w:rFonts w:asciiTheme="majorHAnsi" w:eastAsiaTheme="majorEastAsia" w:hAnsiTheme="majorHAnsi" w:cstheme="majorBidi"/>
      <w:color w:val="4472C4" w:themeColor="accent1"/>
      <w:sz w:val="20"/>
      <w:szCs w:val="20"/>
    </w:rPr>
  </w:style>
  <w:style w:type="character" w:customStyle="1" w:styleId="9">
    <w:name w:val="标题 9 字符"/>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472C4"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a6"/>
    <w:uiPriority w:val="30"/>
    <w:qFormat/>
    <w:rsid w:val="00FC693F"/>
    <w:pPr>
      <w:pBdr>
        <w:bottom w:val="single" w:sz="4" w:space="4" w:color="4472C4" w:themeColor="accent1"/>
      </w:pBdr>
      <w:spacing w:before="200" w:after="280"/>
      <w:ind w:left="936" w:right="936"/>
    </w:pPr>
    <w:rPr>
      <w:b/>
      <w:bCs/>
      <w:i/>
      <w:iCs/>
      <w:color w:val="4472C4" w:themeColor="accent1"/>
    </w:rPr>
  </w:style>
  <w:style w:type="character" w:customStyle="1" w:styleId="a6">
    <w:name w:val="明显引用 字符"/>
    <w:basedOn w:val="DefaultParagraphFont"/>
    <w:link w:val="IntenseQuote"/>
    <w:uiPriority w:val="30"/>
    <w:rsid w:val="00FC693F"/>
    <w:rPr>
      <w:b/>
      <w:bCs/>
      <w:i/>
      <w:iCs/>
      <w:color w:val="4472C4"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472C4" w:themeColor="accent1"/>
    </w:rPr>
  </w:style>
  <w:style w:type="character" w:styleId="SubtleReference">
    <w:name w:val="Subtle Reference"/>
    <w:basedOn w:val="DefaultParagraphFont"/>
    <w:uiPriority w:val="31"/>
    <w:qFormat/>
    <w:rsid w:val="00FC693F"/>
    <w:rPr>
      <w:smallCaps/>
      <w:color w:val="ED7D31" w:themeColor="accent2"/>
      <w:u w:val="single"/>
    </w:rPr>
  </w:style>
  <w:style w:type="character" w:styleId="IntenseReference">
    <w:name w:val="Intense Reference"/>
    <w:basedOn w:val="DefaultParagraphFont"/>
    <w:uiPriority w:val="32"/>
    <w:qFormat/>
    <w:rsid w:val="00FC693F"/>
    <w:rPr>
      <w:b/>
      <w:bCs/>
      <w:smallCaps/>
      <w:color w:val="ED7D31"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2F5496" w:themeColor="accent1" w:themeShade="BF"/>
    </w:rPr>
    <w:tblPr>
      <w:tblStyleRowBandSize w:val="1"/>
      <w:tblStyleColBandSize w:val="1"/>
      <w:tblBorders>
        <w:top w:val="single" w:sz="8" w:space="0" w:color="4472C4" w:themeColor="accent1"/>
        <w:bottom w:val="single" w:sz="8" w:space="0" w:color="4472C4" w:themeColor="accent1"/>
      </w:tblBorders>
    </w:tblPr>
    <w:tblStylePr w:type="firstRow">
      <w:pPr>
        <w:spacing w:before="0" w:after="0" w:line="240" w:lineRule="auto"/>
      </w:pPr>
      <w:rPr>
        <w:b/>
        <w:bCs/>
      </w:rPr>
      <w:tblPr/>
      <w:tcPr>
        <w:tcBorders>
          <w:top w:val="single" w:sz="8" w:space="0" w:color="4472C4" w:themeColor="accent1"/>
          <w:left w:val="nil"/>
          <w:bottom w:val="single" w:sz="8" w:space="0" w:color="4472C4" w:themeColor="accent1"/>
          <w:right w:val="nil"/>
          <w:insideH w:val="nil"/>
          <w:insideV w:val="nil"/>
        </w:tcBorders>
      </w:tcPr>
    </w:tblStylePr>
    <w:tblStylePr w:type="lastRow">
      <w:pPr>
        <w:spacing w:before="0" w:after="0" w:line="240" w:lineRule="auto"/>
      </w:pPr>
      <w:rPr>
        <w:b/>
        <w:bCs/>
      </w:rPr>
      <w:tblPr/>
      <w:tcPr>
        <w:tcBorders>
          <w:top w:val="single" w:sz="8" w:space="0" w:color="4472C4" w:themeColor="accent1"/>
          <w:left w:val="nil"/>
          <w:bottom w:val="single" w:sz="8" w:space="0" w:color="4472C4"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0DBF0" w:themeFill="accent1" w:themeFillTint="3F"/>
      </w:tcPr>
    </w:tblStylePr>
    <w:tblStylePr w:type="band1Horz">
      <w:tblPr/>
      <w:tcPr>
        <w:tcBorders>
          <w:left w:val="nil"/>
          <w:right w:val="nil"/>
          <w:insideH w:val="nil"/>
          <w:insideV w:val="nil"/>
        </w:tcBorders>
        <w:shd w:val="clear" w:color="auto" w:fill="D0DBF0" w:themeFill="accent1" w:themeFillTint="3F"/>
      </w:tcPr>
    </w:tblStylePr>
  </w:style>
  <w:style w:type="table" w:styleId="LightShadingAccent2">
    <w:name w:val="Light Shading Accent 2"/>
    <w:basedOn w:val="TableNormal"/>
    <w:uiPriority w:val="60"/>
    <w:rsid w:val="00FC693F"/>
    <w:pPr>
      <w:spacing w:after="0" w:line="240" w:lineRule="auto"/>
    </w:pPr>
    <w:rPr>
      <w:color w:val="C45911" w:themeColor="accent2" w:themeShade="BF"/>
    </w:rPr>
    <w:tblPr>
      <w:tblStyleRowBandSize w:val="1"/>
      <w:tblStyleColBandSize w:val="1"/>
      <w:tblBorders>
        <w:top w:val="single" w:sz="8" w:space="0" w:color="ED7D31" w:themeColor="accent2"/>
        <w:bottom w:val="single" w:sz="8" w:space="0" w:color="ED7D31" w:themeColor="accent2"/>
      </w:tblBorders>
    </w:tblPr>
    <w:tblStylePr w:type="firstRow">
      <w:pPr>
        <w:spacing w:before="0" w:after="0" w:line="240" w:lineRule="auto"/>
      </w:pPr>
      <w:rPr>
        <w:b/>
        <w:bCs/>
      </w:rPr>
      <w:tblPr/>
      <w:tcPr>
        <w:tcBorders>
          <w:top w:val="single" w:sz="8" w:space="0" w:color="ED7D31" w:themeColor="accent2"/>
          <w:left w:val="nil"/>
          <w:bottom w:val="single" w:sz="8" w:space="0" w:color="ED7D31" w:themeColor="accent2"/>
          <w:right w:val="nil"/>
          <w:insideH w:val="nil"/>
          <w:insideV w:val="nil"/>
        </w:tcBorders>
      </w:tcPr>
    </w:tblStylePr>
    <w:tblStylePr w:type="lastRow">
      <w:pPr>
        <w:spacing w:before="0" w:after="0" w:line="240" w:lineRule="auto"/>
      </w:pPr>
      <w:rPr>
        <w:b/>
        <w:bCs/>
      </w:rPr>
      <w:tblPr/>
      <w:tcPr>
        <w:tcBorders>
          <w:top w:val="single" w:sz="8" w:space="0" w:color="ED7D31" w:themeColor="accent2"/>
          <w:left w:val="nil"/>
          <w:bottom w:val="single" w:sz="8" w:space="0" w:color="ED7D31"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ADECB" w:themeFill="accent2" w:themeFillTint="3F"/>
      </w:tcPr>
    </w:tblStylePr>
    <w:tblStylePr w:type="band1Horz">
      <w:tblPr/>
      <w:tcPr>
        <w:tcBorders>
          <w:left w:val="nil"/>
          <w:right w:val="nil"/>
          <w:insideH w:val="nil"/>
          <w:insideV w:val="nil"/>
        </w:tcBorders>
        <w:shd w:val="clear" w:color="auto" w:fill="FADECB" w:themeFill="accent2" w:themeFillTint="3F"/>
      </w:tcPr>
    </w:tblStylePr>
  </w:style>
  <w:style w:type="table" w:styleId="LightShadingAccent3">
    <w:name w:val="Light Shading Accent 3"/>
    <w:basedOn w:val="TableNormal"/>
    <w:uiPriority w:val="60"/>
    <w:rsid w:val="00FC693F"/>
    <w:pPr>
      <w:spacing w:after="0" w:line="240" w:lineRule="auto"/>
    </w:pPr>
    <w:rPr>
      <w:color w:val="7B7B7B" w:themeColor="accent3" w:themeShade="BF"/>
    </w:rPr>
    <w:tblPr>
      <w:tblStyleRowBandSize w:val="1"/>
      <w:tblStyleColBandSize w:val="1"/>
      <w:tblBorders>
        <w:top w:val="single" w:sz="8" w:space="0" w:color="A5A5A5" w:themeColor="accent3"/>
        <w:bottom w:val="single" w:sz="8" w:space="0" w:color="A5A5A5" w:themeColor="accent3"/>
      </w:tblBorders>
    </w:tblPr>
    <w:tblStylePr w:type="fir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la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left w:val="nil"/>
          <w:right w:val="nil"/>
          <w:insideH w:val="nil"/>
          <w:insideV w:val="nil"/>
        </w:tcBorders>
        <w:shd w:val="clear" w:color="auto" w:fill="E8E8E8" w:themeFill="accent3" w:themeFillTint="3F"/>
      </w:tcPr>
    </w:tblStylePr>
  </w:style>
  <w:style w:type="table" w:styleId="LightShadingAccent4">
    <w:name w:val="Light Shading Accent 4"/>
    <w:basedOn w:val="TableNormal"/>
    <w:uiPriority w:val="60"/>
    <w:rsid w:val="00FC693F"/>
    <w:pPr>
      <w:spacing w:after="0" w:line="240" w:lineRule="auto"/>
    </w:pPr>
    <w:rPr>
      <w:color w:val="BF8F00" w:themeColor="accent4" w:themeShade="BF"/>
    </w:rPr>
    <w:tblPr>
      <w:tblStyleRowBandSize w:val="1"/>
      <w:tblStyleColBandSize w:val="1"/>
      <w:tblBorders>
        <w:top w:val="single" w:sz="8" w:space="0" w:color="FFC000" w:themeColor="accent4"/>
        <w:bottom w:val="single" w:sz="8" w:space="0" w:color="FFC000" w:themeColor="accent4"/>
      </w:tblBorders>
    </w:tblPr>
    <w:tblStylePr w:type="fir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la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left w:val="nil"/>
          <w:right w:val="nil"/>
          <w:insideH w:val="nil"/>
          <w:insideV w:val="nil"/>
        </w:tcBorders>
        <w:shd w:val="clear" w:color="auto" w:fill="FFEFC0" w:themeFill="accent4" w:themeFillTint="3F"/>
      </w:tcPr>
    </w:tblStylePr>
  </w:style>
  <w:style w:type="table" w:styleId="LightShadingAccent5">
    <w:name w:val="Light Shading Accent 5"/>
    <w:basedOn w:val="TableNormal"/>
    <w:uiPriority w:val="60"/>
    <w:rsid w:val="00FC693F"/>
    <w:pPr>
      <w:spacing w:after="0" w:line="240" w:lineRule="auto"/>
    </w:pPr>
    <w:rPr>
      <w:color w:val="2E74B5" w:themeColor="accent5" w:themeShade="BF"/>
    </w:rPr>
    <w:tblPr>
      <w:tblStyleRowBandSize w:val="1"/>
      <w:tblStyleColBandSize w:val="1"/>
      <w:tblBorders>
        <w:top w:val="single" w:sz="8" w:space="0" w:color="5B9BD5" w:themeColor="accent5"/>
        <w:bottom w:val="single" w:sz="8" w:space="0" w:color="5B9BD5" w:themeColor="accent5"/>
      </w:tblBorders>
    </w:tblPr>
    <w:tblStylePr w:type="firstRow">
      <w:pPr>
        <w:spacing w:before="0" w:after="0" w:line="240" w:lineRule="auto"/>
      </w:pPr>
      <w:rPr>
        <w:b/>
        <w:bCs/>
      </w:rPr>
      <w:tblPr/>
      <w:tcPr>
        <w:tcBorders>
          <w:top w:val="single" w:sz="8" w:space="0" w:color="5B9BD5" w:themeColor="accent5"/>
          <w:left w:val="nil"/>
          <w:bottom w:val="single" w:sz="8" w:space="0" w:color="5B9BD5" w:themeColor="accent5"/>
          <w:right w:val="nil"/>
          <w:insideH w:val="nil"/>
          <w:insideV w:val="nil"/>
        </w:tcBorders>
      </w:tcPr>
    </w:tblStylePr>
    <w:tblStylePr w:type="lastRow">
      <w:pPr>
        <w:spacing w:before="0" w:after="0" w:line="240" w:lineRule="auto"/>
      </w:pPr>
      <w:rPr>
        <w:b/>
        <w:bCs/>
      </w:rPr>
      <w:tblPr/>
      <w:tcPr>
        <w:tcBorders>
          <w:top w:val="single" w:sz="8" w:space="0" w:color="5B9BD5" w:themeColor="accent5"/>
          <w:left w:val="nil"/>
          <w:bottom w:val="single" w:sz="8" w:space="0" w:color="5B9BD5"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6E6F4" w:themeFill="accent5" w:themeFillTint="3F"/>
      </w:tcPr>
    </w:tblStylePr>
    <w:tblStylePr w:type="band1Horz">
      <w:tblPr/>
      <w:tcPr>
        <w:tcBorders>
          <w:left w:val="nil"/>
          <w:right w:val="nil"/>
          <w:insideH w:val="nil"/>
          <w:insideV w:val="nil"/>
        </w:tcBorders>
        <w:shd w:val="clear" w:color="auto" w:fill="D6E6F4" w:themeFill="accent5" w:themeFillTint="3F"/>
      </w:tcPr>
    </w:tblStylePr>
  </w:style>
  <w:style w:type="table" w:styleId="LightShadingAccent6">
    <w:name w:val="Light Shading Accent 6"/>
    <w:basedOn w:val="TableNormal"/>
    <w:uiPriority w:val="60"/>
    <w:rsid w:val="00FC693F"/>
    <w:pPr>
      <w:spacing w:after="0" w:line="240" w:lineRule="auto"/>
    </w:pPr>
    <w:rPr>
      <w:color w:val="538135" w:themeColor="accent6" w:themeShade="BF"/>
    </w:rPr>
    <w:tblPr>
      <w:tblStyleRowBandSize w:val="1"/>
      <w:tblStyleColBandSize w:val="1"/>
      <w:tblBorders>
        <w:top w:val="single" w:sz="8" w:space="0" w:color="70AD47" w:themeColor="accent6"/>
        <w:bottom w:val="single" w:sz="8" w:space="0" w:color="70AD47" w:themeColor="accent6"/>
      </w:tblBorders>
    </w:tblPr>
    <w:tblStylePr w:type="firstRow">
      <w:pPr>
        <w:spacing w:before="0" w:after="0" w:line="240" w:lineRule="auto"/>
      </w:pPr>
      <w:rPr>
        <w:b/>
        <w:bCs/>
      </w:rPr>
      <w:tblPr/>
      <w:tcPr>
        <w:tcBorders>
          <w:top w:val="single" w:sz="8" w:space="0" w:color="70AD47" w:themeColor="accent6"/>
          <w:left w:val="nil"/>
          <w:bottom w:val="single" w:sz="8" w:space="0" w:color="70AD47" w:themeColor="accent6"/>
          <w:right w:val="nil"/>
          <w:insideH w:val="nil"/>
          <w:insideV w:val="nil"/>
        </w:tcBorders>
      </w:tcPr>
    </w:tblStylePr>
    <w:tblStylePr w:type="lastRow">
      <w:pPr>
        <w:spacing w:before="0" w:after="0" w:line="240" w:lineRule="auto"/>
      </w:pPr>
      <w:rPr>
        <w:b/>
        <w:bCs/>
      </w:rPr>
      <w:tblPr/>
      <w:tcPr>
        <w:tcBorders>
          <w:top w:val="single" w:sz="8" w:space="0" w:color="70AD47" w:themeColor="accent6"/>
          <w:left w:val="nil"/>
          <w:bottom w:val="single" w:sz="8" w:space="0" w:color="70AD47"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BEBD0" w:themeFill="accent6" w:themeFillTint="3F"/>
      </w:tcPr>
    </w:tblStylePr>
    <w:tblStylePr w:type="band1Horz">
      <w:tblPr/>
      <w:tcPr>
        <w:tcBorders>
          <w:left w:val="nil"/>
          <w:right w:val="nil"/>
          <w:insideH w:val="nil"/>
          <w:insideV w:val="nil"/>
        </w:tcBorders>
        <w:shd w:val="clear" w:color="auto" w:fill="DBEB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tblBorders>
    </w:tblPr>
    <w:tblStylePr w:type="firstRow">
      <w:pPr>
        <w:spacing w:before="0" w:after="0" w:line="240" w:lineRule="auto"/>
      </w:pPr>
      <w:rPr>
        <w:b/>
        <w:bCs/>
        <w:color w:val="FFFFFF" w:themeColor="background1"/>
      </w:rPr>
      <w:tblPr/>
      <w:tcPr>
        <w:shd w:val="clear" w:color="auto" w:fill="4472C4" w:themeFill="accent1"/>
      </w:tcPr>
    </w:tblStylePr>
    <w:tblStylePr w:type="lastRow">
      <w:pPr>
        <w:spacing w:before="0" w:after="0" w:line="240" w:lineRule="auto"/>
      </w:pPr>
      <w:rPr>
        <w:b/>
        <w:bCs/>
      </w:rPr>
      <w:tblPr/>
      <w:tcPr>
        <w:tcBorders>
          <w:top w:val="double" w:sz="6" w:space="0" w:color="4472C4" w:themeColor="accent1"/>
          <w:left w:val="single" w:sz="8" w:space="0" w:color="4472C4" w:themeColor="accent1"/>
          <w:bottom w:val="single" w:sz="8" w:space="0" w:color="4472C4" w:themeColor="accent1"/>
          <w:right w:val="single" w:sz="8" w:space="0" w:color="4472C4" w:themeColor="accent1"/>
        </w:tcBorders>
      </w:tcPr>
    </w:tblStylePr>
    <w:tblStylePr w:type="firstCol">
      <w:rPr>
        <w:b/>
        <w:bCs/>
      </w:rPr>
    </w:tblStylePr>
    <w:tblStylePr w:type="lastCol">
      <w:rPr>
        <w:b/>
        <w:bCs/>
      </w:rPr>
    </w:tblStylePr>
    <w:tblStylePr w:type="band1Vert">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tblStylePr w:type="band1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tblBorders>
    </w:tblPr>
    <w:tblStylePr w:type="firstRow">
      <w:pPr>
        <w:spacing w:before="0" w:after="0" w:line="240" w:lineRule="auto"/>
      </w:pPr>
      <w:rPr>
        <w:b/>
        <w:bCs/>
        <w:color w:val="FFFFFF" w:themeColor="background1"/>
      </w:rPr>
      <w:tblPr/>
      <w:tcPr>
        <w:shd w:val="clear" w:color="auto" w:fill="ED7D31" w:themeFill="accent2"/>
      </w:tcPr>
    </w:tblStylePr>
    <w:tblStylePr w:type="lastRow">
      <w:pPr>
        <w:spacing w:before="0" w:after="0" w:line="240" w:lineRule="auto"/>
      </w:pPr>
      <w:rPr>
        <w:b/>
        <w:bCs/>
      </w:rPr>
      <w:tblPr/>
      <w:tcPr>
        <w:tcBorders>
          <w:top w:val="double" w:sz="6" w:space="0" w:color="ED7D31" w:themeColor="accent2"/>
          <w:left w:val="single" w:sz="8" w:space="0" w:color="ED7D31" w:themeColor="accent2"/>
          <w:bottom w:val="single" w:sz="8" w:space="0" w:color="ED7D31" w:themeColor="accent2"/>
          <w:right w:val="single" w:sz="8" w:space="0" w:color="ED7D31" w:themeColor="accent2"/>
        </w:tcBorders>
      </w:tcPr>
    </w:tblStylePr>
    <w:tblStylePr w:type="firstCol">
      <w:rPr>
        <w:b/>
        <w:bCs/>
      </w:rPr>
    </w:tblStylePr>
    <w:tblStylePr w:type="lastCol">
      <w:rPr>
        <w:b/>
        <w:bCs/>
      </w:rPr>
    </w:tblStylePr>
    <w:tblStylePr w:type="band1Vert">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tblStylePr w:type="band1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pPr>
        <w:spacing w:before="0" w:after="0" w:line="240" w:lineRule="auto"/>
      </w:pPr>
      <w:rPr>
        <w:b/>
        <w:bCs/>
        <w:color w:val="FFFFFF" w:themeColor="background1"/>
      </w:rPr>
      <w:tblPr/>
      <w:tcPr>
        <w:shd w:val="clear" w:color="auto" w:fill="A5A5A5" w:themeFill="accent3"/>
      </w:tcPr>
    </w:tblStylePr>
    <w:tblStylePr w:type="lastRow">
      <w:pPr>
        <w:spacing w:before="0" w:after="0" w:line="240" w:lineRule="auto"/>
      </w:pPr>
      <w:rPr>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tcBorders>
      </w:tcPr>
    </w:tblStylePr>
    <w:tblStylePr w:type="firstCol">
      <w:rPr>
        <w:b/>
        <w:bCs/>
      </w:rPr>
    </w:tblStylePr>
    <w:tblStylePr w:type="lastCol">
      <w:rPr>
        <w:b/>
        <w:bCs/>
      </w:r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pPr>
        <w:spacing w:before="0" w:after="0" w:line="240" w:lineRule="auto"/>
      </w:pPr>
      <w:rPr>
        <w:b/>
        <w:bCs/>
        <w:color w:val="FFFFFF" w:themeColor="background1"/>
      </w:rPr>
      <w:tblPr/>
      <w:tcPr>
        <w:shd w:val="clear" w:color="auto" w:fill="FFC000" w:themeFill="accent4"/>
      </w:tcPr>
    </w:tblStylePr>
    <w:tblStylePr w:type="lastRow">
      <w:pPr>
        <w:spacing w:before="0" w:after="0" w:line="240" w:lineRule="auto"/>
      </w:pPr>
      <w:rPr>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tcBorders>
      </w:tcPr>
    </w:tblStylePr>
    <w:tblStylePr w:type="firstCol">
      <w:rPr>
        <w:b/>
        <w:bCs/>
      </w:rPr>
    </w:tblStylePr>
    <w:tblStylePr w:type="lastCol">
      <w:rPr>
        <w:b/>
        <w:bCs/>
      </w:r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tblBorders>
    </w:tblPr>
    <w:tblStylePr w:type="firstRow">
      <w:pPr>
        <w:spacing w:before="0" w:after="0" w:line="240" w:lineRule="auto"/>
      </w:pPr>
      <w:rPr>
        <w:b/>
        <w:bCs/>
        <w:color w:val="FFFFFF" w:themeColor="background1"/>
      </w:rPr>
      <w:tblPr/>
      <w:tcPr>
        <w:shd w:val="clear" w:color="auto" w:fill="5B9BD5" w:themeFill="accent5"/>
      </w:tcPr>
    </w:tblStylePr>
    <w:tblStylePr w:type="lastRow">
      <w:pPr>
        <w:spacing w:before="0" w:after="0" w:line="240" w:lineRule="auto"/>
      </w:pPr>
      <w:rPr>
        <w:b/>
        <w:bCs/>
      </w:rPr>
      <w:tblPr/>
      <w:tcPr>
        <w:tcBorders>
          <w:top w:val="double" w:sz="6" w:space="0" w:color="5B9BD5" w:themeColor="accent5"/>
          <w:left w:val="single" w:sz="8" w:space="0" w:color="5B9BD5" w:themeColor="accent5"/>
          <w:bottom w:val="single" w:sz="8" w:space="0" w:color="5B9BD5" w:themeColor="accent5"/>
          <w:right w:val="single" w:sz="8" w:space="0" w:color="5B9BD5" w:themeColor="accent5"/>
        </w:tcBorders>
      </w:tcPr>
    </w:tblStylePr>
    <w:tblStylePr w:type="firstCol">
      <w:rPr>
        <w:b/>
        <w:bCs/>
      </w:rPr>
    </w:tblStylePr>
    <w:tblStylePr w:type="lastCol">
      <w:rPr>
        <w:b/>
        <w:bCs/>
      </w:rPr>
    </w:tblStylePr>
    <w:tblStylePr w:type="band1Vert">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tblStylePr w:type="band1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pPr>
        <w:spacing w:before="0" w:after="0" w:line="240" w:lineRule="auto"/>
      </w:pPr>
      <w:rPr>
        <w:b/>
        <w:bCs/>
        <w:color w:val="FFFFFF" w:themeColor="background1"/>
      </w:rPr>
      <w:tblPr/>
      <w:tcPr>
        <w:shd w:val="clear" w:color="auto" w:fill="70AD47" w:themeFill="accent6"/>
      </w:tcPr>
    </w:tblStylePr>
    <w:tblStylePr w:type="lastRow">
      <w:pPr>
        <w:spacing w:before="0" w:after="0" w:line="240" w:lineRule="auto"/>
      </w:pPr>
      <w:rPr>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tcBorders>
      </w:tcPr>
    </w:tblStylePr>
    <w:tblStylePr w:type="firstCol">
      <w:rPr>
        <w:b/>
        <w:bCs/>
      </w:rPr>
    </w:tblStylePr>
    <w:tblStylePr w:type="lastCol">
      <w:rPr>
        <w:b/>
        <w:bCs/>
      </w:r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insideH w:val="single" w:sz="8" w:space="0" w:color="4472C4" w:themeColor="accent1"/>
        <w:insideV w:val="single" w:sz="8" w:space="0" w:color="4472C4"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472C4" w:themeColor="accent1"/>
          <w:left w:val="single" w:sz="8" w:space="0" w:color="4472C4" w:themeColor="accent1"/>
          <w:bottom w:val="single" w:sz="18" w:space="0" w:color="4472C4" w:themeColor="accent1"/>
          <w:right w:val="single" w:sz="8" w:space="0" w:color="4472C4" w:themeColor="accent1"/>
          <w:insideH w:val="nil"/>
          <w:insideV w:val="single" w:sz="8" w:space="0" w:color="4472C4"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472C4" w:themeColor="accent1"/>
          <w:left w:val="single" w:sz="8" w:space="0" w:color="4472C4" w:themeColor="accent1"/>
          <w:bottom w:val="single" w:sz="8" w:space="0" w:color="4472C4" w:themeColor="accent1"/>
          <w:right w:val="single" w:sz="8" w:space="0" w:color="4472C4" w:themeColor="accent1"/>
          <w:insideH w:val="nil"/>
          <w:insideV w:val="single" w:sz="8" w:space="0" w:color="4472C4"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tblStylePr w:type="band1Vert">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shd w:val="clear" w:color="auto" w:fill="D0DBF0" w:themeFill="accent1" w:themeFillTint="3F"/>
      </w:tcPr>
    </w:tblStylePr>
    <w:tblStylePr w:type="band1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insideV w:val="single" w:sz="8" w:space="0" w:color="4472C4" w:themeColor="accent1"/>
        </w:tcBorders>
        <w:shd w:val="clear" w:color="auto" w:fill="D0DBF0" w:themeFill="accent1" w:themeFillTint="3F"/>
      </w:tcPr>
    </w:tblStylePr>
    <w:tblStylePr w:type="band2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insideV w:val="single" w:sz="8" w:space="0" w:color="4472C4"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insideH w:val="single" w:sz="8" w:space="0" w:color="ED7D31" w:themeColor="accent2"/>
        <w:insideV w:val="single" w:sz="8" w:space="0" w:color="ED7D31"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ED7D31" w:themeColor="accent2"/>
          <w:left w:val="single" w:sz="8" w:space="0" w:color="ED7D31" w:themeColor="accent2"/>
          <w:bottom w:val="single" w:sz="18" w:space="0" w:color="ED7D31" w:themeColor="accent2"/>
          <w:right w:val="single" w:sz="8" w:space="0" w:color="ED7D31" w:themeColor="accent2"/>
          <w:insideH w:val="nil"/>
          <w:insideV w:val="single" w:sz="8" w:space="0" w:color="ED7D31"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ED7D31" w:themeColor="accent2"/>
          <w:left w:val="single" w:sz="8" w:space="0" w:color="ED7D31" w:themeColor="accent2"/>
          <w:bottom w:val="single" w:sz="8" w:space="0" w:color="ED7D31" w:themeColor="accent2"/>
          <w:right w:val="single" w:sz="8" w:space="0" w:color="ED7D31" w:themeColor="accent2"/>
          <w:insideH w:val="nil"/>
          <w:insideV w:val="single" w:sz="8" w:space="0" w:color="ED7D31"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tblStylePr w:type="band1Vert">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shd w:val="clear" w:color="auto" w:fill="FADECB" w:themeFill="accent2" w:themeFillTint="3F"/>
      </w:tcPr>
    </w:tblStylePr>
    <w:tblStylePr w:type="band1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insideV w:val="single" w:sz="8" w:space="0" w:color="ED7D31" w:themeColor="accent2"/>
        </w:tcBorders>
        <w:shd w:val="clear" w:color="auto" w:fill="FADECB" w:themeFill="accent2" w:themeFillTint="3F"/>
      </w:tcPr>
    </w:tblStylePr>
    <w:tblStylePr w:type="band2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insideV w:val="single" w:sz="8" w:space="0" w:color="ED7D31"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insideH w:val="single" w:sz="8" w:space="0" w:color="A5A5A5" w:themeColor="accent3"/>
        <w:insideV w:val="single" w:sz="8" w:space="0" w:color="A5A5A5"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A5A5A5" w:themeColor="accent3"/>
          <w:left w:val="single" w:sz="8" w:space="0" w:color="A5A5A5" w:themeColor="accent3"/>
          <w:bottom w:val="single" w:sz="18" w:space="0" w:color="A5A5A5" w:themeColor="accent3"/>
          <w:right w:val="single" w:sz="8" w:space="0" w:color="A5A5A5" w:themeColor="accent3"/>
          <w:insideH w:val="nil"/>
          <w:insideV w:val="single" w:sz="8" w:space="0" w:color="A5A5A5"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insideH w:val="nil"/>
          <w:insideV w:val="single" w:sz="8" w:space="0" w:color="A5A5A5"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shd w:val="clear" w:color="auto" w:fill="E8E8E8" w:themeFill="accent3" w:themeFillTint="3F"/>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insideV w:val="single" w:sz="8" w:space="0" w:color="A5A5A5" w:themeColor="accent3"/>
        </w:tcBorders>
        <w:shd w:val="clear" w:color="auto" w:fill="E8E8E8" w:themeFill="accent3" w:themeFillTint="3F"/>
      </w:tcPr>
    </w:tblStylePr>
    <w:tblStylePr w:type="band2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insideV w:val="single" w:sz="8" w:space="0" w:color="A5A5A5"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insideH w:val="single" w:sz="8" w:space="0" w:color="FFC000" w:themeColor="accent4"/>
        <w:insideV w:val="single" w:sz="8" w:space="0" w:color="FFC000"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FC000" w:themeColor="accent4"/>
          <w:left w:val="single" w:sz="8" w:space="0" w:color="FFC000" w:themeColor="accent4"/>
          <w:bottom w:val="single" w:sz="18" w:space="0" w:color="FFC000" w:themeColor="accent4"/>
          <w:right w:val="single" w:sz="8" w:space="0" w:color="FFC000" w:themeColor="accent4"/>
          <w:insideH w:val="nil"/>
          <w:insideV w:val="single" w:sz="8" w:space="0" w:color="FFC000"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insideH w:val="nil"/>
          <w:insideV w:val="single" w:sz="8" w:space="0" w:color="FFC000"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shd w:val="clear" w:color="auto" w:fill="FFEFC0" w:themeFill="accent4" w:themeFillTint="3F"/>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insideV w:val="single" w:sz="8" w:space="0" w:color="FFC000" w:themeColor="accent4"/>
        </w:tcBorders>
        <w:shd w:val="clear" w:color="auto" w:fill="FFEFC0" w:themeFill="accent4" w:themeFillTint="3F"/>
      </w:tcPr>
    </w:tblStylePr>
    <w:tblStylePr w:type="band2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insideV w:val="single" w:sz="8" w:space="0" w:color="FFC000"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insideH w:val="single" w:sz="8" w:space="0" w:color="5B9BD5" w:themeColor="accent5"/>
        <w:insideV w:val="single" w:sz="8" w:space="0" w:color="5B9BD5"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5B9BD5" w:themeColor="accent5"/>
          <w:left w:val="single" w:sz="8" w:space="0" w:color="5B9BD5" w:themeColor="accent5"/>
          <w:bottom w:val="single" w:sz="18" w:space="0" w:color="5B9BD5" w:themeColor="accent5"/>
          <w:right w:val="single" w:sz="8" w:space="0" w:color="5B9BD5" w:themeColor="accent5"/>
          <w:insideH w:val="nil"/>
          <w:insideV w:val="single" w:sz="8" w:space="0" w:color="5B9BD5"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5B9BD5" w:themeColor="accent5"/>
          <w:left w:val="single" w:sz="8" w:space="0" w:color="5B9BD5" w:themeColor="accent5"/>
          <w:bottom w:val="single" w:sz="8" w:space="0" w:color="5B9BD5" w:themeColor="accent5"/>
          <w:right w:val="single" w:sz="8" w:space="0" w:color="5B9BD5" w:themeColor="accent5"/>
          <w:insideH w:val="nil"/>
          <w:insideV w:val="single" w:sz="8" w:space="0" w:color="5B9BD5"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tblStylePr w:type="band1Vert">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shd w:val="clear" w:color="auto" w:fill="D6E6F4" w:themeFill="accent5" w:themeFillTint="3F"/>
      </w:tcPr>
    </w:tblStylePr>
    <w:tblStylePr w:type="band1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insideV w:val="single" w:sz="8" w:space="0" w:color="5B9BD5" w:themeColor="accent5"/>
        </w:tcBorders>
        <w:shd w:val="clear" w:color="auto" w:fill="D6E6F4" w:themeFill="accent5" w:themeFillTint="3F"/>
      </w:tcPr>
    </w:tblStylePr>
    <w:tblStylePr w:type="band2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insideV w:val="single" w:sz="8" w:space="0" w:color="5B9BD5"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insideH w:val="single" w:sz="8" w:space="0" w:color="70AD47" w:themeColor="accent6"/>
        <w:insideV w:val="single" w:sz="8" w:space="0" w:color="70AD47"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70AD47" w:themeColor="accent6"/>
          <w:left w:val="single" w:sz="8" w:space="0" w:color="70AD47" w:themeColor="accent6"/>
          <w:bottom w:val="single" w:sz="18" w:space="0" w:color="70AD47" w:themeColor="accent6"/>
          <w:right w:val="single" w:sz="8" w:space="0" w:color="70AD47" w:themeColor="accent6"/>
          <w:insideH w:val="nil"/>
          <w:insideV w:val="single" w:sz="8" w:space="0" w:color="70AD47"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insideH w:val="nil"/>
          <w:insideV w:val="single" w:sz="8" w:space="0" w:color="70AD47"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shd w:val="clear" w:color="auto" w:fill="DBEBD0" w:themeFill="accent6" w:themeFillTint="3F"/>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insideV w:val="single" w:sz="8" w:space="0" w:color="70AD47" w:themeColor="accent6"/>
        </w:tcBorders>
        <w:shd w:val="clear" w:color="auto" w:fill="DBEBD0" w:themeFill="accent6" w:themeFillTint="3F"/>
      </w:tcPr>
    </w:tblStylePr>
    <w:tblStylePr w:type="band2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insideV w:val="single" w:sz="8" w:space="0" w:color="70AD47"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single" w:sz="8" w:space="0" w:color="7295D2" w:themeColor="accent1" w:themeTint="BF"/>
      </w:tblBorders>
    </w:tblPr>
    <w:tblStylePr w:type="firstRow">
      <w:pPr>
        <w:spacing w:before="0" w:after="0" w:line="240" w:lineRule="auto"/>
      </w:pPr>
      <w:rPr>
        <w:b/>
        <w:bCs/>
        <w:color w:val="FFFFFF" w:themeColor="background1"/>
      </w:rPr>
      <w:tblPr/>
      <w:tcPr>
        <w:tc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nil"/>
          <w:insideV w:val="nil"/>
        </w:tcBorders>
        <w:shd w:val="clear" w:color="auto" w:fill="4472C4" w:themeFill="accent1"/>
      </w:tcPr>
    </w:tblStylePr>
    <w:tblStylePr w:type="lastRow">
      <w:pPr>
        <w:spacing w:before="0" w:after="0" w:line="240" w:lineRule="auto"/>
      </w:pPr>
      <w:rPr>
        <w:b/>
        <w:bCs/>
      </w:rPr>
      <w:tblPr/>
      <w:tcPr>
        <w:tcBorders>
          <w:top w:val="double" w:sz="6"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nil"/>
          <w:insideV w:val="nil"/>
        </w:tcBorders>
      </w:tcPr>
    </w:tblStylePr>
    <w:tblStylePr w:type="firstCol">
      <w:rPr>
        <w:b/>
        <w:bCs/>
      </w:rPr>
    </w:tblStylePr>
    <w:tblStylePr w:type="lastCol">
      <w:rPr>
        <w:b/>
        <w:bCs/>
      </w:rPr>
    </w:tblStylePr>
    <w:tblStylePr w:type="band1Vert">
      <w:tblPr/>
      <w:tcPr>
        <w:shd w:val="clear" w:color="auto" w:fill="D0DBF0" w:themeFill="accent1" w:themeFillTint="3F"/>
      </w:tcPr>
    </w:tblStylePr>
    <w:tblStylePr w:type="band1Horz">
      <w:tblPr/>
      <w:tcPr>
        <w:tcBorders>
          <w:insideH w:val="nil"/>
          <w:insideV w:val="nil"/>
        </w:tcBorders>
        <w:shd w:val="clear" w:color="auto" w:fill="D0DBF0"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single" w:sz="8" w:space="0" w:color="F19D64" w:themeColor="accent2" w:themeTint="BF"/>
      </w:tblBorders>
    </w:tblPr>
    <w:tblStylePr w:type="firstRow">
      <w:pPr>
        <w:spacing w:before="0" w:after="0" w:line="240" w:lineRule="auto"/>
      </w:pPr>
      <w:rPr>
        <w:b/>
        <w:bCs/>
        <w:color w:val="FFFFFF" w:themeColor="background1"/>
      </w:rPr>
      <w:tblPr/>
      <w:tcPr>
        <w:tc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nil"/>
          <w:insideV w:val="nil"/>
        </w:tcBorders>
        <w:shd w:val="clear" w:color="auto" w:fill="ED7D31" w:themeFill="accent2"/>
      </w:tcPr>
    </w:tblStylePr>
    <w:tblStylePr w:type="lastRow">
      <w:pPr>
        <w:spacing w:before="0" w:after="0" w:line="240" w:lineRule="auto"/>
      </w:pPr>
      <w:rPr>
        <w:b/>
        <w:bCs/>
      </w:rPr>
      <w:tblPr/>
      <w:tcPr>
        <w:tcBorders>
          <w:top w:val="double" w:sz="6"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nil"/>
          <w:insideV w:val="nil"/>
        </w:tcBorders>
      </w:tcPr>
    </w:tblStylePr>
    <w:tblStylePr w:type="firstCol">
      <w:rPr>
        <w:b/>
        <w:bCs/>
      </w:rPr>
    </w:tblStylePr>
    <w:tblStylePr w:type="lastCol">
      <w:rPr>
        <w:b/>
        <w:bCs/>
      </w:rPr>
    </w:tblStylePr>
    <w:tblStylePr w:type="band1Vert">
      <w:tblPr/>
      <w:tcPr>
        <w:shd w:val="clear" w:color="auto" w:fill="FADECB" w:themeFill="accent2" w:themeFillTint="3F"/>
      </w:tcPr>
    </w:tblStylePr>
    <w:tblStylePr w:type="band1Horz">
      <w:tblPr/>
      <w:tcPr>
        <w:tcBorders>
          <w:insideH w:val="nil"/>
          <w:insideV w:val="nil"/>
        </w:tcBorders>
        <w:shd w:val="clear" w:color="auto" w:fill="FADECB"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tblBorders>
    </w:tblPr>
    <w:tblStylePr w:type="firstRow">
      <w:pPr>
        <w:spacing w:before="0" w:after="0" w:line="240" w:lineRule="auto"/>
      </w:pPr>
      <w:rPr>
        <w:b/>
        <w:bCs/>
        <w:color w:val="FFFFFF" w:themeColor="background1"/>
      </w:rPr>
      <w:tblPr/>
      <w:tcPr>
        <w:tc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shd w:val="clear" w:color="auto" w:fill="A5A5A5" w:themeFill="accent3"/>
      </w:tcPr>
    </w:tblStylePr>
    <w:tblStylePr w:type="lastRow">
      <w:pPr>
        <w:spacing w:before="0" w:after="0" w:line="240" w:lineRule="auto"/>
      </w:pPr>
      <w:rPr>
        <w:b/>
        <w:bCs/>
      </w:rPr>
      <w:tblPr/>
      <w:tcPr>
        <w:tcBorders>
          <w:top w:val="double" w:sz="6"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tblBorders>
    </w:tblPr>
    <w:tblStylePr w:type="firstRow">
      <w:pPr>
        <w:spacing w:before="0" w:after="0" w:line="240" w:lineRule="auto"/>
      </w:pPr>
      <w:rPr>
        <w:b/>
        <w:bCs/>
        <w:color w:val="FFFFFF" w:themeColor="background1"/>
      </w:rPr>
      <w:tblPr/>
      <w:tcPr>
        <w:tc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shd w:val="clear" w:color="auto" w:fill="FFC000" w:themeFill="accent4"/>
      </w:tcPr>
    </w:tblStylePr>
    <w:tblStylePr w:type="lastRow">
      <w:pPr>
        <w:spacing w:before="0" w:after="0" w:line="240" w:lineRule="auto"/>
      </w:pPr>
      <w:rPr>
        <w:b/>
        <w:bCs/>
      </w:rPr>
      <w:tblPr/>
      <w:tcPr>
        <w:tcBorders>
          <w:top w:val="double" w:sz="6"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tcPr>
    </w:tblStylePr>
    <w:tblStylePr w:type="firstCol">
      <w:rPr>
        <w:b/>
        <w:bCs/>
      </w:rPr>
    </w:tblStylePr>
    <w:tblStylePr w:type="lastCol">
      <w:rPr>
        <w:b/>
        <w:bCs/>
      </w:rPr>
    </w:tblStylePr>
    <w:tblStylePr w:type="band1Vert">
      <w:tblPr/>
      <w:tcPr>
        <w:shd w:val="clear" w:color="auto" w:fill="FFEFC0" w:themeFill="accent4" w:themeFillTint="3F"/>
      </w:tcPr>
    </w:tblStylePr>
    <w:tblStylePr w:type="band1Horz">
      <w:tblPr/>
      <w:tcPr>
        <w:tcBorders>
          <w:insideH w:val="nil"/>
          <w:insideV w:val="nil"/>
        </w:tcBorders>
        <w:shd w:val="clear" w:color="auto" w:fill="FFEFC0"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single" w:sz="8" w:space="0" w:color="84B3DF" w:themeColor="accent5" w:themeTint="BF"/>
      </w:tblBorders>
    </w:tblPr>
    <w:tblStylePr w:type="firstRow">
      <w:pPr>
        <w:spacing w:before="0" w:after="0" w:line="240" w:lineRule="auto"/>
      </w:pPr>
      <w:rPr>
        <w:b/>
        <w:bCs/>
        <w:color w:val="FFFFFF" w:themeColor="background1"/>
      </w:rPr>
      <w:tblPr/>
      <w:tcPr>
        <w:tc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nil"/>
          <w:insideV w:val="nil"/>
        </w:tcBorders>
        <w:shd w:val="clear" w:color="auto" w:fill="5B9BD5" w:themeFill="accent5"/>
      </w:tcPr>
    </w:tblStylePr>
    <w:tblStylePr w:type="lastRow">
      <w:pPr>
        <w:spacing w:before="0" w:after="0" w:line="240" w:lineRule="auto"/>
      </w:pPr>
      <w:rPr>
        <w:b/>
        <w:bCs/>
      </w:rPr>
      <w:tblPr/>
      <w:tcPr>
        <w:tcBorders>
          <w:top w:val="double" w:sz="6"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nil"/>
          <w:insideV w:val="nil"/>
        </w:tcBorders>
      </w:tcPr>
    </w:tblStylePr>
    <w:tblStylePr w:type="firstCol">
      <w:rPr>
        <w:b/>
        <w:bCs/>
      </w:rPr>
    </w:tblStylePr>
    <w:tblStylePr w:type="lastCol">
      <w:rPr>
        <w:b/>
        <w:bCs/>
      </w:rPr>
    </w:tblStylePr>
    <w:tblStylePr w:type="band1Vert">
      <w:tblPr/>
      <w:tcPr>
        <w:shd w:val="clear" w:color="auto" w:fill="D6E6F4" w:themeFill="accent5" w:themeFillTint="3F"/>
      </w:tcPr>
    </w:tblStylePr>
    <w:tblStylePr w:type="band1Horz">
      <w:tblPr/>
      <w:tcPr>
        <w:tcBorders>
          <w:insideH w:val="nil"/>
          <w:insideV w:val="nil"/>
        </w:tcBorders>
        <w:shd w:val="clear" w:color="auto" w:fill="D6E6F4"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tblBorders>
    </w:tblPr>
    <w:tblStylePr w:type="firstRow">
      <w:pPr>
        <w:spacing w:before="0" w:after="0" w:line="240" w:lineRule="auto"/>
      </w:pPr>
      <w:rPr>
        <w:b/>
        <w:bCs/>
        <w:color w:val="FFFFFF" w:themeColor="background1"/>
      </w:rPr>
      <w:tblPr/>
      <w:tcPr>
        <w:tc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shd w:val="clear" w:color="auto" w:fill="70AD47" w:themeFill="accent6"/>
      </w:tcPr>
    </w:tblStylePr>
    <w:tblStylePr w:type="lastRow">
      <w:pPr>
        <w:spacing w:before="0" w:after="0" w:line="240" w:lineRule="auto"/>
      </w:pPr>
      <w:rPr>
        <w:b/>
        <w:bCs/>
      </w:rPr>
      <w:tblPr/>
      <w:tcPr>
        <w:tcBorders>
          <w:top w:val="double" w:sz="6"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tcPr>
    </w:tblStylePr>
    <w:tblStylePr w:type="firstCol">
      <w:rPr>
        <w:b/>
        <w:bCs/>
      </w:rPr>
    </w:tblStylePr>
    <w:tblStylePr w:type="lastCol">
      <w:rPr>
        <w:b/>
        <w:bCs/>
      </w:rPr>
    </w:tblStylePr>
    <w:tblStylePr w:type="band1Vert">
      <w:tblPr/>
      <w:tcPr>
        <w:shd w:val="clear" w:color="auto" w:fill="DBEBD0" w:themeFill="accent6" w:themeFillTint="3F"/>
      </w:tcPr>
    </w:tblStylePr>
    <w:tblStylePr w:type="band1Horz">
      <w:tblPr/>
      <w:tcPr>
        <w:tcBorders>
          <w:insideH w:val="nil"/>
          <w:insideV w:val="nil"/>
        </w:tcBorders>
        <w:shd w:val="clear" w:color="auto" w:fill="DBEB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472C4"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472C4" w:themeFill="accent1"/>
      </w:tcPr>
    </w:tblStylePr>
    <w:tblStylePr w:type="lastCol">
      <w:rPr>
        <w:b/>
        <w:bCs/>
        <w:color w:val="FFFFFF" w:themeColor="background1"/>
      </w:rPr>
      <w:tblPr/>
      <w:tcPr>
        <w:tcBorders>
          <w:left w:val="nil"/>
          <w:right w:val="nil"/>
          <w:insideH w:val="nil"/>
          <w:insideV w:val="nil"/>
        </w:tcBorders>
        <w:shd w:val="clear" w:color="auto" w:fill="4472C4"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ED7D31"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ED7D31" w:themeFill="accent2"/>
      </w:tcPr>
    </w:tblStylePr>
    <w:tblStylePr w:type="lastCol">
      <w:rPr>
        <w:b/>
        <w:bCs/>
        <w:color w:val="FFFFFF" w:themeColor="background1"/>
      </w:rPr>
      <w:tblPr/>
      <w:tcPr>
        <w:tcBorders>
          <w:left w:val="nil"/>
          <w:right w:val="nil"/>
          <w:insideH w:val="nil"/>
          <w:insideV w:val="nil"/>
        </w:tcBorders>
        <w:shd w:val="clear" w:color="auto" w:fill="ED7D31"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A5A5A5" w:themeFill="accent3"/>
      </w:tcPr>
    </w:tblStylePr>
    <w:tblStylePr w:type="lastCol">
      <w:rPr>
        <w:b/>
        <w:bCs/>
        <w:color w:val="FFFFFF" w:themeColor="background1"/>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FC000"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FC000" w:themeFill="accent4"/>
      </w:tcPr>
    </w:tblStylePr>
    <w:tblStylePr w:type="lastCol">
      <w:rPr>
        <w:b/>
        <w:bCs/>
        <w:color w:val="FFFFFF" w:themeColor="background1"/>
      </w:rPr>
      <w:tblPr/>
      <w:tcPr>
        <w:tcBorders>
          <w:left w:val="nil"/>
          <w:right w:val="nil"/>
          <w:insideH w:val="nil"/>
          <w:insideV w:val="nil"/>
        </w:tcBorders>
        <w:shd w:val="clear" w:color="auto" w:fill="FFC000"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5B9BD5"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5B9BD5" w:themeFill="accent5"/>
      </w:tcPr>
    </w:tblStylePr>
    <w:tblStylePr w:type="lastCol">
      <w:rPr>
        <w:b/>
        <w:bCs/>
        <w:color w:val="FFFFFF" w:themeColor="background1"/>
      </w:rPr>
      <w:tblPr/>
      <w:tcPr>
        <w:tcBorders>
          <w:left w:val="nil"/>
          <w:right w:val="nil"/>
          <w:insideH w:val="nil"/>
          <w:insideV w:val="nil"/>
        </w:tcBorders>
        <w:shd w:val="clear" w:color="auto" w:fill="5B9BD5"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70AD47"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70AD47" w:themeFill="accent6"/>
      </w:tcPr>
    </w:tblStylePr>
    <w:tblStylePr w:type="lastCol">
      <w:rPr>
        <w:b/>
        <w:bCs/>
        <w:color w:val="FFFFFF" w:themeColor="background1"/>
      </w:rPr>
      <w:tblPr/>
      <w:tcPr>
        <w:tcBorders>
          <w:left w:val="nil"/>
          <w:right w:val="nil"/>
          <w:insideH w:val="nil"/>
          <w:insideV w:val="nil"/>
        </w:tcBorders>
        <w:shd w:val="clear" w:color="auto" w:fill="70AD47"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44546A"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Borders>
        <w:top w:val="single" w:sz="8" w:space="0" w:color="4472C4" w:themeColor="accent1"/>
        <w:bottom w:val="single" w:sz="8" w:space="0" w:color="4472C4" w:themeColor="accent1"/>
      </w:tblBorders>
    </w:tblPr>
    <w:tblStylePr w:type="firstRow">
      <w:rPr>
        <w:rFonts w:asciiTheme="majorHAnsi" w:eastAsiaTheme="majorEastAsia" w:hAnsiTheme="majorHAnsi" w:cstheme="majorBidi"/>
      </w:rPr>
      <w:tblPr/>
      <w:tcPr>
        <w:tcBorders>
          <w:top w:val="nil"/>
          <w:bottom w:val="single" w:sz="8" w:space="0" w:color="4472C4" w:themeColor="accent1"/>
        </w:tcBorders>
      </w:tcPr>
    </w:tblStylePr>
    <w:tblStylePr w:type="lastRow">
      <w:rPr>
        <w:b/>
        <w:bCs/>
        <w:color w:val="44546A" w:themeColor="text2"/>
      </w:rPr>
      <w:tblPr/>
      <w:tcPr>
        <w:tcBorders>
          <w:top w:val="single" w:sz="8" w:space="0" w:color="4472C4" w:themeColor="accent1"/>
          <w:bottom w:val="single" w:sz="8" w:space="0" w:color="4472C4" w:themeColor="accent1"/>
        </w:tcBorders>
      </w:tcPr>
    </w:tblStylePr>
    <w:tblStylePr w:type="firstCol">
      <w:rPr>
        <w:b/>
        <w:bCs/>
      </w:rPr>
    </w:tblStylePr>
    <w:tblStylePr w:type="lastCol">
      <w:rPr>
        <w:b/>
        <w:bCs/>
      </w:rPr>
      <w:tblPr/>
      <w:tcPr>
        <w:tcBorders>
          <w:top w:val="single" w:sz="8" w:space="0" w:color="4472C4" w:themeColor="accent1"/>
          <w:bottom w:val="single" w:sz="8" w:space="0" w:color="4472C4" w:themeColor="accent1"/>
        </w:tcBorders>
      </w:tcPr>
    </w:tblStylePr>
    <w:tblStylePr w:type="band1Vert">
      <w:tblPr/>
      <w:tcPr>
        <w:shd w:val="clear" w:color="auto" w:fill="D0DBF0" w:themeFill="accent1" w:themeFillTint="3F"/>
      </w:tcPr>
    </w:tblStylePr>
    <w:tblStylePr w:type="band1Horz">
      <w:tblPr/>
      <w:tcPr>
        <w:shd w:val="clear" w:color="auto" w:fill="D0DBF0"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Borders>
        <w:top w:val="single" w:sz="8" w:space="0" w:color="ED7D31" w:themeColor="accent2"/>
        <w:bottom w:val="single" w:sz="8" w:space="0" w:color="ED7D31" w:themeColor="accent2"/>
      </w:tblBorders>
    </w:tblPr>
    <w:tblStylePr w:type="firstRow">
      <w:rPr>
        <w:rFonts w:asciiTheme="majorHAnsi" w:eastAsiaTheme="majorEastAsia" w:hAnsiTheme="majorHAnsi" w:cstheme="majorBidi"/>
      </w:rPr>
      <w:tblPr/>
      <w:tcPr>
        <w:tcBorders>
          <w:top w:val="nil"/>
          <w:bottom w:val="single" w:sz="8" w:space="0" w:color="ED7D31" w:themeColor="accent2"/>
        </w:tcBorders>
      </w:tcPr>
    </w:tblStylePr>
    <w:tblStylePr w:type="lastRow">
      <w:rPr>
        <w:b/>
        <w:bCs/>
        <w:color w:val="44546A" w:themeColor="text2"/>
      </w:rPr>
      <w:tblPr/>
      <w:tcPr>
        <w:tcBorders>
          <w:top w:val="single" w:sz="8" w:space="0" w:color="ED7D31" w:themeColor="accent2"/>
          <w:bottom w:val="single" w:sz="8" w:space="0" w:color="ED7D31" w:themeColor="accent2"/>
        </w:tcBorders>
      </w:tcPr>
    </w:tblStylePr>
    <w:tblStylePr w:type="firstCol">
      <w:rPr>
        <w:b/>
        <w:bCs/>
      </w:rPr>
    </w:tblStylePr>
    <w:tblStylePr w:type="lastCol">
      <w:rPr>
        <w:b/>
        <w:bCs/>
      </w:rPr>
      <w:tblPr/>
      <w:tcPr>
        <w:tcBorders>
          <w:top w:val="single" w:sz="8" w:space="0" w:color="ED7D31" w:themeColor="accent2"/>
          <w:bottom w:val="single" w:sz="8" w:space="0" w:color="ED7D31" w:themeColor="accent2"/>
        </w:tcBorders>
      </w:tcPr>
    </w:tblStylePr>
    <w:tblStylePr w:type="band1Vert">
      <w:tblPr/>
      <w:tcPr>
        <w:shd w:val="clear" w:color="auto" w:fill="FADECB" w:themeFill="accent2" w:themeFillTint="3F"/>
      </w:tcPr>
    </w:tblStylePr>
    <w:tblStylePr w:type="band1Horz">
      <w:tblPr/>
      <w:tcPr>
        <w:shd w:val="clear" w:color="auto" w:fill="FADECB"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Borders>
        <w:top w:val="single" w:sz="8" w:space="0" w:color="A5A5A5" w:themeColor="accent3"/>
        <w:bottom w:val="single" w:sz="8" w:space="0" w:color="A5A5A5" w:themeColor="accent3"/>
      </w:tblBorders>
    </w:tblPr>
    <w:tblStylePr w:type="firstRow">
      <w:rPr>
        <w:rFonts w:asciiTheme="majorHAnsi" w:eastAsiaTheme="majorEastAsia" w:hAnsiTheme="majorHAnsi" w:cstheme="majorBidi"/>
      </w:rPr>
      <w:tblPr/>
      <w:tcPr>
        <w:tcBorders>
          <w:top w:val="nil"/>
          <w:bottom w:val="single" w:sz="8" w:space="0" w:color="A5A5A5" w:themeColor="accent3"/>
        </w:tcBorders>
      </w:tcPr>
    </w:tblStylePr>
    <w:tblStylePr w:type="lastRow">
      <w:rPr>
        <w:b/>
        <w:bCs/>
        <w:color w:val="44546A" w:themeColor="text2"/>
      </w:rPr>
      <w:tblPr/>
      <w:tcPr>
        <w:tcBorders>
          <w:top w:val="single" w:sz="8" w:space="0" w:color="A5A5A5" w:themeColor="accent3"/>
          <w:bottom w:val="single" w:sz="8" w:space="0" w:color="A5A5A5" w:themeColor="accent3"/>
        </w:tcBorders>
      </w:tcPr>
    </w:tblStylePr>
    <w:tblStylePr w:type="firstCol">
      <w:rPr>
        <w:b/>
        <w:bCs/>
      </w:rPr>
    </w:tblStylePr>
    <w:tblStylePr w:type="lastCol">
      <w:rPr>
        <w:b/>
        <w:bCs/>
      </w:rPr>
      <w:tblPr/>
      <w:tcPr>
        <w:tcBorders>
          <w:top w:val="single" w:sz="8" w:space="0" w:color="A5A5A5" w:themeColor="accent3"/>
          <w:bottom w:val="single" w:sz="8" w:space="0" w:color="A5A5A5" w:themeColor="accent3"/>
        </w:tcBorders>
      </w:tcPr>
    </w:tblStylePr>
    <w:tblStylePr w:type="band1Vert">
      <w:tblPr/>
      <w:tcPr>
        <w:shd w:val="clear" w:color="auto" w:fill="E8E8E8" w:themeFill="accent3" w:themeFillTint="3F"/>
      </w:tcPr>
    </w:tblStylePr>
    <w:tblStylePr w:type="band1Horz">
      <w:tblPr/>
      <w:tcPr>
        <w:shd w:val="clear" w:color="auto" w:fill="E8E8E8"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Borders>
        <w:top w:val="single" w:sz="8" w:space="0" w:color="FFC000" w:themeColor="accent4"/>
        <w:bottom w:val="single" w:sz="8" w:space="0" w:color="FFC000" w:themeColor="accent4"/>
      </w:tblBorders>
    </w:tblPr>
    <w:tblStylePr w:type="firstRow">
      <w:rPr>
        <w:rFonts w:asciiTheme="majorHAnsi" w:eastAsiaTheme="majorEastAsia" w:hAnsiTheme="majorHAnsi" w:cstheme="majorBidi"/>
      </w:rPr>
      <w:tblPr/>
      <w:tcPr>
        <w:tcBorders>
          <w:top w:val="nil"/>
          <w:bottom w:val="single" w:sz="8" w:space="0" w:color="FFC000" w:themeColor="accent4"/>
        </w:tcBorders>
      </w:tcPr>
    </w:tblStylePr>
    <w:tblStylePr w:type="lastRow">
      <w:rPr>
        <w:b/>
        <w:bCs/>
        <w:color w:val="44546A" w:themeColor="text2"/>
      </w:rPr>
      <w:tblPr/>
      <w:tcPr>
        <w:tcBorders>
          <w:top w:val="single" w:sz="8" w:space="0" w:color="FFC000" w:themeColor="accent4"/>
          <w:bottom w:val="single" w:sz="8" w:space="0" w:color="FFC000" w:themeColor="accent4"/>
        </w:tcBorders>
      </w:tcPr>
    </w:tblStylePr>
    <w:tblStylePr w:type="firstCol">
      <w:rPr>
        <w:b/>
        <w:bCs/>
      </w:rPr>
    </w:tblStylePr>
    <w:tblStylePr w:type="lastCol">
      <w:rPr>
        <w:b/>
        <w:bCs/>
      </w:rPr>
      <w:tblPr/>
      <w:tcPr>
        <w:tcBorders>
          <w:top w:val="single" w:sz="8" w:space="0" w:color="FFC000" w:themeColor="accent4"/>
          <w:bottom w:val="single" w:sz="8" w:space="0" w:color="FFC000" w:themeColor="accent4"/>
        </w:tcBorders>
      </w:tcPr>
    </w:tblStylePr>
    <w:tblStylePr w:type="band1Vert">
      <w:tblPr/>
      <w:tcPr>
        <w:shd w:val="clear" w:color="auto" w:fill="FFEFC0" w:themeFill="accent4" w:themeFillTint="3F"/>
      </w:tcPr>
    </w:tblStylePr>
    <w:tblStylePr w:type="band1Horz">
      <w:tblPr/>
      <w:tcPr>
        <w:shd w:val="clear" w:color="auto" w:fill="FFEFC0"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Borders>
        <w:top w:val="single" w:sz="8" w:space="0" w:color="5B9BD5" w:themeColor="accent5"/>
        <w:bottom w:val="single" w:sz="8" w:space="0" w:color="5B9BD5" w:themeColor="accent5"/>
      </w:tblBorders>
    </w:tblPr>
    <w:tblStylePr w:type="firstRow">
      <w:rPr>
        <w:rFonts w:asciiTheme="majorHAnsi" w:eastAsiaTheme="majorEastAsia" w:hAnsiTheme="majorHAnsi" w:cstheme="majorBidi"/>
      </w:rPr>
      <w:tblPr/>
      <w:tcPr>
        <w:tcBorders>
          <w:top w:val="nil"/>
          <w:bottom w:val="single" w:sz="8" w:space="0" w:color="5B9BD5" w:themeColor="accent5"/>
        </w:tcBorders>
      </w:tcPr>
    </w:tblStylePr>
    <w:tblStylePr w:type="lastRow">
      <w:rPr>
        <w:b/>
        <w:bCs/>
        <w:color w:val="44546A" w:themeColor="text2"/>
      </w:rPr>
      <w:tblPr/>
      <w:tcPr>
        <w:tcBorders>
          <w:top w:val="single" w:sz="8" w:space="0" w:color="5B9BD5" w:themeColor="accent5"/>
          <w:bottom w:val="single" w:sz="8" w:space="0" w:color="5B9BD5" w:themeColor="accent5"/>
        </w:tcBorders>
      </w:tcPr>
    </w:tblStylePr>
    <w:tblStylePr w:type="firstCol">
      <w:rPr>
        <w:b/>
        <w:bCs/>
      </w:rPr>
    </w:tblStylePr>
    <w:tblStylePr w:type="lastCol">
      <w:rPr>
        <w:b/>
        <w:bCs/>
      </w:rPr>
      <w:tblPr/>
      <w:tcPr>
        <w:tcBorders>
          <w:top w:val="single" w:sz="8" w:space="0" w:color="5B9BD5" w:themeColor="accent5"/>
          <w:bottom w:val="single" w:sz="8" w:space="0" w:color="5B9BD5" w:themeColor="accent5"/>
        </w:tcBorders>
      </w:tcPr>
    </w:tblStylePr>
    <w:tblStylePr w:type="band1Vert">
      <w:tblPr/>
      <w:tcPr>
        <w:shd w:val="clear" w:color="auto" w:fill="D6E6F4" w:themeFill="accent5" w:themeFillTint="3F"/>
      </w:tcPr>
    </w:tblStylePr>
    <w:tblStylePr w:type="band1Horz">
      <w:tblPr/>
      <w:tcPr>
        <w:shd w:val="clear" w:color="auto" w:fill="D6E6F4"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Borders>
        <w:top w:val="single" w:sz="8" w:space="0" w:color="70AD47" w:themeColor="accent6"/>
        <w:bottom w:val="single" w:sz="8" w:space="0" w:color="70AD47" w:themeColor="accent6"/>
      </w:tblBorders>
    </w:tblPr>
    <w:tblStylePr w:type="firstRow">
      <w:rPr>
        <w:rFonts w:asciiTheme="majorHAnsi" w:eastAsiaTheme="majorEastAsia" w:hAnsiTheme="majorHAnsi" w:cstheme="majorBidi"/>
      </w:rPr>
      <w:tblPr/>
      <w:tcPr>
        <w:tcBorders>
          <w:top w:val="nil"/>
          <w:bottom w:val="single" w:sz="8" w:space="0" w:color="70AD47" w:themeColor="accent6"/>
        </w:tcBorders>
      </w:tcPr>
    </w:tblStylePr>
    <w:tblStylePr w:type="lastRow">
      <w:rPr>
        <w:b/>
        <w:bCs/>
        <w:color w:val="44546A" w:themeColor="text2"/>
      </w:rPr>
      <w:tblPr/>
      <w:tcPr>
        <w:tcBorders>
          <w:top w:val="single" w:sz="8" w:space="0" w:color="70AD47" w:themeColor="accent6"/>
          <w:bottom w:val="single" w:sz="8" w:space="0" w:color="70AD47" w:themeColor="accent6"/>
        </w:tcBorders>
      </w:tcPr>
    </w:tblStylePr>
    <w:tblStylePr w:type="firstCol">
      <w:rPr>
        <w:b/>
        <w:bCs/>
      </w:rPr>
    </w:tblStylePr>
    <w:tblStylePr w:type="lastCol">
      <w:rPr>
        <w:b/>
        <w:bCs/>
      </w:rPr>
      <w:tblPr/>
      <w:tcPr>
        <w:tcBorders>
          <w:top w:val="single" w:sz="8" w:space="0" w:color="70AD47" w:themeColor="accent6"/>
          <w:bottom w:val="single" w:sz="8" w:space="0" w:color="70AD47" w:themeColor="accent6"/>
        </w:tcBorders>
      </w:tcPr>
    </w:tblStylePr>
    <w:tblStylePr w:type="band1Vert">
      <w:tblPr/>
      <w:tcPr>
        <w:shd w:val="clear" w:color="auto" w:fill="DBEBD0" w:themeFill="accent6" w:themeFillTint="3F"/>
      </w:tcPr>
    </w:tblStylePr>
    <w:tblStylePr w:type="band1Horz">
      <w:tblPr/>
      <w:tcPr>
        <w:shd w:val="clear" w:color="auto" w:fill="DBEB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tblBorders>
    </w:tblPr>
    <w:tblStylePr w:type="firstRow">
      <w:rPr>
        <w:sz w:val="24"/>
        <w:szCs w:val="24"/>
      </w:rPr>
      <w:tblPr/>
      <w:tcPr>
        <w:tcBorders>
          <w:top w:val="nil"/>
          <w:left w:val="nil"/>
          <w:bottom w:val="single" w:sz="24" w:space="0" w:color="4472C4" w:themeColor="accent1"/>
          <w:right w:val="nil"/>
          <w:insideH w:val="nil"/>
          <w:insideV w:val="nil"/>
        </w:tcBorders>
        <w:shd w:val="clear" w:color="auto" w:fill="FFFFFF" w:themeFill="background1"/>
      </w:tcPr>
    </w:tblStylePr>
    <w:tblStylePr w:type="lastRow">
      <w:tblPr/>
      <w:tcPr>
        <w:tcBorders>
          <w:top w:val="single" w:sz="8" w:space="0" w:color="4472C4"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472C4" w:themeColor="accent1"/>
          <w:insideH w:val="nil"/>
          <w:insideV w:val="nil"/>
        </w:tcBorders>
        <w:shd w:val="clear" w:color="auto" w:fill="FFFFFF" w:themeFill="background1"/>
      </w:tcPr>
    </w:tblStylePr>
    <w:tblStylePr w:type="lastCol">
      <w:tblPr/>
      <w:tcPr>
        <w:tcBorders>
          <w:top w:val="nil"/>
          <w:left w:val="single" w:sz="8" w:space="0" w:color="4472C4"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0DBF0" w:themeFill="accent1" w:themeFillTint="3F"/>
      </w:tcPr>
    </w:tblStylePr>
    <w:tblStylePr w:type="band1Horz">
      <w:tblPr/>
      <w:tcPr>
        <w:tcBorders>
          <w:top w:val="nil"/>
          <w:bottom w:val="nil"/>
          <w:insideH w:val="nil"/>
          <w:insideV w:val="nil"/>
        </w:tcBorders>
        <w:shd w:val="clear" w:color="auto" w:fill="D0DBF0"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tblBorders>
    </w:tblPr>
    <w:tblStylePr w:type="firstRow">
      <w:rPr>
        <w:sz w:val="24"/>
        <w:szCs w:val="24"/>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tblPr/>
      <w:tcPr>
        <w:tcBorders>
          <w:top w:val="single" w:sz="8" w:space="0" w:color="ED7D31"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ED7D31" w:themeColor="accent2"/>
          <w:insideH w:val="nil"/>
          <w:insideV w:val="nil"/>
        </w:tcBorders>
        <w:shd w:val="clear" w:color="auto" w:fill="FFFFFF" w:themeFill="background1"/>
      </w:tcPr>
    </w:tblStylePr>
    <w:tblStylePr w:type="lastCol">
      <w:tblPr/>
      <w:tcPr>
        <w:tcBorders>
          <w:top w:val="nil"/>
          <w:left w:val="single" w:sz="8" w:space="0" w:color="ED7D31"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ADECB" w:themeFill="accent2" w:themeFillTint="3F"/>
      </w:tcPr>
    </w:tblStylePr>
    <w:tblStylePr w:type="band1Horz">
      <w:tblPr/>
      <w:tcPr>
        <w:tcBorders>
          <w:top w:val="nil"/>
          <w:bottom w:val="nil"/>
          <w:insideH w:val="nil"/>
          <w:insideV w:val="nil"/>
        </w:tcBorders>
        <w:shd w:val="clear" w:color="auto" w:fill="FADECB"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rPr>
        <w:sz w:val="24"/>
        <w:szCs w:val="24"/>
      </w:rPr>
      <w:tblPr/>
      <w:tcPr>
        <w:tcBorders>
          <w:top w:val="nil"/>
          <w:left w:val="nil"/>
          <w:bottom w:val="single" w:sz="24" w:space="0" w:color="A5A5A5" w:themeColor="accent3"/>
          <w:right w:val="nil"/>
          <w:insideH w:val="nil"/>
          <w:insideV w:val="nil"/>
        </w:tcBorders>
        <w:shd w:val="clear" w:color="auto" w:fill="FFFFFF" w:themeFill="background1"/>
      </w:tcPr>
    </w:tblStylePr>
    <w:tblStylePr w:type="lastRow">
      <w:tblPr/>
      <w:tcPr>
        <w:tcBorders>
          <w:top w:val="single" w:sz="8" w:space="0" w:color="A5A5A5"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A5A5A5" w:themeColor="accent3"/>
          <w:insideH w:val="nil"/>
          <w:insideV w:val="nil"/>
        </w:tcBorders>
        <w:shd w:val="clear" w:color="auto" w:fill="FFFFFF" w:themeFill="background1"/>
      </w:tcPr>
    </w:tblStylePr>
    <w:tblStylePr w:type="lastCol">
      <w:tblPr/>
      <w:tcPr>
        <w:tcBorders>
          <w:top w:val="nil"/>
          <w:left w:val="single" w:sz="8" w:space="0" w:color="A5A5A5"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top w:val="nil"/>
          <w:bottom w:val="nil"/>
          <w:insideH w:val="nil"/>
          <w:insideV w:val="nil"/>
        </w:tcBorders>
        <w:shd w:val="clear" w:color="auto" w:fill="E8E8E8"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rPr>
        <w:sz w:val="24"/>
        <w:szCs w:val="24"/>
      </w:rPr>
      <w:tblPr/>
      <w:tcPr>
        <w:tcBorders>
          <w:top w:val="nil"/>
          <w:left w:val="nil"/>
          <w:bottom w:val="single" w:sz="24" w:space="0" w:color="FFC000" w:themeColor="accent4"/>
          <w:right w:val="nil"/>
          <w:insideH w:val="nil"/>
          <w:insideV w:val="nil"/>
        </w:tcBorders>
        <w:shd w:val="clear" w:color="auto" w:fill="FFFFFF" w:themeFill="background1"/>
      </w:tcPr>
    </w:tblStylePr>
    <w:tblStylePr w:type="lastRow">
      <w:tblPr/>
      <w:tcPr>
        <w:tcBorders>
          <w:top w:val="single" w:sz="8" w:space="0" w:color="FFC000"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FC000" w:themeColor="accent4"/>
          <w:insideH w:val="nil"/>
          <w:insideV w:val="nil"/>
        </w:tcBorders>
        <w:shd w:val="clear" w:color="auto" w:fill="FFFFFF" w:themeFill="background1"/>
      </w:tcPr>
    </w:tblStylePr>
    <w:tblStylePr w:type="lastCol">
      <w:tblPr/>
      <w:tcPr>
        <w:tcBorders>
          <w:top w:val="nil"/>
          <w:left w:val="single" w:sz="8" w:space="0" w:color="FFC000"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top w:val="nil"/>
          <w:bottom w:val="nil"/>
          <w:insideH w:val="nil"/>
          <w:insideV w:val="nil"/>
        </w:tcBorders>
        <w:shd w:val="clear" w:color="auto" w:fill="FFEFC0"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tblBorders>
    </w:tblPr>
    <w:tblStylePr w:type="firstRow">
      <w:rPr>
        <w:sz w:val="24"/>
        <w:szCs w:val="24"/>
      </w:rPr>
      <w:tblPr/>
      <w:tcPr>
        <w:tcBorders>
          <w:top w:val="nil"/>
          <w:left w:val="nil"/>
          <w:bottom w:val="single" w:sz="24" w:space="0" w:color="5B9BD5" w:themeColor="accent5"/>
          <w:right w:val="nil"/>
          <w:insideH w:val="nil"/>
          <w:insideV w:val="nil"/>
        </w:tcBorders>
        <w:shd w:val="clear" w:color="auto" w:fill="FFFFFF" w:themeFill="background1"/>
      </w:tcPr>
    </w:tblStylePr>
    <w:tblStylePr w:type="lastRow">
      <w:tblPr/>
      <w:tcPr>
        <w:tcBorders>
          <w:top w:val="single" w:sz="8" w:space="0" w:color="5B9BD5"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5B9BD5" w:themeColor="accent5"/>
          <w:insideH w:val="nil"/>
          <w:insideV w:val="nil"/>
        </w:tcBorders>
        <w:shd w:val="clear" w:color="auto" w:fill="FFFFFF" w:themeFill="background1"/>
      </w:tcPr>
    </w:tblStylePr>
    <w:tblStylePr w:type="lastCol">
      <w:tblPr/>
      <w:tcPr>
        <w:tcBorders>
          <w:top w:val="nil"/>
          <w:left w:val="single" w:sz="8" w:space="0" w:color="5B9BD5"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6E6F4" w:themeFill="accent5" w:themeFillTint="3F"/>
      </w:tcPr>
    </w:tblStylePr>
    <w:tblStylePr w:type="band1Horz">
      <w:tblPr/>
      <w:tcPr>
        <w:tcBorders>
          <w:top w:val="nil"/>
          <w:bottom w:val="nil"/>
          <w:insideH w:val="nil"/>
          <w:insideV w:val="nil"/>
        </w:tcBorders>
        <w:shd w:val="clear" w:color="auto" w:fill="D6E6F4"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rPr>
        <w:sz w:val="24"/>
        <w:szCs w:val="24"/>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tblPr/>
      <w:tcPr>
        <w:tcBorders>
          <w:top w:val="single" w:sz="8" w:space="0" w:color="70AD47"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70AD47" w:themeColor="accent6"/>
          <w:insideH w:val="nil"/>
          <w:insideV w:val="nil"/>
        </w:tcBorders>
        <w:shd w:val="clear" w:color="auto" w:fill="FFFFFF" w:themeFill="background1"/>
      </w:tcPr>
    </w:tblStylePr>
    <w:tblStylePr w:type="lastCol">
      <w:tblPr/>
      <w:tcPr>
        <w:tcBorders>
          <w:top w:val="nil"/>
          <w:left w:val="single" w:sz="8" w:space="0" w:color="70AD47"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BEBD0" w:themeFill="accent6" w:themeFillTint="3F"/>
      </w:tcPr>
    </w:tblStylePr>
    <w:tblStylePr w:type="band1Horz">
      <w:tblPr/>
      <w:tcPr>
        <w:tcBorders>
          <w:top w:val="nil"/>
          <w:bottom w:val="nil"/>
          <w:insideH w:val="nil"/>
          <w:insideV w:val="nil"/>
        </w:tcBorders>
        <w:shd w:val="clear" w:color="auto" w:fill="DBEB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single" w:sz="8" w:space="0" w:color="7295D2" w:themeColor="accent1" w:themeTint="BF"/>
        <w:insideV w:val="single" w:sz="8" w:space="0" w:color="7295D2" w:themeColor="accent1" w:themeTint="BF"/>
      </w:tblBorders>
    </w:tblPr>
    <w:tcPr>
      <w:shd w:val="clear" w:color="auto" w:fill="D0DBF0" w:themeFill="accent1" w:themeFillTint="3F"/>
    </w:tcPr>
    <w:tblStylePr w:type="firstRow">
      <w:rPr>
        <w:b/>
        <w:bCs/>
      </w:rPr>
    </w:tblStylePr>
    <w:tblStylePr w:type="lastRow">
      <w:rPr>
        <w:b/>
        <w:bCs/>
      </w:rPr>
      <w:tblPr/>
      <w:tcPr>
        <w:tcBorders>
          <w:top w:val="single" w:sz="18" w:space="0" w:color="7295D2" w:themeColor="accent1" w:themeTint="BF"/>
        </w:tcBorders>
      </w:tcPr>
    </w:tblStylePr>
    <w:tblStylePr w:type="firstCol">
      <w:rPr>
        <w:b/>
        <w:bCs/>
      </w:rPr>
    </w:tblStylePr>
    <w:tblStylePr w:type="lastCol">
      <w:rPr>
        <w:b/>
        <w:bCs/>
      </w:rPr>
    </w:tblStylePr>
    <w:tblStylePr w:type="band1Vert">
      <w:tblPr/>
      <w:tcPr>
        <w:shd w:val="clear" w:color="auto" w:fill="A1B8E1" w:themeFill="accent1" w:themeFillTint="7F"/>
      </w:tcPr>
    </w:tblStylePr>
    <w:tblStylePr w:type="band1Horz">
      <w:tblPr/>
      <w:tcPr>
        <w:shd w:val="clear" w:color="auto" w:fill="A1B8E1"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single" w:sz="8" w:space="0" w:color="F19D64" w:themeColor="accent2" w:themeTint="BF"/>
        <w:insideV w:val="single" w:sz="8" w:space="0" w:color="F19D64" w:themeColor="accent2" w:themeTint="BF"/>
      </w:tblBorders>
    </w:tblPr>
    <w:tcPr>
      <w:shd w:val="clear" w:color="auto" w:fill="FADECB" w:themeFill="accent2" w:themeFillTint="3F"/>
    </w:tcPr>
    <w:tblStylePr w:type="firstRow">
      <w:rPr>
        <w:b/>
        <w:bCs/>
      </w:rPr>
    </w:tblStylePr>
    <w:tblStylePr w:type="lastRow">
      <w:rPr>
        <w:b/>
        <w:bCs/>
      </w:rPr>
      <w:tblPr/>
      <w:tcPr>
        <w:tcBorders>
          <w:top w:val="single" w:sz="18" w:space="0" w:color="F19D64" w:themeColor="accent2" w:themeTint="BF"/>
        </w:tcBorders>
      </w:tcPr>
    </w:tblStylePr>
    <w:tblStylePr w:type="firstCol">
      <w:rPr>
        <w:b/>
        <w:bCs/>
      </w:rPr>
    </w:tblStylePr>
    <w:tblStylePr w:type="lastCol">
      <w:rPr>
        <w:b/>
        <w:bCs/>
      </w:rPr>
    </w:tblStylePr>
    <w:tblStylePr w:type="band1Vert">
      <w:tblPr/>
      <w:tcPr>
        <w:shd w:val="clear" w:color="auto" w:fill="F6BE98" w:themeFill="accent2" w:themeFillTint="7F"/>
      </w:tcPr>
    </w:tblStylePr>
    <w:tblStylePr w:type="band1Horz">
      <w:tblPr/>
      <w:tcPr>
        <w:shd w:val="clear" w:color="auto" w:fill="F6BE98"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insideV w:val="single" w:sz="8" w:space="0" w:color="BBBBBB" w:themeColor="accent3" w:themeTint="BF"/>
      </w:tblBorders>
    </w:tblPr>
    <w:tcPr>
      <w:shd w:val="clear" w:color="auto" w:fill="E8E8E8" w:themeFill="accent3" w:themeFillTint="3F"/>
    </w:tcPr>
    <w:tblStylePr w:type="firstRow">
      <w:rPr>
        <w:b/>
        <w:bCs/>
      </w:rPr>
    </w:tblStylePr>
    <w:tblStylePr w:type="lastRow">
      <w:rPr>
        <w:b/>
        <w:bCs/>
      </w:rPr>
      <w:tblPr/>
      <w:tcPr>
        <w:tcBorders>
          <w:top w:val="single" w:sz="18" w:space="0" w:color="BBBBBB" w:themeColor="accent3" w:themeTint="BF"/>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insideV w:val="single" w:sz="8" w:space="0" w:color="FFCF40" w:themeColor="accent4" w:themeTint="BF"/>
      </w:tblBorders>
    </w:tblPr>
    <w:tcPr>
      <w:shd w:val="clear" w:color="auto" w:fill="FFEFC0" w:themeFill="accent4" w:themeFillTint="3F"/>
    </w:tcPr>
    <w:tblStylePr w:type="firstRow">
      <w:rPr>
        <w:b/>
        <w:bCs/>
      </w:rPr>
    </w:tblStylePr>
    <w:tblStylePr w:type="lastRow">
      <w:rPr>
        <w:b/>
        <w:bCs/>
      </w:rPr>
      <w:tblPr/>
      <w:tcPr>
        <w:tcBorders>
          <w:top w:val="single" w:sz="18" w:space="0" w:color="FFCF40" w:themeColor="accent4" w:themeTint="BF"/>
        </w:tcBorders>
      </w:tcPr>
    </w:tblStylePr>
    <w:tblStylePr w:type="firstCol">
      <w:rPr>
        <w:b/>
        <w:bCs/>
      </w:rPr>
    </w:tblStylePr>
    <w:tblStylePr w:type="lastCol">
      <w:rPr>
        <w:b/>
        <w:bCs/>
      </w:rPr>
    </w:tblStylePr>
    <w:tblStylePr w:type="band1Vert">
      <w:tblPr/>
      <w:tcPr>
        <w:shd w:val="clear" w:color="auto" w:fill="FFDF80" w:themeFill="accent4" w:themeFillTint="7F"/>
      </w:tcPr>
    </w:tblStylePr>
    <w:tblStylePr w:type="band1Horz">
      <w:tblPr/>
      <w:tcPr>
        <w:shd w:val="clear" w:color="auto" w:fill="FFDF8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single" w:sz="8" w:space="0" w:color="84B3DF" w:themeColor="accent5" w:themeTint="BF"/>
        <w:insideV w:val="single" w:sz="8" w:space="0" w:color="84B3DF" w:themeColor="accent5" w:themeTint="BF"/>
      </w:tblBorders>
    </w:tblPr>
    <w:tcPr>
      <w:shd w:val="clear" w:color="auto" w:fill="D6E6F4" w:themeFill="accent5" w:themeFillTint="3F"/>
    </w:tcPr>
    <w:tblStylePr w:type="firstRow">
      <w:rPr>
        <w:b/>
        <w:bCs/>
      </w:rPr>
    </w:tblStylePr>
    <w:tblStylePr w:type="lastRow">
      <w:rPr>
        <w:b/>
        <w:bCs/>
      </w:rPr>
      <w:tblPr/>
      <w:tcPr>
        <w:tcBorders>
          <w:top w:val="single" w:sz="18" w:space="0" w:color="84B3DF" w:themeColor="accent5" w:themeTint="BF"/>
        </w:tcBorders>
      </w:tcPr>
    </w:tblStylePr>
    <w:tblStylePr w:type="firstCol">
      <w:rPr>
        <w:b/>
        <w:bCs/>
      </w:rPr>
    </w:tblStylePr>
    <w:tblStylePr w:type="lastCol">
      <w:rPr>
        <w:b/>
        <w:bCs/>
      </w:rPr>
    </w:tblStylePr>
    <w:tblStylePr w:type="band1Vert">
      <w:tblPr/>
      <w:tcPr>
        <w:shd w:val="clear" w:color="auto" w:fill="ADCCEA" w:themeFill="accent5" w:themeFillTint="7F"/>
      </w:tcPr>
    </w:tblStylePr>
    <w:tblStylePr w:type="band1Horz">
      <w:tblPr/>
      <w:tcPr>
        <w:shd w:val="clear" w:color="auto" w:fill="ADCCEA"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insideV w:val="single" w:sz="8" w:space="0" w:color="93C571" w:themeColor="accent6" w:themeTint="BF"/>
      </w:tblBorders>
    </w:tblPr>
    <w:tcPr>
      <w:shd w:val="clear" w:color="auto" w:fill="DBEBD0" w:themeFill="accent6" w:themeFillTint="3F"/>
    </w:tcPr>
    <w:tblStylePr w:type="firstRow">
      <w:rPr>
        <w:b/>
        <w:bCs/>
      </w:rPr>
    </w:tblStylePr>
    <w:tblStylePr w:type="lastRow">
      <w:rPr>
        <w:b/>
        <w:bCs/>
      </w:rPr>
      <w:tblPr/>
      <w:tcPr>
        <w:tcBorders>
          <w:top w:val="single" w:sz="18" w:space="0" w:color="93C571" w:themeColor="accent6" w:themeTint="BF"/>
        </w:tcBorders>
      </w:tcPr>
    </w:tblStylePr>
    <w:tblStylePr w:type="firstCol">
      <w:rPr>
        <w:b/>
        <w:bCs/>
      </w:rPr>
    </w:tblStylePr>
    <w:tblStylePr w:type="lastCol">
      <w:rPr>
        <w:b/>
        <w:bCs/>
      </w:rPr>
    </w:tblStylePr>
    <w:tblStylePr w:type="band1Vert">
      <w:tblPr/>
      <w:tcPr>
        <w:shd w:val="clear" w:color="auto" w:fill="B7D8A0" w:themeFill="accent6" w:themeFillTint="7F"/>
      </w:tcPr>
    </w:tblStylePr>
    <w:tblStylePr w:type="band1Horz">
      <w:tblPr/>
      <w:tcPr>
        <w:shd w:val="clear" w:color="auto" w:fill="B7D8A0"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insideH w:val="single" w:sz="8" w:space="0" w:color="4472C4" w:themeColor="accent1"/>
        <w:insideV w:val="single" w:sz="8" w:space="0" w:color="4472C4" w:themeColor="accent1"/>
      </w:tblBorders>
    </w:tblPr>
    <w:tcPr>
      <w:shd w:val="clear" w:color="auto" w:fill="D0DBF0" w:themeFill="accent1" w:themeFillTint="3F"/>
    </w:tcPr>
    <w:tblStylePr w:type="firstRow">
      <w:rPr>
        <w:b/>
        <w:bCs/>
        <w:color w:val="000000" w:themeColor="text1"/>
      </w:rPr>
      <w:tblPr/>
      <w:tcPr>
        <w:shd w:val="clear" w:color="auto" w:fill="ECF1F9"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9E2F3" w:themeFill="accent1" w:themeFillTint="33"/>
      </w:tcPr>
    </w:tblStylePr>
    <w:tblStylePr w:type="band1Vert">
      <w:tblPr/>
      <w:tcPr>
        <w:shd w:val="clear" w:color="auto" w:fill="A1B8E1" w:themeFill="accent1" w:themeFillTint="7F"/>
      </w:tcPr>
    </w:tblStylePr>
    <w:tblStylePr w:type="band1Horz">
      <w:tblPr/>
      <w:tcPr>
        <w:tcBorders>
          <w:insideH w:val="single" w:sz="6" w:space="0" w:color="4472C4" w:themeColor="accent1"/>
          <w:insideV w:val="single" w:sz="6" w:space="0" w:color="4472C4" w:themeColor="accent1"/>
        </w:tcBorders>
        <w:shd w:val="clear" w:color="auto" w:fill="A1B8E1"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insideH w:val="single" w:sz="8" w:space="0" w:color="ED7D31" w:themeColor="accent2"/>
        <w:insideV w:val="single" w:sz="8" w:space="0" w:color="ED7D31" w:themeColor="accent2"/>
      </w:tblBorders>
    </w:tblPr>
    <w:tcPr>
      <w:shd w:val="clear" w:color="auto" w:fill="FADECB" w:themeFill="accent2" w:themeFillTint="3F"/>
    </w:tcPr>
    <w:tblStylePr w:type="firstRow">
      <w:rPr>
        <w:b/>
        <w:bCs/>
        <w:color w:val="000000" w:themeColor="text1"/>
      </w:rPr>
      <w:tblPr/>
      <w:tcPr>
        <w:shd w:val="clear" w:color="auto" w:fill="FDF2EA"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BE4D5" w:themeFill="accent2" w:themeFillTint="33"/>
      </w:tcPr>
    </w:tblStylePr>
    <w:tblStylePr w:type="band1Vert">
      <w:tblPr/>
      <w:tcPr>
        <w:shd w:val="clear" w:color="auto" w:fill="F6BE98" w:themeFill="accent2" w:themeFillTint="7F"/>
      </w:tcPr>
    </w:tblStylePr>
    <w:tblStylePr w:type="band1Horz">
      <w:tblPr/>
      <w:tcPr>
        <w:tcBorders>
          <w:insideH w:val="single" w:sz="6" w:space="0" w:color="ED7D31" w:themeColor="accent2"/>
          <w:insideV w:val="single" w:sz="6" w:space="0" w:color="ED7D31" w:themeColor="accent2"/>
        </w:tcBorders>
        <w:shd w:val="clear" w:color="auto" w:fill="F6BE98"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insideH w:val="single" w:sz="8" w:space="0" w:color="A5A5A5" w:themeColor="accent3"/>
        <w:insideV w:val="single" w:sz="8" w:space="0" w:color="A5A5A5" w:themeColor="accent3"/>
      </w:tblBorders>
    </w:tblPr>
    <w:tcPr>
      <w:shd w:val="clear" w:color="auto" w:fill="E8E8E8" w:themeFill="accent3" w:themeFillTint="3F"/>
    </w:tcPr>
    <w:tblStylePr w:type="firstRow">
      <w:rPr>
        <w:b/>
        <w:bCs/>
        <w:color w:val="000000" w:themeColor="text1"/>
      </w:rPr>
      <w:tblPr/>
      <w:tcPr>
        <w:shd w:val="clear" w:color="auto" w:fill="F6F6F6"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DEDED" w:themeFill="accent3" w:themeFillTint="33"/>
      </w:tcPr>
    </w:tblStylePr>
    <w:tblStylePr w:type="band1Vert">
      <w:tblPr/>
      <w:tcPr>
        <w:shd w:val="clear" w:color="auto" w:fill="D2D2D2" w:themeFill="accent3" w:themeFillTint="7F"/>
      </w:tcPr>
    </w:tblStylePr>
    <w:tblStylePr w:type="band1Horz">
      <w:tblPr/>
      <w:tcPr>
        <w:tcBorders>
          <w:insideH w:val="single" w:sz="6" w:space="0" w:color="A5A5A5" w:themeColor="accent3"/>
          <w:insideV w:val="single" w:sz="6" w:space="0" w:color="A5A5A5" w:themeColor="accent3"/>
        </w:tcBorders>
        <w:shd w:val="clear" w:color="auto" w:fill="D2D2D2"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insideH w:val="single" w:sz="8" w:space="0" w:color="FFC000" w:themeColor="accent4"/>
        <w:insideV w:val="single" w:sz="8" w:space="0" w:color="FFC000" w:themeColor="accent4"/>
      </w:tblBorders>
    </w:tblPr>
    <w:tcPr>
      <w:shd w:val="clear" w:color="auto" w:fill="FFEFC0" w:themeFill="accent4" w:themeFillTint="3F"/>
    </w:tcPr>
    <w:tblStylePr w:type="firstRow">
      <w:rPr>
        <w:b/>
        <w:bCs/>
        <w:color w:val="000000" w:themeColor="text1"/>
      </w:rPr>
      <w:tblPr/>
      <w:tcPr>
        <w:shd w:val="clear" w:color="auto" w:fill="FFF8E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FF2CC" w:themeFill="accent4" w:themeFillTint="33"/>
      </w:tcPr>
    </w:tblStylePr>
    <w:tblStylePr w:type="band1Vert">
      <w:tblPr/>
      <w:tcPr>
        <w:shd w:val="clear" w:color="auto" w:fill="FFDF80" w:themeFill="accent4" w:themeFillTint="7F"/>
      </w:tcPr>
    </w:tblStylePr>
    <w:tblStylePr w:type="band1Horz">
      <w:tblPr/>
      <w:tcPr>
        <w:tcBorders>
          <w:insideH w:val="single" w:sz="6" w:space="0" w:color="FFC000" w:themeColor="accent4"/>
          <w:insideV w:val="single" w:sz="6" w:space="0" w:color="FFC000" w:themeColor="accent4"/>
        </w:tcBorders>
        <w:shd w:val="clear" w:color="auto" w:fill="FFDF8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insideH w:val="single" w:sz="8" w:space="0" w:color="5B9BD5" w:themeColor="accent5"/>
        <w:insideV w:val="single" w:sz="8" w:space="0" w:color="5B9BD5" w:themeColor="accent5"/>
      </w:tblBorders>
    </w:tblPr>
    <w:tcPr>
      <w:shd w:val="clear" w:color="auto" w:fill="D6E6F4" w:themeFill="accent5" w:themeFillTint="3F"/>
    </w:tcPr>
    <w:tblStylePr w:type="firstRow">
      <w:rPr>
        <w:b/>
        <w:bCs/>
        <w:color w:val="000000" w:themeColor="text1"/>
      </w:rPr>
      <w:tblPr/>
      <w:tcPr>
        <w:shd w:val="clear" w:color="auto" w:fill="EEF5FB"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EEAF6" w:themeFill="accent5" w:themeFillTint="33"/>
      </w:tcPr>
    </w:tblStylePr>
    <w:tblStylePr w:type="band1Vert">
      <w:tblPr/>
      <w:tcPr>
        <w:shd w:val="clear" w:color="auto" w:fill="ADCCEA" w:themeFill="accent5" w:themeFillTint="7F"/>
      </w:tcPr>
    </w:tblStylePr>
    <w:tblStylePr w:type="band1Horz">
      <w:tblPr/>
      <w:tcPr>
        <w:tcBorders>
          <w:insideH w:val="single" w:sz="6" w:space="0" w:color="5B9BD5" w:themeColor="accent5"/>
          <w:insideV w:val="single" w:sz="6" w:space="0" w:color="5B9BD5" w:themeColor="accent5"/>
        </w:tcBorders>
        <w:shd w:val="clear" w:color="auto" w:fill="ADCCEA"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insideH w:val="single" w:sz="8" w:space="0" w:color="70AD47" w:themeColor="accent6"/>
        <w:insideV w:val="single" w:sz="8" w:space="0" w:color="70AD47" w:themeColor="accent6"/>
      </w:tblBorders>
    </w:tblPr>
    <w:tcPr>
      <w:shd w:val="clear" w:color="auto" w:fill="DBEBD0" w:themeFill="accent6" w:themeFillTint="3F"/>
    </w:tcPr>
    <w:tblStylePr w:type="firstRow">
      <w:rPr>
        <w:b/>
        <w:bCs/>
        <w:color w:val="000000" w:themeColor="text1"/>
      </w:rPr>
      <w:tblPr/>
      <w:tcPr>
        <w:shd w:val="clear" w:color="auto" w:fill="F0F7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2EFD9" w:themeFill="accent6" w:themeFillTint="33"/>
      </w:tcPr>
    </w:tblStylePr>
    <w:tblStylePr w:type="band1Vert">
      <w:tblPr/>
      <w:tcPr>
        <w:shd w:val="clear" w:color="auto" w:fill="B7D8A0" w:themeFill="accent6" w:themeFillTint="7F"/>
      </w:tcPr>
    </w:tblStylePr>
    <w:tblStylePr w:type="band1Horz">
      <w:tblPr/>
      <w:tcPr>
        <w:tcBorders>
          <w:insideH w:val="single" w:sz="6" w:space="0" w:color="70AD47" w:themeColor="accent6"/>
          <w:insideV w:val="single" w:sz="6" w:space="0" w:color="70AD47" w:themeColor="accent6"/>
        </w:tcBorders>
        <w:shd w:val="clear" w:color="auto" w:fill="B7D8A0"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0DBF0"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472C4"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472C4"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472C4"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472C4"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1B8E1"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1B8E1"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ADECB"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ED7D31"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ED7D31"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ED7D31"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ED7D31"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6BE98"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6BE98"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8E8E8"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5A5A5"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5A5A5"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2D2D2"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2D2D2"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FEFC0"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FC000"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FC000"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FC000"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FC000"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FDF8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FDF8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E6F4"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5B9BD5"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5B9BD5"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B9BD5"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B9BD5"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CCEA"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DCCEA"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BEB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70AD47"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70AD47"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70AD47"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70AD47"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7D8A0"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7D8A0"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Pr>
    <w:tcPr>
      <w:shd w:val="clear" w:color="auto" w:fill="4472C4"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3763"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2F5496"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2F5496" w:themeFill="accent1" w:themeFillShade="BF"/>
      </w:tcPr>
    </w:tblStylePr>
    <w:tblStylePr w:type="band1Vert">
      <w:tblPr/>
      <w:tcPr>
        <w:tcBorders>
          <w:top w:val="nil"/>
          <w:left w:val="nil"/>
          <w:bottom w:val="nil"/>
          <w:right w:val="nil"/>
          <w:insideH w:val="nil"/>
          <w:insideV w:val="nil"/>
        </w:tcBorders>
        <w:shd w:val="clear" w:color="auto" w:fill="2F5496" w:themeFill="accent1" w:themeFillShade="BF"/>
      </w:tcPr>
    </w:tblStylePr>
    <w:tblStylePr w:type="band1Horz">
      <w:tblPr/>
      <w:tcPr>
        <w:tcBorders>
          <w:top w:val="nil"/>
          <w:left w:val="nil"/>
          <w:bottom w:val="nil"/>
          <w:right w:val="nil"/>
          <w:insideH w:val="nil"/>
          <w:insideV w:val="nil"/>
        </w:tcBorders>
        <w:shd w:val="clear" w:color="auto" w:fill="2F5496"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Pr>
    <w:tcPr>
      <w:shd w:val="clear" w:color="auto" w:fill="ED7D31"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823B0B"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C45911"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C45911" w:themeFill="accent2" w:themeFillShade="BF"/>
      </w:tcPr>
    </w:tblStylePr>
    <w:tblStylePr w:type="band1Vert">
      <w:tblPr/>
      <w:tcPr>
        <w:tcBorders>
          <w:top w:val="nil"/>
          <w:left w:val="nil"/>
          <w:bottom w:val="nil"/>
          <w:right w:val="nil"/>
          <w:insideH w:val="nil"/>
          <w:insideV w:val="nil"/>
        </w:tcBorders>
        <w:shd w:val="clear" w:color="auto" w:fill="C45911" w:themeFill="accent2" w:themeFillShade="BF"/>
      </w:tcPr>
    </w:tblStylePr>
    <w:tblStylePr w:type="band1Horz">
      <w:tblPr/>
      <w:tcPr>
        <w:tcBorders>
          <w:top w:val="nil"/>
          <w:left w:val="nil"/>
          <w:bottom w:val="nil"/>
          <w:right w:val="nil"/>
          <w:insideH w:val="nil"/>
          <w:insideV w:val="nil"/>
        </w:tcBorders>
        <w:shd w:val="clear" w:color="auto" w:fill="C45911"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Pr>
    <w:tcPr>
      <w:shd w:val="clear" w:color="auto" w:fill="A5A5A5"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B7B7B"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Pr>
    <w:tcPr>
      <w:shd w:val="clear" w:color="auto" w:fill="FFC000"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7F5F00"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BF8F00"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BF8F00" w:themeFill="accent4" w:themeFillShade="BF"/>
      </w:tcPr>
    </w:tblStylePr>
    <w:tblStylePr w:type="band1Vert">
      <w:tblPr/>
      <w:tcPr>
        <w:tcBorders>
          <w:top w:val="nil"/>
          <w:left w:val="nil"/>
          <w:bottom w:val="nil"/>
          <w:right w:val="nil"/>
          <w:insideH w:val="nil"/>
          <w:insideV w:val="nil"/>
        </w:tcBorders>
        <w:shd w:val="clear" w:color="auto" w:fill="BF8F00" w:themeFill="accent4" w:themeFillShade="BF"/>
      </w:tcPr>
    </w:tblStylePr>
    <w:tblStylePr w:type="band1Horz">
      <w:tblPr/>
      <w:tcPr>
        <w:tcBorders>
          <w:top w:val="nil"/>
          <w:left w:val="nil"/>
          <w:bottom w:val="nil"/>
          <w:right w:val="nil"/>
          <w:insideH w:val="nil"/>
          <w:insideV w:val="nil"/>
        </w:tcBorders>
        <w:shd w:val="clear" w:color="auto" w:fill="BF8F00"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Pr>
    <w:tcPr>
      <w:shd w:val="clear" w:color="auto" w:fill="5B9BD5"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4D78"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2E74B5"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2E74B5" w:themeFill="accent5" w:themeFillShade="BF"/>
      </w:tcPr>
    </w:tblStylePr>
    <w:tblStylePr w:type="band1Vert">
      <w:tblPr/>
      <w:tcPr>
        <w:tcBorders>
          <w:top w:val="nil"/>
          <w:left w:val="nil"/>
          <w:bottom w:val="nil"/>
          <w:right w:val="nil"/>
          <w:insideH w:val="nil"/>
          <w:insideV w:val="nil"/>
        </w:tcBorders>
        <w:shd w:val="clear" w:color="auto" w:fill="2E74B5" w:themeFill="accent5" w:themeFillShade="BF"/>
      </w:tcPr>
    </w:tblStylePr>
    <w:tblStylePr w:type="band1Horz">
      <w:tblPr/>
      <w:tcPr>
        <w:tcBorders>
          <w:top w:val="nil"/>
          <w:left w:val="nil"/>
          <w:bottom w:val="nil"/>
          <w:right w:val="nil"/>
          <w:insideH w:val="nil"/>
          <w:insideV w:val="nil"/>
        </w:tcBorders>
        <w:shd w:val="clear" w:color="auto" w:fill="2E74B5"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Pr>
    <w:tcPr>
      <w:shd w:val="clear" w:color="auto" w:fill="70AD47"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75623"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538135"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538135" w:themeFill="accent6" w:themeFillShade="BF"/>
      </w:tcPr>
    </w:tblStylePr>
    <w:tblStylePr w:type="band1Vert">
      <w:tblPr/>
      <w:tcPr>
        <w:tcBorders>
          <w:top w:val="nil"/>
          <w:left w:val="nil"/>
          <w:bottom w:val="nil"/>
          <w:right w:val="nil"/>
          <w:insideH w:val="nil"/>
          <w:insideV w:val="nil"/>
        </w:tcBorders>
        <w:shd w:val="clear" w:color="auto" w:fill="538135" w:themeFill="accent6" w:themeFillShade="BF"/>
      </w:tcPr>
    </w:tblStylePr>
    <w:tblStylePr w:type="band1Horz">
      <w:tblPr/>
      <w:tcPr>
        <w:tcBorders>
          <w:top w:val="nil"/>
          <w:left w:val="nil"/>
          <w:bottom w:val="nil"/>
          <w:right w:val="nil"/>
          <w:insideH w:val="nil"/>
          <w:insideV w:val="nil"/>
        </w:tcBorders>
        <w:shd w:val="clear" w:color="auto" w:fill="538135"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4472C4" w:themeColor="accent1"/>
        <w:bottom w:val="single" w:sz="4" w:space="0" w:color="4472C4" w:themeColor="accent1"/>
        <w:right w:val="single" w:sz="4" w:space="0" w:color="4472C4" w:themeColor="accent1"/>
        <w:insideH w:val="single" w:sz="4" w:space="0" w:color="FFFFFF" w:themeColor="background1"/>
        <w:insideV w:val="single" w:sz="4" w:space="0" w:color="FFFFFF" w:themeColor="background1"/>
      </w:tblBorders>
    </w:tblPr>
    <w:tcPr>
      <w:shd w:val="clear" w:color="auto" w:fill="ECF1F9" w:themeFill="accent1"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64378" w:themeFill="accent1" w:themeFillShade="99"/>
      </w:tcPr>
    </w:tblStylePr>
    <w:tblStylePr w:type="firstCol">
      <w:rPr>
        <w:color w:val="FFFFFF" w:themeColor="background1"/>
      </w:rPr>
      <w:tblPr/>
      <w:tcPr>
        <w:tcBorders>
          <w:top w:val="nil"/>
          <w:left w:val="nil"/>
          <w:bottom w:val="nil"/>
          <w:right w:val="nil"/>
          <w:insideH w:val="single" w:sz="4" w:space="0" w:color="264378" w:themeColor="accent1" w:themeShade="99"/>
          <w:insideV w:val="nil"/>
        </w:tcBorders>
        <w:shd w:val="clear" w:color="auto" w:fill="264378"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64378" w:themeFill="accent1" w:themeFillShade="99"/>
      </w:tcPr>
    </w:tblStylePr>
    <w:tblStylePr w:type="band1Vert">
      <w:tblPr/>
      <w:tcPr>
        <w:shd w:val="clear" w:color="auto" w:fill="B4C6E7" w:themeFill="accent1" w:themeFillTint="66"/>
      </w:tcPr>
    </w:tblStylePr>
    <w:tblStylePr w:type="band1Horz">
      <w:tblPr/>
      <w:tcPr>
        <w:shd w:val="clear" w:color="auto" w:fill="A1B8E1"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ED7D31" w:themeColor="accent2"/>
        <w:bottom w:val="single" w:sz="4" w:space="0" w:color="ED7D31" w:themeColor="accent2"/>
        <w:right w:val="single" w:sz="4" w:space="0" w:color="ED7D31" w:themeColor="accent2"/>
        <w:insideH w:val="single" w:sz="4" w:space="0" w:color="FFFFFF" w:themeColor="background1"/>
        <w:insideV w:val="single" w:sz="4" w:space="0" w:color="FFFFFF" w:themeColor="background1"/>
      </w:tblBorders>
    </w:tblPr>
    <w:tcPr>
      <w:shd w:val="clear" w:color="auto" w:fill="FDF2EA" w:themeFill="accent2"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9D470D" w:themeFill="accent2" w:themeFillShade="99"/>
      </w:tcPr>
    </w:tblStylePr>
    <w:tblStylePr w:type="firstCol">
      <w:rPr>
        <w:color w:val="FFFFFF" w:themeColor="background1"/>
      </w:rPr>
      <w:tblPr/>
      <w:tcPr>
        <w:tcBorders>
          <w:top w:val="nil"/>
          <w:left w:val="nil"/>
          <w:bottom w:val="nil"/>
          <w:right w:val="nil"/>
          <w:insideH w:val="single" w:sz="4" w:space="0" w:color="9D470D" w:themeColor="accent2" w:themeShade="99"/>
          <w:insideV w:val="nil"/>
        </w:tcBorders>
        <w:shd w:val="clear" w:color="auto" w:fill="9D470D"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9D470D" w:themeFill="accent2" w:themeFillShade="99"/>
      </w:tcPr>
    </w:tblStylePr>
    <w:tblStylePr w:type="band1Vert">
      <w:tblPr/>
      <w:tcPr>
        <w:shd w:val="clear" w:color="auto" w:fill="F7CAAC" w:themeFill="accent2" w:themeFillTint="66"/>
      </w:tcPr>
    </w:tblStylePr>
    <w:tblStylePr w:type="band1Horz">
      <w:tblPr/>
      <w:tcPr>
        <w:shd w:val="clear" w:color="auto" w:fill="F6BE98"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Borders>
        <w:top w:val="single" w:sz="24" w:space="0" w:color="FFC000" w:themeColor="accent4"/>
        <w:left w:val="single" w:sz="4" w:space="0" w:color="A5A5A5" w:themeColor="accent3"/>
        <w:bottom w:val="single" w:sz="4" w:space="0" w:color="A5A5A5" w:themeColor="accent3"/>
        <w:right w:val="single" w:sz="4" w:space="0" w:color="A5A5A5" w:themeColor="accent3"/>
        <w:insideH w:val="single" w:sz="4" w:space="0" w:color="FFFFFF" w:themeColor="background1"/>
        <w:insideV w:val="single" w:sz="4" w:space="0" w:color="FFFFFF" w:themeColor="background1"/>
      </w:tblBorders>
    </w:tblPr>
    <w:tcPr>
      <w:shd w:val="clear" w:color="auto" w:fill="F6F6F6" w:themeFill="accent3" w:themeFillTint="19"/>
    </w:tcPr>
    <w:tblStylePr w:type="firstRow">
      <w:rPr>
        <w:b/>
        <w:bCs/>
      </w:rPr>
      <w:tblPr/>
      <w:tcPr>
        <w:tcBorders>
          <w:top w:val="nil"/>
          <w:left w:val="nil"/>
          <w:bottom w:val="single" w:sz="24" w:space="0" w:color="FFC000"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636363" w:themeFill="accent3" w:themeFillShade="99"/>
      </w:tcPr>
    </w:tblStylePr>
    <w:tblStylePr w:type="firstCol">
      <w:rPr>
        <w:color w:val="FFFFFF" w:themeColor="background1"/>
      </w:rPr>
      <w:tblPr/>
      <w:tcPr>
        <w:tcBorders>
          <w:top w:val="nil"/>
          <w:left w:val="nil"/>
          <w:bottom w:val="nil"/>
          <w:right w:val="nil"/>
          <w:insideH w:val="single" w:sz="4" w:space="0" w:color="636363" w:themeColor="accent3" w:themeShade="99"/>
          <w:insideV w:val="nil"/>
        </w:tcBorders>
        <w:shd w:val="clear" w:color="auto" w:fill="636363"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636363" w:themeFill="accent3" w:themeFillShade="99"/>
      </w:tcPr>
    </w:tblStylePr>
    <w:tblStylePr w:type="band1Vert">
      <w:tblPr/>
      <w:tcPr>
        <w:shd w:val="clear" w:color="auto" w:fill="DBDBDB" w:themeFill="accent3" w:themeFillTint="66"/>
      </w:tcPr>
    </w:tblStylePr>
    <w:tblStylePr w:type="band1Horz">
      <w:tblPr/>
      <w:tcPr>
        <w:shd w:val="clear" w:color="auto" w:fill="D2D2D2"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Borders>
        <w:top w:val="single" w:sz="24" w:space="0" w:color="A5A5A5" w:themeColor="accent3"/>
        <w:left w:val="single" w:sz="4" w:space="0" w:color="FFC000" w:themeColor="accent4"/>
        <w:bottom w:val="single" w:sz="4" w:space="0" w:color="FFC000" w:themeColor="accent4"/>
        <w:right w:val="single" w:sz="4" w:space="0" w:color="FFC000" w:themeColor="accent4"/>
        <w:insideH w:val="single" w:sz="4" w:space="0" w:color="FFFFFF" w:themeColor="background1"/>
        <w:insideV w:val="single" w:sz="4" w:space="0" w:color="FFFFFF" w:themeColor="background1"/>
      </w:tblBorders>
    </w:tblPr>
    <w:tcPr>
      <w:shd w:val="clear" w:color="auto" w:fill="FFF8E6" w:themeFill="accent4" w:themeFillTint="19"/>
    </w:tcPr>
    <w:tblStylePr w:type="firstRow">
      <w:rPr>
        <w:b/>
        <w:bCs/>
      </w:rPr>
      <w:tblPr/>
      <w:tcPr>
        <w:tcBorders>
          <w:top w:val="nil"/>
          <w:left w:val="nil"/>
          <w:bottom w:val="single" w:sz="24" w:space="0" w:color="A5A5A5"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997300" w:themeFill="accent4" w:themeFillShade="99"/>
      </w:tcPr>
    </w:tblStylePr>
    <w:tblStylePr w:type="firstCol">
      <w:rPr>
        <w:color w:val="FFFFFF" w:themeColor="background1"/>
      </w:rPr>
      <w:tblPr/>
      <w:tcPr>
        <w:tcBorders>
          <w:top w:val="nil"/>
          <w:left w:val="nil"/>
          <w:bottom w:val="nil"/>
          <w:right w:val="nil"/>
          <w:insideH w:val="single" w:sz="4" w:space="0" w:color="997300" w:themeColor="accent4" w:themeShade="99"/>
          <w:insideV w:val="nil"/>
        </w:tcBorders>
        <w:shd w:val="clear" w:color="auto" w:fill="997300"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997300" w:themeFill="accent4" w:themeFillShade="99"/>
      </w:tcPr>
    </w:tblStylePr>
    <w:tblStylePr w:type="band1Vert">
      <w:tblPr/>
      <w:tcPr>
        <w:shd w:val="clear" w:color="auto" w:fill="FFE599" w:themeFill="accent4" w:themeFillTint="66"/>
      </w:tcPr>
    </w:tblStylePr>
    <w:tblStylePr w:type="band1Horz">
      <w:tblPr/>
      <w:tcPr>
        <w:shd w:val="clear" w:color="auto" w:fill="FFDF8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Borders>
        <w:top w:val="single" w:sz="24" w:space="0" w:color="70AD47" w:themeColor="accent6"/>
        <w:left w:val="single" w:sz="4" w:space="0" w:color="5B9BD5" w:themeColor="accent5"/>
        <w:bottom w:val="single" w:sz="4" w:space="0" w:color="5B9BD5" w:themeColor="accent5"/>
        <w:right w:val="single" w:sz="4" w:space="0" w:color="5B9BD5" w:themeColor="accent5"/>
        <w:insideH w:val="single" w:sz="4" w:space="0" w:color="FFFFFF" w:themeColor="background1"/>
        <w:insideV w:val="single" w:sz="4" w:space="0" w:color="FFFFFF" w:themeColor="background1"/>
      </w:tblBorders>
    </w:tblPr>
    <w:tcPr>
      <w:shd w:val="clear" w:color="auto" w:fill="EEF5FB" w:themeFill="accent5" w:themeFillTint="19"/>
    </w:tcPr>
    <w:tblStylePr w:type="firstRow">
      <w:rPr>
        <w:b/>
        <w:bCs/>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55D91" w:themeFill="accent5" w:themeFillShade="99"/>
      </w:tcPr>
    </w:tblStylePr>
    <w:tblStylePr w:type="firstCol">
      <w:rPr>
        <w:color w:val="FFFFFF" w:themeColor="background1"/>
      </w:rPr>
      <w:tblPr/>
      <w:tcPr>
        <w:tcBorders>
          <w:top w:val="nil"/>
          <w:left w:val="nil"/>
          <w:bottom w:val="nil"/>
          <w:right w:val="nil"/>
          <w:insideH w:val="single" w:sz="4" w:space="0" w:color="255D91" w:themeColor="accent5" w:themeShade="99"/>
          <w:insideV w:val="nil"/>
        </w:tcBorders>
        <w:shd w:val="clear" w:color="auto" w:fill="255D91"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55D91" w:themeFill="accent5" w:themeFillShade="99"/>
      </w:tcPr>
    </w:tblStylePr>
    <w:tblStylePr w:type="band1Vert">
      <w:tblPr/>
      <w:tcPr>
        <w:shd w:val="clear" w:color="auto" w:fill="BDD6EE" w:themeFill="accent5" w:themeFillTint="66"/>
      </w:tcPr>
    </w:tblStylePr>
    <w:tblStylePr w:type="band1Horz">
      <w:tblPr/>
      <w:tcPr>
        <w:shd w:val="clear" w:color="auto" w:fill="ADCCEA"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Borders>
        <w:top w:val="single" w:sz="24" w:space="0" w:color="5B9BD5" w:themeColor="accent5"/>
        <w:left w:val="single" w:sz="4" w:space="0" w:color="70AD47" w:themeColor="accent6"/>
        <w:bottom w:val="single" w:sz="4" w:space="0" w:color="70AD47" w:themeColor="accent6"/>
        <w:right w:val="single" w:sz="4" w:space="0" w:color="70AD47" w:themeColor="accent6"/>
        <w:insideH w:val="single" w:sz="4" w:space="0" w:color="FFFFFF" w:themeColor="background1"/>
        <w:insideV w:val="single" w:sz="4" w:space="0" w:color="FFFFFF" w:themeColor="background1"/>
      </w:tblBorders>
    </w:tblPr>
    <w:tcPr>
      <w:shd w:val="clear" w:color="auto" w:fill="F0F7EC" w:themeFill="accent6" w:themeFillTint="19"/>
    </w:tcPr>
    <w:tblStylePr w:type="firstRow">
      <w:rPr>
        <w:b/>
        <w:bCs/>
      </w:rPr>
      <w:tblPr/>
      <w:tcPr>
        <w:tcBorders>
          <w:top w:val="nil"/>
          <w:left w:val="nil"/>
          <w:bottom w:val="single" w:sz="24" w:space="0" w:color="5B9BD5"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3672A" w:themeFill="accent6" w:themeFillShade="99"/>
      </w:tcPr>
    </w:tblStylePr>
    <w:tblStylePr w:type="firstCol">
      <w:rPr>
        <w:color w:val="FFFFFF" w:themeColor="background1"/>
      </w:rPr>
      <w:tblPr/>
      <w:tcPr>
        <w:tcBorders>
          <w:top w:val="nil"/>
          <w:left w:val="nil"/>
          <w:bottom w:val="nil"/>
          <w:right w:val="nil"/>
          <w:insideH w:val="single" w:sz="4" w:space="0" w:color="43672A" w:themeColor="accent6" w:themeShade="99"/>
          <w:insideV w:val="nil"/>
        </w:tcBorders>
        <w:shd w:val="clear" w:color="auto" w:fill="43672A"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43672A" w:themeFill="accent6" w:themeFillShade="99"/>
      </w:tcPr>
    </w:tblStylePr>
    <w:tblStylePr w:type="band1Vert">
      <w:tblPr/>
      <w:tcPr>
        <w:shd w:val="clear" w:color="auto" w:fill="C5E0B3" w:themeFill="accent6" w:themeFillTint="66"/>
      </w:tcPr>
    </w:tblStylePr>
    <w:tblStylePr w:type="band1Horz">
      <w:tblPr/>
      <w:tcPr>
        <w:shd w:val="clear" w:color="auto" w:fill="B7D8A0"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Pr>
    <w:tcPr>
      <w:shd w:val="clear" w:color="auto" w:fill="ECF1F9" w:themeFill="accent1"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0DBF0" w:themeFill="accent1" w:themeFillTint="3F"/>
      </w:tcPr>
    </w:tblStylePr>
    <w:tblStylePr w:type="band1Horz">
      <w:tblPr/>
      <w:tcPr>
        <w:shd w:val="clear" w:color="auto" w:fill="D9E2F3"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Pr>
    <w:tcPr>
      <w:shd w:val="clear" w:color="auto" w:fill="FDF2EA" w:themeFill="accent2"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ADECB" w:themeFill="accent2" w:themeFillTint="3F"/>
      </w:tcPr>
    </w:tblStylePr>
    <w:tblStylePr w:type="band1Horz">
      <w:tblPr/>
      <w:tcPr>
        <w:shd w:val="clear" w:color="auto" w:fill="FBE4D5"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Pr>
    <w:tcPr>
      <w:shd w:val="clear" w:color="auto" w:fill="F6F6F6" w:themeFill="accent3" w:themeFillTint="19"/>
    </w:tcPr>
    <w:tblStylePr w:type="firstRow">
      <w:rPr>
        <w:b/>
        <w:bCs/>
        <w:color w:val="FFFFFF" w:themeColor="background1"/>
      </w:rPr>
      <w:tblPr/>
      <w:tcPr>
        <w:tcBorders>
          <w:bottom w:val="single" w:sz="12" w:space="0" w:color="FFFFFF" w:themeColor="background1"/>
        </w:tcBorders>
        <w:shd w:val="clear" w:color="auto" w:fill="CC9900" w:themeFill="accent4" w:themeFillShade="CC"/>
      </w:tcPr>
    </w:tblStylePr>
    <w:tblStylePr w:type="lastRow">
      <w:rPr>
        <w:b/>
        <w:bCs/>
        <w:color w:val="CC9900"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8E8E8" w:themeFill="accent3" w:themeFillTint="3F"/>
      </w:tcPr>
    </w:tblStylePr>
    <w:tblStylePr w:type="band1Horz">
      <w:tblPr/>
      <w:tcPr>
        <w:shd w:val="clear" w:color="auto" w:fill="EDEDE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Pr>
    <w:tcPr>
      <w:shd w:val="clear" w:color="auto" w:fill="FFF8E6" w:themeFill="accent4" w:themeFillTint="19"/>
    </w:tcPr>
    <w:tblStylePr w:type="firstRow">
      <w:rPr>
        <w:b/>
        <w:bCs/>
        <w:color w:val="FFFFFF" w:themeColor="background1"/>
      </w:rPr>
      <w:tblPr/>
      <w:tcPr>
        <w:tcBorders>
          <w:bottom w:val="single" w:sz="12" w:space="0" w:color="FFFFFF" w:themeColor="background1"/>
        </w:tcBorders>
        <w:shd w:val="clear" w:color="auto" w:fill="848484" w:themeFill="accent3" w:themeFillShade="CC"/>
      </w:tcPr>
    </w:tblStylePr>
    <w:tblStylePr w:type="lastRow">
      <w:rPr>
        <w:b/>
        <w:bCs/>
        <w:color w:val="848484"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FEFC0" w:themeFill="accent4" w:themeFillTint="3F"/>
      </w:tcPr>
    </w:tblStylePr>
    <w:tblStylePr w:type="band1Horz">
      <w:tblPr/>
      <w:tcPr>
        <w:shd w:val="clear" w:color="auto" w:fill="FFF2C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Pr>
    <w:tcPr>
      <w:shd w:val="clear" w:color="auto" w:fill="EEF5FB" w:themeFill="accent5" w:themeFillTint="19"/>
    </w:tcPr>
    <w:tblStylePr w:type="firstRow">
      <w:rPr>
        <w:b/>
        <w:bCs/>
        <w:color w:val="FFFFFF" w:themeColor="background1"/>
      </w:rPr>
      <w:tblPr/>
      <w:tcPr>
        <w:tcBorders>
          <w:bottom w:val="single" w:sz="12" w:space="0" w:color="FFFFFF" w:themeColor="background1"/>
        </w:tcBorders>
        <w:shd w:val="clear" w:color="auto" w:fill="598A38" w:themeFill="accent6" w:themeFillShade="CC"/>
      </w:tcPr>
    </w:tblStylePr>
    <w:tblStylePr w:type="lastRow">
      <w:rPr>
        <w:b/>
        <w:bCs/>
        <w:color w:val="598A38"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6E6F4" w:themeFill="accent5" w:themeFillTint="3F"/>
      </w:tcPr>
    </w:tblStylePr>
    <w:tblStylePr w:type="band1Horz">
      <w:tblPr/>
      <w:tcPr>
        <w:shd w:val="clear" w:color="auto" w:fill="DEEAF6"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Pr>
    <w:tcPr>
      <w:shd w:val="clear" w:color="auto" w:fill="F0F7EC" w:themeFill="accent6" w:themeFillTint="19"/>
    </w:tcPr>
    <w:tblStylePr w:type="firstRow">
      <w:rPr>
        <w:b/>
        <w:bCs/>
        <w:color w:val="FFFFFF" w:themeColor="background1"/>
      </w:rPr>
      <w:tblPr/>
      <w:tcPr>
        <w:tcBorders>
          <w:bottom w:val="single" w:sz="12" w:space="0" w:color="FFFFFF" w:themeColor="background1"/>
        </w:tcBorders>
        <w:shd w:val="clear" w:color="auto" w:fill="317CC1" w:themeFill="accent5" w:themeFillShade="CC"/>
      </w:tcPr>
    </w:tblStylePr>
    <w:tblStylePr w:type="lastRow">
      <w:rPr>
        <w:b/>
        <w:bCs/>
        <w:color w:val="317CC1"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BEBD0" w:themeFill="accent6" w:themeFillTint="3F"/>
      </w:tcPr>
    </w:tblStylePr>
    <w:tblStylePr w:type="band1Horz">
      <w:tblPr/>
      <w:tcPr>
        <w:shd w:val="clear" w:color="auto" w:fill="E2EF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9E2F3" w:themeFill="accent1" w:themeFillTint="33"/>
    </w:tcPr>
    <w:tblStylePr w:type="firstRow">
      <w:rPr>
        <w:b/>
        <w:bCs/>
      </w:rPr>
      <w:tblPr/>
      <w:tcPr>
        <w:shd w:val="clear" w:color="auto" w:fill="B4C6E7" w:themeFill="accent1" w:themeFillTint="66"/>
      </w:tcPr>
    </w:tblStylePr>
    <w:tblStylePr w:type="lastRow">
      <w:rPr>
        <w:b/>
        <w:bCs/>
        <w:color w:val="000000" w:themeColor="text1"/>
      </w:rPr>
      <w:tblPr/>
      <w:tcPr>
        <w:shd w:val="clear" w:color="auto" w:fill="B4C6E7" w:themeFill="accent1" w:themeFillTint="66"/>
      </w:tcPr>
    </w:tblStylePr>
    <w:tblStylePr w:type="firstCol">
      <w:rPr>
        <w:color w:val="FFFFFF" w:themeColor="background1"/>
      </w:rPr>
      <w:tblPr/>
      <w:tcPr>
        <w:shd w:val="clear" w:color="auto" w:fill="2F5496" w:themeFill="accent1" w:themeFillShade="BF"/>
      </w:tcPr>
    </w:tblStylePr>
    <w:tblStylePr w:type="lastCol">
      <w:rPr>
        <w:color w:val="FFFFFF" w:themeColor="background1"/>
      </w:rPr>
      <w:tblPr/>
      <w:tcPr>
        <w:shd w:val="clear" w:color="auto" w:fill="2F5496" w:themeFill="accent1" w:themeFillShade="BF"/>
      </w:tcPr>
    </w:tblStylePr>
    <w:tblStylePr w:type="band1Vert">
      <w:tblPr/>
      <w:tcPr>
        <w:shd w:val="clear" w:color="auto" w:fill="A1B8E1" w:themeFill="accent1" w:themeFillTint="7F"/>
      </w:tcPr>
    </w:tblStylePr>
    <w:tblStylePr w:type="band1Horz">
      <w:tblPr/>
      <w:tcPr>
        <w:shd w:val="clear" w:color="auto" w:fill="A1B8E1"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BE4D5" w:themeFill="accent2" w:themeFillTint="33"/>
    </w:tcPr>
    <w:tblStylePr w:type="firstRow">
      <w:rPr>
        <w:b/>
        <w:bCs/>
      </w:rPr>
      <w:tblPr/>
      <w:tcPr>
        <w:shd w:val="clear" w:color="auto" w:fill="F7CAAC" w:themeFill="accent2" w:themeFillTint="66"/>
      </w:tcPr>
    </w:tblStylePr>
    <w:tblStylePr w:type="lastRow">
      <w:rPr>
        <w:b/>
        <w:bCs/>
        <w:color w:val="000000" w:themeColor="text1"/>
      </w:rPr>
      <w:tblPr/>
      <w:tcPr>
        <w:shd w:val="clear" w:color="auto" w:fill="F7CAAC" w:themeFill="accent2" w:themeFillTint="66"/>
      </w:tcPr>
    </w:tblStylePr>
    <w:tblStylePr w:type="firstCol">
      <w:rPr>
        <w:color w:val="FFFFFF" w:themeColor="background1"/>
      </w:rPr>
      <w:tblPr/>
      <w:tcPr>
        <w:shd w:val="clear" w:color="auto" w:fill="C45911" w:themeFill="accent2" w:themeFillShade="BF"/>
      </w:tcPr>
    </w:tblStylePr>
    <w:tblStylePr w:type="lastCol">
      <w:rPr>
        <w:color w:val="FFFFFF" w:themeColor="background1"/>
      </w:rPr>
      <w:tblPr/>
      <w:tcPr>
        <w:shd w:val="clear" w:color="auto" w:fill="C45911" w:themeFill="accent2" w:themeFillShade="BF"/>
      </w:tcPr>
    </w:tblStylePr>
    <w:tblStylePr w:type="band1Vert">
      <w:tblPr/>
      <w:tcPr>
        <w:shd w:val="clear" w:color="auto" w:fill="F6BE98" w:themeFill="accent2" w:themeFillTint="7F"/>
      </w:tcPr>
    </w:tblStylePr>
    <w:tblStylePr w:type="band1Horz">
      <w:tblPr/>
      <w:tcPr>
        <w:shd w:val="clear" w:color="auto" w:fill="F6BE98"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DEDED" w:themeFill="accent3" w:themeFillTint="33"/>
    </w:tcPr>
    <w:tblStylePr w:type="firstRow">
      <w:rPr>
        <w:b/>
        <w:bCs/>
      </w:rPr>
      <w:tblPr/>
      <w:tcPr>
        <w:shd w:val="clear" w:color="auto" w:fill="DBDBDB" w:themeFill="accent3" w:themeFillTint="66"/>
      </w:tcPr>
    </w:tblStylePr>
    <w:tblStylePr w:type="lastRow">
      <w:rPr>
        <w:b/>
        <w:bCs/>
        <w:color w:val="000000" w:themeColor="text1"/>
      </w:rPr>
      <w:tblPr/>
      <w:tcPr>
        <w:shd w:val="clear" w:color="auto" w:fill="DBDBDB" w:themeFill="accent3" w:themeFillTint="66"/>
      </w:tcPr>
    </w:tblStylePr>
    <w:tblStylePr w:type="firstCol">
      <w:rPr>
        <w:color w:val="FFFFFF" w:themeColor="background1"/>
      </w:rPr>
      <w:tblPr/>
      <w:tcPr>
        <w:shd w:val="clear" w:color="auto" w:fill="7B7B7B" w:themeFill="accent3" w:themeFillShade="BF"/>
      </w:tcPr>
    </w:tblStylePr>
    <w:tblStylePr w:type="lastCol">
      <w:rPr>
        <w:color w:val="FFFFFF" w:themeColor="background1"/>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FF2CC" w:themeFill="accent4" w:themeFillTint="33"/>
    </w:tcPr>
    <w:tblStylePr w:type="firstRow">
      <w:rPr>
        <w:b/>
        <w:bCs/>
      </w:rPr>
      <w:tblPr/>
      <w:tcPr>
        <w:shd w:val="clear" w:color="auto" w:fill="FFE599" w:themeFill="accent4" w:themeFillTint="66"/>
      </w:tcPr>
    </w:tblStylePr>
    <w:tblStylePr w:type="lastRow">
      <w:rPr>
        <w:b/>
        <w:bCs/>
        <w:color w:val="000000" w:themeColor="text1"/>
      </w:rPr>
      <w:tblPr/>
      <w:tcPr>
        <w:shd w:val="clear" w:color="auto" w:fill="FFE599" w:themeFill="accent4" w:themeFillTint="66"/>
      </w:tcPr>
    </w:tblStylePr>
    <w:tblStylePr w:type="firstCol">
      <w:rPr>
        <w:color w:val="FFFFFF" w:themeColor="background1"/>
      </w:rPr>
      <w:tblPr/>
      <w:tcPr>
        <w:shd w:val="clear" w:color="auto" w:fill="BF8F00" w:themeFill="accent4" w:themeFillShade="BF"/>
      </w:tcPr>
    </w:tblStylePr>
    <w:tblStylePr w:type="lastCol">
      <w:rPr>
        <w:color w:val="FFFFFF" w:themeColor="background1"/>
      </w:rPr>
      <w:tblPr/>
      <w:tcPr>
        <w:shd w:val="clear" w:color="auto" w:fill="BF8F00" w:themeFill="accent4" w:themeFillShade="BF"/>
      </w:tcPr>
    </w:tblStylePr>
    <w:tblStylePr w:type="band1Vert">
      <w:tblPr/>
      <w:tcPr>
        <w:shd w:val="clear" w:color="auto" w:fill="FFDF80" w:themeFill="accent4" w:themeFillTint="7F"/>
      </w:tcPr>
    </w:tblStylePr>
    <w:tblStylePr w:type="band1Horz">
      <w:tblPr/>
      <w:tcPr>
        <w:shd w:val="clear" w:color="auto" w:fill="FFDF8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EEAF6" w:themeFill="accent5" w:themeFillTint="33"/>
    </w:tcPr>
    <w:tblStylePr w:type="firstRow">
      <w:rPr>
        <w:b/>
        <w:bCs/>
      </w:rPr>
      <w:tblPr/>
      <w:tcPr>
        <w:shd w:val="clear" w:color="auto" w:fill="BDD6EE" w:themeFill="accent5" w:themeFillTint="66"/>
      </w:tcPr>
    </w:tblStylePr>
    <w:tblStylePr w:type="lastRow">
      <w:rPr>
        <w:b/>
        <w:bCs/>
        <w:color w:val="000000" w:themeColor="text1"/>
      </w:rPr>
      <w:tblPr/>
      <w:tcPr>
        <w:shd w:val="clear" w:color="auto" w:fill="BDD6EE" w:themeFill="accent5" w:themeFillTint="66"/>
      </w:tcPr>
    </w:tblStylePr>
    <w:tblStylePr w:type="firstCol">
      <w:rPr>
        <w:color w:val="FFFFFF" w:themeColor="background1"/>
      </w:rPr>
      <w:tblPr/>
      <w:tcPr>
        <w:shd w:val="clear" w:color="auto" w:fill="2E74B5" w:themeFill="accent5" w:themeFillShade="BF"/>
      </w:tcPr>
    </w:tblStylePr>
    <w:tblStylePr w:type="lastCol">
      <w:rPr>
        <w:color w:val="FFFFFF" w:themeColor="background1"/>
      </w:rPr>
      <w:tblPr/>
      <w:tcPr>
        <w:shd w:val="clear" w:color="auto" w:fill="2E74B5" w:themeFill="accent5" w:themeFillShade="BF"/>
      </w:tcPr>
    </w:tblStylePr>
    <w:tblStylePr w:type="band1Vert">
      <w:tblPr/>
      <w:tcPr>
        <w:shd w:val="clear" w:color="auto" w:fill="ADCCEA" w:themeFill="accent5" w:themeFillTint="7F"/>
      </w:tcPr>
    </w:tblStylePr>
    <w:tblStylePr w:type="band1Horz">
      <w:tblPr/>
      <w:tcPr>
        <w:shd w:val="clear" w:color="auto" w:fill="ADCCEA"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2EFD9" w:themeFill="accent6" w:themeFillTint="33"/>
    </w:tcPr>
    <w:tblStylePr w:type="firstRow">
      <w:rPr>
        <w:b/>
        <w:bCs/>
      </w:rPr>
      <w:tblPr/>
      <w:tcPr>
        <w:shd w:val="clear" w:color="auto" w:fill="C5E0B3" w:themeFill="accent6" w:themeFillTint="66"/>
      </w:tcPr>
    </w:tblStylePr>
    <w:tblStylePr w:type="lastRow">
      <w:rPr>
        <w:b/>
        <w:bCs/>
        <w:color w:val="000000" w:themeColor="text1"/>
      </w:rPr>
      <w:tblPr/>
      <w:tcPr>
        <w:shd w:val="clear" w:color="auto" w:fill="C5E0B3" w:themeFill="accent6" w:themeFillTint="66"/>
      </w:tcPr>
    </w:tblStylePr>
    <w:tblStylePr w:type="firstCol">
      <w:rPr>
        <w:color w:val="FFFFFF" w:themeColor="background1"/>
      </w:rPr>
      <w:tblPr/>
      <w:tcPr>
        <w:shd w:val="clear" w:color="auto" w:fill="538135" w:themeFill="accent6" w:themeFillShade="BF"/>
      </w:tcPr>
    </w:tblStylePr>
    <w:tblStylePr w:type="lastCol">
      <w:rPr>
        <w:color w:val="FFFFFF" w:themeColor="background1"/>
      </w:rPr>
      <w:tblPr/>
      <w:tcPr>
        <w:shd w:val="clear" w:color="auto" w:fill="538135" w:themeFill="accent6" w:themeFillShade="BF"/>
      </w:tcPr>
    </w:tblStylePr>
    <w:tblStylePr w:type="band1Vert">
      <w:tblPr/>
      <w:tcPr>
        <w:shd w:val="clear" w:color="auto" w:fill="B7D8A0" w:themeFill="accent6" w:themeFillTint="7F"/>
      </w:tcPr>
    </w:tblStylePr>
    <w:tblStylePr w:type="band1Horz">
      <w:tblPr/>
      <w:tcPr>
        <w:shd w:val="clear" w:color="auto" w:fill="B7D8A0"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d.book118.com/836052051013010045" TargetMode="External" /><Relationship Id="rId5" Type="http://schemas.openxmlformats.org/officeDocument/2006/relationships/theme" Target="theme/theme1.xml" /><Relationship Id="rId6" Type="http://schemas.openxmlformats.org/officeDocument/2006/relationships/numbering" Target="numbering.xml" /><Relationship Id="rId7"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58</Pages>
  <Words>2</Words>
  <Characters>15</Characters>
  <Application>Microsoft Office Word</Application>
  <DocSecurity>0</DocSecurity>
  <Lines>1</Lines>
  <Paragraphs>1</Paragraphs>
  <ScaleCrop>false</ScaleCrop>
  <Company/>
  <LinksUpToDate>false</LinksUpToDate>
  <CharactersWithSpaces>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Apache POI</dc:creator>
  <cp:lastModifiedBy>Leslie Kang</cp:lastModifiedBy>
  <cp:revision>5</cp:revision>
  <dcterms:created xsi:type="dcterms:W3CDTF">2024-01-11T00:28:00Z</dcterms:created>
  <dcterms:modified xsi:type="dcterms:W3CDTF">2024-01-11T07:22:00Z</dcterms:modified>
</cp:coreProperties>
</file>