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机组自动化屏项目营销方案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6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7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_Toc12867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_Toc32396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9" w:history="1">
        <w:r>
          <w:rPr>
            <w:rFonts w:ascii="仿宋" w:eastAsia="仿宋" w:hAnsi="仿宋" w:cs="仿宋" w:hint="eastAsia"/>
            <w:lang w:eastAsia="zh-CN"/>
          </w:rPr>
          <w:t>二、职业保护</w:t>
        </w:r>
        <w:r>
          <w:tab/>
        </w:r>
        <w:r>
          <w:fldChar w:fldCharType="begin"/>
        </w:r>
        <w:r>
          <w:instrText xml:space="preserve"> PAGEREF _Toc6199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1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_Toc31471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8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_Toc32268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三、发展策略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_Toc5869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0" w:history="1">
        <w:r>
          <w:rPr>
            <w:rFonts w:ascii="仿宋" w:eastAsia="仿宋" w:hAnsi="仿宋" w:cs="仿宋" w:hint="eastAsia"/>
            <w:lang w:eastAsia="zh-CN"/>
          </w:rPr>
          <w:t>四、人才队伍建设</w:t>
        </w:r>
        <w:r>
          <w:tab/>
        </w:r>
        <w:r>
          <w:fldChar w:fldCharType="begin"/>
        </w:r>
        <w:r>
          <w:instrText xml:space="preserve"> PAGEREF _Toc18900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9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_Toc26459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1" w:history="1">
        <w:r>
          <w:rPr>
            <w:rFonts w:ascii="仿宋" w:eastAsia="仿宋" w:hAnsi="仿宋" w:cs="仿宋" w:hint="eastAsia"/>
            <w:lang w:eastAsia="zh-CN"/>
          </w:rPr>
          <w:t>五、节能方案分析</w:t>
        </w:r>
        <w:r>
          <w:tab/>
        </w:r>
        <w:r>
          <w:fldChar w:fldCharType="begin"/>
        </w:r>
        <w:r>
          <w:instrText xml:space="preserve"> PAGEREF _Toc26701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4" w:history="1">
        <w:r>
          <w:rPr>
            <w:rFonts w:ascii="仿宋" w:eastAsia="仿宋" w:hAnsi="仿宋" w:cs="仿宋" w:hint="eastAsia"/>
            <w:lang w:eastAsia="zh-CN"/>
          </w:rPr>
          <w:t>七、国际目标市场选择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6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_Toc28056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八、机组自动化屏项目创新与研发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2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_Toc11622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九、第三十二章未来发展愿景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2" w:history="1">
        <w:r>
          <w:rPr>
            <w:rFonts w:ascii="仿宋" w:eastAsia="仿宋" w:hAnsi="仿宋" w:cs="仿宋" w:hint="eastAsia"/>
            <w:lang w:eastAsia="zh-CN"/>
          </w:rPr>
          <w:t>十、机组自动化屏项目承办单位基本情况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0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9" w:history="1">
        <w:r>
          <w:rPr>
            <w:rFonts w:ascii="仿宋" w:eastAsia="仿宋" w:hAnsi="仿宋" w:cs="仿宋" w:hint="eastAsia"/>
            <w:lang w:eastAsia="zh-CN"/>
          </w:rPr>
          <w:t>十一、劳动安全评价</w:t>
        </w:r>
        <w:r>
          <w:tab/>
        </w:r>
        <w:r>
          <w:fldChar w:fldCharType="begin"/>
        </w:r>
        <w:r>
          <w:instrText xml:space="preserve"> PAGEREF _Toc10189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9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_Toc26089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_Toc3708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十二、持续改进与创新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7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_Toc20947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1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_Toc8921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7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_Toc28907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十四、市场预测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8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_Toc16178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十五、员工福利与团队建设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5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_Toc28805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5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_Toc3065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十六、员工培训与发展方案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9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_Toc5769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2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_Toc13282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十七、社会影响与可持续性报告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6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_Toc14606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5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_Toc16615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3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_Toc21123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十八、库存控制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6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_Toc24586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十九、市场反馈与迭代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_Toc13010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二十、未来发展战略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8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_Toc31288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2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_Toc6002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6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67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96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初始投资成本：我们已经充分考虑了‘使命关键词’项目的初始投资成本，包括设备采购、人员招募、市场推广和基础设施建设等方面。这些投资将用于‘使命关键词’项目的启动和初期经营。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运营费用：我们进行了详细分析‘使命关键词’项目的运营费用，包括员工工资、物料采购、租金、设备维护和市场营销等方面。我们将确保运营费用的合理和可控，以维持业务的持续稳健增长。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 预期收入：我们制定了详尽的收入模型，根据市场需求和产品定价来估计预期收入。这包括销售预测、订阅服务、广告收入等多个收入来源。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https://d.book118.com/836054150225010102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机组自动化屏项目营销方案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机组自动化屏项目营销方案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机组自动化屏项目营销方案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机组自动化屏项目营销方案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机组自动化屏项目营销方案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62F35"/>
    <w:rsid w:val="1B762F3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6054150225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2024-03-17T19:02:00Z</dcterms:created>
  <dcterms:modified xsi:type="dcterms:W3CDTF">2024-03-17T19:02:39Z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67EF55958A7447D3AAB202B7461FDECF_11</vt:lpwstr>
  </property>
  <property fmtid="{D5CDD505-2E9C-101B-9397-08002B2CF9AE}" pid="3" name="KSOProductBuildVer">
    <vt:lpwstr>2052-12.1.0.16412</vt:lpwstr>
  </property>
</Properties>
</file>