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地面伽玛射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线全谱仪项目商业</w:t>
      </w:r>
    </w:p>
    <w:p>
      <w:pPr>
        <w:spacing w:before="221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000073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、地面伽玛射线全谱仪项目建设期原辅材料供应情况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(二)、地面伽玛射线全谱仪项目运营期原辅材料供应及质量管理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二、地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面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伽玛射线全谱仪项目建设背景及必要性分析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三、地面伽玛射线全谱仪项目可行性研究报告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二)、地面伽玛射线全谱仪项目技术工艺分析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(三)、地面伽玛射线全谱仪项目技术流程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、地面伽玛射线全谱仪项目总平面设计要求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五)、地面伽玛射线全谱仪项目实施保障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58170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、社会责任地面伽玛射线全谱仪项目与计划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444675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)、地面伽玛射线全谱仪项目对环境的主要影响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项目商业计划书是为了规范地面伽玛射线全谱仪项目的实施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步骤和计划而编</w:t>
      </w:r>
      <w:r>
        <w:rPr>
          <w:rFonts w:ascii="FangSong" w:eastAsia="FangSong" w:hAnsi="FangSong" w:cs="FangSong"/>
          <w:spacing w:val="-5"/>
          <w:sz w:val="28"/>
          <w:szCs w:val="28"/>
        </w:rPr>
        <w:t>写</w:t>
      </w:r>
      <w:r>
        <w:rPr>
          <w:rFonts w:ascii="FangSong" w:eastAsia="FangSong" w:hAnsi="FangSong" w:cs="FangSong"/>
          <w:spacing w:val="-3"/>
          <w:sz w:val="28"/>
          <w:szCs w:val="28"/>
        </w:rPr>
        <w:t>的。通过详细描述地面伽玛射线全谱仪项目的背景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和</w:t>
      </w:r>
      <w:r>
        <w:rPr>
          <w:rFonts w:ascii="FangSong" w:eastAsia="FangSong" w:hAnsi="FangSong" w:cs="FangSong"/>
          <w:spacing w:val="-14"/>
          <w:sz w:val="28"/>
          <w:szCs w:val="28"/>
        </w:rPr>
        <w:t>目标，分析项目的可行性和可行方案，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方案旨在为项目相关人员提供一个清晰的指导和参考。请注意，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方案不可做为商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(一)、地面伽玛射线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全谱仪项目建设期原辅材料供应情况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伽玛射线全谱仪项目的建设和运营过程中，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面伽玛射线全谱仪项目建设期和运营期的原辅材料供应情况，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地面伽玛射线全谱仪项目建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伽玛射线全谱仪项目建设期间，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程进度和质量有</w:t>
      </w:r>
      <w:r>
        <w:rPr>
          <w:rFonts w:ascii="FangSong" w:eastAsia="FangSong" w:hAnsi="FangSong" w:cs="FangSong"/>
          <w:spacing w:val="-5"/>
          <w:sz w:val="28"/>
          <w:szCs w:val="28"/>
        </w:rPr>
        <w:t>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直接的影响。下面是地面伽玛射线全谱仪项目建设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82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)、地面伽玛射线全谱仪项目运营期原辅材料供应及质量管理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地面</w:t>
      </w:r>
      <w:r>
        <w:rPr>
          <w:rFonts w:ascii="FangSong" w:eastAsia="FangSong" w:hAnsi="FangSong" w:cs="FangSong"/>
          <w:spacing w:val="-14"/>
          <w:sz w:val="28"/>
          <w:szCs w:val="28"/>
        </w:rPr>
        <w:t>伽</w:t>
      </w:r>
      <w:r>
        <w:rPr>
          <w:rFonts w:ascii="FangSong" w:eastAsia="FangSong" w:hAnsi="FangSong" w:cs="FangSong"/>
          <w:spacing w:val="-8"/>
          <w:sz w:val="28"/>
          <w:szCs w:val="28"/>
        </w:rPr>
        <w:t>玛射线全谱仪项目进入运营期后，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重要。下面是地面伽玛射线全谱仪项目运营期原辅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二、地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面伽玛射线全谱仪项目建设背景及必要性分析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三、地面伽玛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射线全谱仪项目可行性研究报告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伽玛射线全谱仪行业，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颖而出，成为消费者首选的地面伽玛射线全谱仪产品。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地面伽玛射线全谱仪项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88" w:line="411" w:lineRule="auto"/>
        <w:ind w:left="33" w:right="5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建设规模旨在实现一个全面、可持续的地面伽玛射线全谱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仪项目。地面伽玛射线全</w:t>
      </w:r>
      <w:r>
        <w:rPr>
          <w:rFonts w:ascii="FangSong" w:eastAsia="FangSong" w:hAnsi="FangSong" w:cs="FangSong"/>
          <w:spacing w:val="-3"/>
          <w:sz w:val="28"/>
          <w:szCs w:val="28"/>
        </w:rPr>
        <w:t>谱</w:t>
      </w:r>
      <w:r>
        <w:rPr>
          <w:rFonts w:ascii="FangSong" w:eastAsia="FangSong" w:hAnsi="FangSong" w:cs="FangSong"/>
          <w:spacing w:val="-2"/>
          <w:sz w:val="28"/>
          <w:szCs w:val="28"/>
        </w:rPr>
        <w:t>仪项目总投资将主要用于以下几个方面：</w:t>
      </w:r>
    </w:p>
    <w:p>
      <w:pPr>
        <w:spacing w:before="2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面伽玛</w:t>
      </w:r>
      <w:r>
        <w:rPr>
          <w:rFonts w:ascii="FangSong" w:eastAsia="FangSong" w:hAnsi="FangSong" w:cs="FangSong"/>
          <w:spacing w:val="-4"/>
          <w:sz w:val="28"/>
          <w:szCs w:val="28"/>
        </w:rPr>
        <w:t>射</w:t>
      </w:r>
      <w:r>
        <w:rPr>
          <w:rFonts w:ascii="FangSong" w:eastAsia="FangSong" w:hAnsi="FangSong" w:cs="FangSong"/>
          <w:spacing w:val="-3"/>
          <w:sz w:val="28"/>
          <w:szCs w:val="28"/>
        </w:rPr>
        <w:t>线全谱仪项目的顺利进行。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一部分资金将用于技术研发，以确保地面伽玛射线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1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全谱仪项目引领行业发展潮流，保持技术创新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8" w:line="222" w:lineRule="auto"/>
        <w:ind w:left="8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1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地面伽玛射线全谱仪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我们计划在地面伽玛射线全谱仪项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7" w:line="380" w:lineRule="auto"/>
        <w:ind w:left="14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地面伽玛射线全谱仪项目规模：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地面伽玛射线全谱仪项</w:t>
      </w:r>
      <w:r>
        <w:rPr>
          <w:rFonts w:ascii="FangSong" w:eastAsia="FangSong" w:hAnsi="FangSong" w:cs="FangSong"/>
          <w:sz w:val="28"/>
          <w:szCs w:val="28"/>
        </w:rPr>
        <w:t>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，包括生产厂房、办公区域、仓储设施等。这将确保地</w:t>
      </w:r>
      <w:r>
        <w:rPr>
          <w:rFonts w:ascii="FangSong" w:eastAsia="FangSong" w:hAnsi="FangSong" w:cs="FangSong"/>
          <w:spacing w:val="-10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伽</w:t>
      </w:r>
      <w:r>
        <w:rPr>
          <w:rFonts w:ascii="FangSong" w:eastAsia="FangSong" w:hAnsi="FangSong" w:cs="FangSong"/>
          <w:spacing w:val="-8"/>
          <w:sz w:val="28"/>
          <w:szCs w:val="28"/>
        </w:rPr>
        <w:t>玛射线全谱仪项目能够满足预期的产能需求，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14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以确保地面伽玛射线全谱仪项目的环保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8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675" w:header="0" w:footer="0" w:gutter="0"/>
          <w:pgNumType w:start="11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地面伽玛射线全谱仪项目总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90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该地面伽</w:t>
      </w:r>
      <w:r>
        <w:rPr>
          <w:rFonts w:ascii="FangSong" w:eastAsia="FangSong" w:hAnsi="FangSong" w:cs="FangSong"/>
          <w:spacing w:val="-5"/>
          <w:sz w:val="28"/>
          <w:szCs w:val="28"/>
        </w:rPr>
        <w:t>玛</w:t>
      </w:r>
      <w:r>
        <w:rPr>
          <w:rFonts w:ascii="FangSong" w:eastAsia="FangSong" w:hAnsi="FangSong" w:cs="FangSong"/>
          <w:spacing w:val="-3"/>
          <w:sz w:val="28"/>
          <w:szCs w:val="28"/>
        </w:rPr>
        <w:t>射线全谱仪项目总征地面积为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伽玛射线</w:t>
      </w:r>
      <w:r>
        <w:rPr>
          <w:rFonts w:ascii="FangSong" w:eastAsia="FangSong" w:hAnsi="FangSong" w:cs="FangSong"/>
          <w:spacing w:val="-4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谱仪项目规划的总建筑面积为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地面伽玛射线全</w:t>
      </w:r>
      <w:r>
        <w:rPr>
          <w:rFonts w:ascii="FangSong" w:eastAsia="FangSong" w:hAnsi="FangSong" w:cs="FangSong"/>
          <w:spacing w:val="-3"/>
          <w:sz w:val="28"/>
          <w:szCs w:val="28"/>
        </w:rPr>
        <w:t>谱仪项目计划购置设备共计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。这些设备将在地面伽玛射线全谱仪项目运营中发挥关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地面</w:t>
      </w:r>
      <w:r>
        <w:rPr>
          <w:rFonts w:ascii="FangSong" w:eastAsia="FangSong" w:hAnsi="FangSong" w:cs="FangSong"/>
          <w:spacing w:val="-11"/>
          <w:sz w:val="28"/>
          <w:szCs w:val="28"/>
        </w:rPr>
        <w:t>伽</w:t>
      </w:r>
      <w:r>
        <w:rPr>
          <w:rFonts w:ascii="FangSong" w:eastAsia="FangSong" w:hAnsi="FangSong" w:cs="FangSong"/>
          <w:spacing w:val="-9"/>
          <w:sz w:val="28"/>
          <w:szCs w:val="28"/>
        </w:rPr>
        <w:t>玛射线全谱仪项目计划总投资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万元，这将为地面伽</w:t>
      </w:r>
      <w:r>
        <w:rPr>
          <w:rFonts w:ascii="FangSong" w:eastAsia="FangSong" w:hAnsi="FangSong" w:cs="FangSong"/>
          <w:spacing w:val="1"/>
          <w:sz w:val="28"/>
          <w:szCs w:val="28"/>
        </w:rPr>
        <w:t>玛射线全谱仪项目未来的发展提供可观的经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(二)、地面伽玛射线全谱仪项目技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提供优质产品和服务。保障工艺流程能够满足地面伽玛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射</w:t>
      </w:r>
      <w:r>
        <w:rPr>
          <w:rFonts w:ascii="FangSong" w:eastAsia="FangSong" w:hAnsi="FangSong" w:cs="FangSong"/>
          <w:spacing w:val="-12"/>
          <w:sz w:val="28"/>
          <w:szCs w:val="28"/>
        </w:rPr>
        <w:t>线全谱仪项目产品要求，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pacing w:val="-4"/>
          <w:sz w:val="28"/>
          <w:szCs w:val="28"/>
        </w:rPr>
        <w:t>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地面伽玛射</w:t>
      </w:r>
      <w:r>
        <w:rPr>
          <w:rFonts w:ascii="FangSong" w:eastAsia="FangSong" w:hAnsi="FangSong" w:cs="FangSong"/>
          <w:sz w:val="28"/>
          <w:szCs w:val="28"/>
        </w:rPr>
        <w:t>线全谱仪项目建设贯彻“三同时”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right="4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地面</w:t>
      </w:r>
      <w:r>
        <w:rPr>
          <w:rFonts w:ascii="FangSong" w:eastAsia="FangSong" w:hAnsi="FangSong" w:cs="FangSong"/>
          <w:spacing w:val="-14"/>
          <w:sz w:val="28"/>
          <w:szCs w:val="28"/>
        </w:rPr>
        <w:t>伽</w:t>
      </w:r>
      <w:r>
        <w:rPr>
          <w:rFonts w:ascii="FangSong" w:eastAsia="FangSong" w:hAnsi="FangSong" w:cs="FangSong"/>
          <w:spacing w:val="-8"/>
          <w:sz w:val="28"/>
          <w:szCs w:val="28"/>
        </w:rPr>
        <w:t>玛射线全谱仪项目拟采用国内成熟的生产工艺，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由生产技术人员和研发技术人员共同制定。所采用的技术具有能耗低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2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面伽玛射线全谱仪项目的技术保障措施从设计、施工、试运行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以确保地面伽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玛射线全</w:t>
      </w:r>
      <w:r>
        <w:rPr>
          <w:rFonts w:ascii="FangSong" w:eastAsia="FangSong" w:hAnsi="FangSong" w:cs="FangSong"/>
          <w:spacing w:val="7"/>
          <w:sz w:val="28"/>
          <w:szCs w:val="28"/>
        </w:rPr>
        <w:t>谱</w:t>
      </w:r>
      <w:r>
        <w:rPr>
          <w:rFonts w:ascii="FangSong" w:eastAsia="FangSong" w:hAnsi="FangSong" w:cs="FangSong"/>
          <w:spacing w:val="5"/>
          <w:sz w:val="28"/>
          <w:szCs w:val="28"/>
        </w:rPr>
        <w:t>仪项目在技术开发和生产技术应用上达到现代化生产水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平。这种综合的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术支持将确保地面伽玛射线全谱仪项目的可持续发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展和高效运营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三)、地面伽玛射线全谱仪项目技术流程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ectPr>
          <w:pgSz w:w="11906" w:h="16839"/>
          <w:pgMar w:top="1431" w:right="1565" w:bottom="0" w:left="1785" w:header="0" w:footer="0" w:gutter="0"/>
          <w:pgNumType w:start="15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在地面伽</w:t>
      </w:r>
      <w:r>
        <w:rPr>
          <w:rFonts w:ascii="FangSong" w:eastAsia="FangSong" w:hAnsi="FangSong" w:cs="FangSong"/>
          <w:spacing w:val="-2"/>
          <w:sz w:val="28"/>
          <w:szCs w:val="28"/>
        </w:rPr>
        <w:t>玛射线全谱仪项目运营中，进行技术持续改进。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103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据分析工具监测和分析地面伽玛射线全谱仪项目各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9" w:right="45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共同构建了高效、稳定的地面伽玛射线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谱</w:t>
      </w:r>
      <w:r>
        <w:rPr>
          <w:rFonts w:ascii="FangSong" w:eastAsia="FangSong" w:hAnsi="FangSong" w:cs="FangSong"/>
          <w:spacing w:val="-2"/>
          <w:sz w:val="28"/>
          <w:szCs w:val="28"/>
        </w:rPr>
        <w:t>仪项目技术实施框架，确保地面伽玛射线全谱仪项目顺利推进。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确保选用的设备能够满足</w:t>
      </w:r>
      <w:r>
        <w:rPr>
          <w:rFonts w:ascii="FangSong" w:eastAsia="FangSong" w:hAnsi="FangSong" w:cs="FangSong"/>
          <w:spacing w:val="-2"/>
          <w:sz w:val="28"/>
          <w:szCs w:val="28"/>
        </w:rPr>
        <w:t>地面伽玛射线全谱仪项目的技术要求，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保所选设备与地面伽玛射线全谱仪项目工艺流程相匹配，例如：</w:t>
      </w:r>
    </w:p>
    <w:p>
      <w:pPr>
        <w:spacing w:before="290" w:line="411" w:lineRule="auto"/>
        <w:ind w:left="43" w:right="103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确认设备的生产能力是否符合地面伽玛射线全谱仪项目的产</w:t>
      </w:r>
      <w:r>
        <w:rPr>
          <w:rFonts w:ascii="FangSong" w:eastAsia="FangSong" w:hAnsi="FangSong" w:cs="FangSong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需求。</w:t>
      </w:r>
    </w:p>
    <w:p>
      <w:pPr>
        <w:spacing w:before="1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伽玛射线全谱仪项目的建筑工程设计过程中，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以确保地面伽玛射线全谱仪项目的可持续发展和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(二)、地面伽玛射线全谱仪项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地面</w:t>
      </w:r>
      <w:r>
        <w:rPr>
          <w:rFonts w:ascii="FangSong" w:eastAsia="FangSong" w:hAnsi="FangSong" w:cs="FangSong"/>
          <w:spacing w:val="-14"/>
          <w:sz w:val="28"/>
          <w:szCs w:val="28"/>
        </w:rPr>
        <w:t>伽</w:t>
      </w:r>
      <w:r>
        <w:rPr>
          <w:rFonts w:ascii="FangSong" w:eastAsia="FangSong" w:hAnsi="FangSong" w:cs="FangSong"/>
          <w:spacing w:val="-8"/>
          <w:sz w:val="28"/>
          <w:szCs w:val="28"/>
        </w:rPr>
        <w:t>玛射线全谱仪项目总平面设计将充分考虑以下要求，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地面伽玛射线全谱仪项目的实际使用需要。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考虑地面伽玛射线全</w:t>
      </w:r>
      <w:r>
        <w:rPr>
          <w:rFonts w:ascii="FangSong" w:eastAsia="FangSong" w:hAnsi="FangSong" w:cs="FangSong"/>
          <w:spacing w:val="-3"/>
          <w:sz w:val="28"/>
          <w:szCs w:val="28"/>
        </w:rPr>
        <w:t>谱</w:t>
      </w:r>
      <w:r>
        <w:rPr>
          <w:rFonts w:ascii="FangSong" w:eastAsia="FangSong" w:hAnsi="FangSong" w:cs="FangSong"/>
          <w:spacing w:val="-2"/>
          <w:sz w:val="28"/>
          <w:szCs w:val="28"/>
        </w:rPr>
        <w:t>仪项目所处地区的地质条件和地震风险，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8" w:right="95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pacing w:val="-5"/>
          <w:sz w:val="28"/>
          <w:szCs w:val="28"/>
        </w:rPr>
        <w:t>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结合地面伽玛射线全谱仪项目的实际需求和环境条件，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筑工程的设计总体要求是确保地面伽玛射线全谱仪项目实现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建筑的功能布局满足地面伽玛射线全谱仪项目需求，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准，满足地面伽玛射线全谱仪项目的长期发展需求。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地面伽玛射线全</w:t>
      </w:r>
      <w:r>
        <w:rPr>
          <w:rFonts w:ascii="FangSong" w:eastAsia="FangSong" w:hAnsi="FangSong" w:cs="FangSong"/>
          <w:spacing w:val="-3"/>
          <w:sz w:val="28"/>
          <w:szCs w:val="28"/>
        </w:rPr>
        <w:t>谱仪项目规划的总建筑面积为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考虑到地面伽玛射线全谱仪项目的功能布局和需求，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占地</w:t>
      </w:r>
      <w:r>
        <w:rPr>
          <w:rFonts w:ascii="FangSong" w:eastAsia="FangSong" w:hAnsi="FangSong" w:cs="FangSong"/>
          <w:spacing w:val="-8"/>
          <w:sz w:val="28"/>
          <w:szCs w:val="28"/>
        </w:rPr>
        <w:t>面</w:t>
      </w:r>
      <w:r>
        <w:rPr>
          <w:rFonts w:ascii="FangSong" w:eastAsia="FangSong" w:hAnsi="FangSong" w:cs="FangSong"/>
          <w:spacing w:val="-6"/>
          <w:sz w:val="28"/>
          <w:szCs w:val="28"/>
        </w:rPr>
        <w:t>伽玛射线全谱仪项目总投资比例：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建筑工程投资占地面伽玛射线全谱仪项目总投资的比例为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%，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未来地面伽玛射线全谱仪项目运营的需求，同时避免了过度浪费。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地面伽玛射线全谱仪项目整体布局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92" w:line="411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使地面伽玛射线全谱仪项目更好地适应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0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8"/>
          <w:sz w:val="28"/>
          <w:szCs w:val="28"/>
        </w:rPr>
        <w:t>社交媒体、搜索引擎营销等数字化手段进行市场推广，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287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2" w:line="414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地面伽玛射线全谱</w:t>
      </w:r>
      <w:r>
        <w:rPr>
          <w:rFonts w:ascii="FangSong" w:eastAsia="FangSong" w:hAnsi="FangSong" w:cs="FangSong"/>
          <w:spacing w:val="-3"/>
          <w:sz w:val="28"/>
          <w:szCs w:val="28"/>
        </w:rPr>
        <w:t>仪项目的建设周期被设定为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括地面伽玛射线全</w:t>
      </w:r>
      <w:r>
        <w:rPr>
          <w:rFonts w:ascii="FangSong" w:eastAsia="FangSong" w:hAnsi="FangSong" w:cs="FangSong"/>
          <w:spacing w:val="-3"/>
          <w:sz w:val="28"/>
          <w:szCs w:val="28"/>
        </w:rPr>
        <w:t>谱仪项目前期准备、工程勘察与设计、土建工程施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工、设备采购、设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备安装调试等关键阶段。这个时间框架将充分考虑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各个阶段的工作内容和交叉影响，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以确保地面伽玛射线全谱仪项目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的高效推进。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具体的建设进度将在地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伽玛射线全谱仪项目启动时明确制定，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4" w:line="416" w:lineRule="auto"/>
        <w:ind w:left="48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并按照里程碑计划进行监测和调整。各个阶段的完成情况将通过定</w:t>
      </w:r>
      <w:r>
        <w:rPr>
          <w:rFonts w:ascii="FangSong" w:eastAsia="FangSong" w:hAnsi="FangSong" w:cs="FangSong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的进度报告进行跟踪，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地</w:t>
      </w:r>
      <w:r>
        <w:rPr>
          <w:rFonts w:ascii="FangSong" w:eastAsia="FangSong" w:hAnsi="FangSong" w:cs="FangSong"/>
          <w:spacing w:val="6"/>
          <w:sz w:val="28"/>
          <w:szCs w:val="28"/>
        </w:rPr>
        <w:t>面伽玛射线全谱仪项目将根据各个阶段的需求合理配置人力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确保每个团队都有足够的专业技能和经验。团队成员将被精心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挑选，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保障地面伽玛射线全谱仪项目各方面的需要。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2" w:right="1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员工培训将是地面伽玛射线全谱仪项目实施的一个重要环节。</w:t>
      </w:r>
      <w:r>
        <w:rPr>
          <w:rFonts w:ascii="FangSong" w:eastAsia="FangSong" w:hAnsi="FangSong" w:cs="FangSong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将提供全面的培训计划，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包括但不限于地面伽玛射线全谱仪项目背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景、工作流程、</w:t>
      </w: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全操作规程等方面的培训。这旨在确保每位员工都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具备</w:t>
      </w:r>
      <w:r>
        <w:rPr>
          <w:rFonts w:ascii="FangSong" w:eastAsia="FangSong" w:hAnsi="FangSong" w:cs="FangSong"/>
          <w:spacing w:val="-2"/>
          <w:sz w:val="28"/>
          <w:szCs w:val="28"/>
        </w:rPr>
        <w:t>必要的知识和技能，以更好地完成各自的工作任务。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五)、地面伽玛射线全谱仪项目实施保障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地面</w:t>
      </w:r>
      <w:r>
        <w:rPr>
          <w:rFonts w:ascii="FangSong" w:eastAsia="FangSong" w:hAnsi="FangSong" w:cs="FangSong"/>
          <w:spacing w:val="-14"/>
          <w:sz w:val="28"/>
          <w:szCs w:val="28"/>
        </w:rPr>
        <w:t>伽</w:t>
      </w:r>
      <w:r>
        <w:rPr>
          <w:rFonts w:ascii="FangSong" w:eastAsia="FangSong" w:hAnsi="FangSong" w:cs="FangSong"/>
          <w:spacing w:val="-8"/>
          <w:sz w:val="28"/>
          <w:szCs w:val="28"/>
        </w:rPr>
        <w:t>玛射线全谱仪项目实施过程中，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地面</w:t>
      </w:r>
      <w:r>
        <w:rPr>
          <w:rFonts w:ascii="FangSong" w:eastAsia="FangSong" w:hAnsi="FangSong" w:cs="FangSong"/>
          <w:spacing w:val="-6"/>
          <w:sz w:val="28"/>
          <w:szCs w:val="28"/>
        </w:rPr>
        <w:t>伽</w:t>
      </w:r>
      <w:r>
        <w:rPr>
          <w:rFonts w:ascii="FangSong" w:eastAsia="FangSong" w:hAnsi="FangSong" w:cs="FangSong"/>
          <w:spacing w:val="-4"/>
          <w:sz w:val="28"/>
          <w:szCs w:val="28"/>
        </w:rPr>
        <w:t>玛射线全谱仪项目的顺利进行：</w:t>
      </w:r>
    </w:p>
    <w:p>
      <w:pPr>
        <w:spacing w:before="1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对地面伽玛射线全谱仪项目进度、成本和质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量进行定期评估，及时调整计划以适应变化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81" w:right="102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建立高效的沟通渠道，促进地面伽玛射线全谱仪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团队之间的协作，减少信息滞后。</w:t>
      </w:r>
    </w:p>
    <w:p>
      <w:pPr>
        <w:spacing w:before="1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实施全面的质量管理体系，确保地面伽玛射线全谱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项目交付的产品和服务符合高标准。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我们确信地面伽玛射线全</w:t>
      </w:r>
      <w:r>
        <w:rPr>
          <w:rFonts w:ascii="FangSong" w:eastAsia="FangSong" w:hAnsi="FangSong" w:cs="FangSong"/>
          <w:spacing w:val="-7"/>
          <w:sz w:val="28"/>
          <w:szCs w:val="28"/>
        </w:rPr>
        <w:t>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仪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项目将在高效、有序的环境中稳步推进，实现预期的目标。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</w:t>
      </w:r>
      <w:r>
        <w:rPr>
          <w:rFonts w:ascii="FangSong" w:eastAsia="FangSong" w:hAnsi="FangSong" w:cs="FangSong"/>
          <w:spacing w:val="-2"/>
          <w:sz w:val="28"/>
          <w:szCs w:val="28"/>
        </w:rPr>
        <w:t>业价值观融合了经济效益、社会责任和环境可持续性。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2" w:right="49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社会责任地面伽玛射线全谱仪项目与计划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(二)、社会责任地面伽玛射线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全谱仪项目与计划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扶贫帮困地</w:t>
      </w:r>
      <w:r>
        <w:rPr>
          <w:rFonts w:ascii="FangSong" w:eastAsia="FangSong" w:hAnsi="FangSong" w:cs="FangSong"/>
          <w:spacing w:val="-1"/>
          <w:sz w:val="28"/>
          <w:szCs w:val="28"/>
        </w:rPr>
        <w:t>面伽玛射线全谱仪项目</w:t>
      </w:r>
    </w:p>
    <w:p>
      <w:pPr>
        <w:spacing w:before="290" w:line="411" w:lineRule="auto"/>
        <w:ind w:left="81" w:right="49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开展扶贫帮困地面伽玛射线全谱仪项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，提供就业机会、职业培训，改善当地居民生活条件。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投资于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区环境改善地面伽玛射线全谱仪项目，包括植树造林、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垃圾分类与处理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418" w:lineRule="auto"/>
        <w:ind w:left="34" w:right="1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4"/>
      <w:bookmarkEnd w:id="41"/>
      <w:bookmarkStart w:id="42" w:name="_bookmark41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</w:t>
      </w:r>
      <w:r>
        <w:rPr>
          <w:rFonts w:ascii="FangSong" w:eastAsia="FangSong" w:hAnsi="FangSong" w:cs="FangSong"/>
          <w:spacing w:val="-1"/>
          <w:sz w:val="28"/>
          <w:szCs w:val="28"/>
        </w:rPr>
        <w:t>益地面伽玛射线全谱仪项目</w:t>
      </w:r>
    </w:p>
    <w:p>
      <w:pPr>
        <w:spacing w:before="288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极参与社会公益地面伽玛射线全谱仪项目，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入力量改善</w:t>
      </w:r>
      <w:r>
        <w:rPr>
          <w:rFonts w:ascii="FangSong" w:eastAsia="FangSong" w:hAnsi="FangSong" w:cs="FangSong"/>
          <w:spacing w:val="-2"/>
          <w:sz w:val="28"/>
          <w:szCs w:val="28"/>
        </w:rPr>
        <w:t>社会问题，如灾害救助、健康医疗等。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7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面伽玛射线全谱仪项目的环境影响评估旨在全面了解、评估地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伽</w:t>
      </w:r>
      <w:r>
        <w:rPr>
          <w:rFonts w:ascii="FangSong" w:eastAsia="FangSong" w:hAnsi="FangSong" w:cs="FangSong"/>
          <w:spacing w:val="-8"/>
          <w:sz w:val="28"/>
          <w:szCs w:val="28"/>
        </w:rPr>
        <w:t>玛射线全谱仪项目对周边自然和社会环境可能产生的影响，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为决策者提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科学、客观的依据。具体目的包括：</w:t>
      </w:r>
    </w:p>
    <w:p>
      <w:pPr>
        <w:spacing w:before="1" w:line="411" w:lineRule="auto"/>
        <w:ind w:left="49" w:right="8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确定地面伽玛射线全谱仪项目可能对自然环境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9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遵循国家和地方环境法规，确保地面伽玛射线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全谱仪项目在环保方面的合法性和可持续性。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(三)、地面伽玛射线全谱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仪项目对环境的主要影响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我们将全面了解地面伽玛射线全谱</w:t>
      </w:r>
      <w:r>
        <w:rPr>
          <w:rFonts w:ascii="FangSong" w:eastAsia="FangSong" w:hAnsi="FangSong" w:cs="FangSong"/>
          <w:spacing w:val="-5"/>
          <w:sz w:val="28"/>
          <w:szCs w:val="28"/>
        </w:rPr>
        <w:t>仪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4"/>
          <w:cols w:space="708"/>
          <w:titlePg w:val="0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bookmarkStart w:id="47" w:name="_bookmark48"/>
      <w:bookmarkEnd w:id="47"/>
      <w:bookmarkStart w:id="48" w:name="_bookmark49"/>
      <w:bookmarkEnd w:id="48"/>
      <w:r>
        <w:rPr>
          <w:rFonts w:ascii="FangSong" w:eastAsia="FangSong" w:hAnsi="FangSong" w:cs="FangSong"/>
          <w:spacing w:val="-6"/>
          <w:sz w:val="28"/>
          <w:szCs w:val="28"/>
        </w:rPr>
        <w:t>项目可能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环境产生的主要影响，包括但不限于：</w:t>
      </w:r>
    </w:p>
    <w:p>
      <w:pPr>
        <w:spacing w:before="289" w:line="411" w:lineRule="auto"/>
        <w:ind w:left="33" w:right="15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评估地面伽玛射线全谱仪项目对附近水源的影响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保水质不受到污染。</w:t>
      </w:r>
    </w:p>
    <w:p>
      <w:pPr>
        <w:spacing w:before="1" w:line="411" w:lineRule="auto"/>
        <w:ind w:left="49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考察地面伽玛射线全谱仪项目可能对空气质量产生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的影响，采取相应措施减少空气污染。</w:t>
      </w:r>
    </w:p>
    <w:p>
      <w:pPr>
        <w:spacing w:before="1" w:line="415" w:lineRule="auto"/>
        <w:ind w:left="33" w:right="15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分析地面伽玛射线全谱仪项目对土壤的潜在影响，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4"/>
          <w:sz w:val="28"/>
          <w:szCs w:val="28"/>
        </w:rPr>
        <w:t>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减</w:t>
      </w:r>
      <w:r>
        <w:rPr>
          <w:rFonts w:ascii="FangSong" w:eastAsia="FangSong" w:hAnsi="FangSong" w:cs="FangSong"/>
          <w:spacing w:val="-10"/>
          <w:sz w:val="28"/>
          <w:szCs w:val="28"/>
        </w:rPr>
        <w:t>少环境影响，地面伽玛射线全谱仪项目将采取以下环保措施：</w:t>
      </w:r>
    </w:p>
    <w:p>
      <w:pPr>
        <w:spacing w:before="290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0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地面</w:t>
      </w:r>
      <w:r>
        <w:rPr>
          <w:rFonts w:ascii="FangSong" w:eastAsia="FangSong" w:hAnsi="FangSong" w:cs="FangSong"/>
          <w:spacing w:val="-14"/>
          <w:sz w:val="28"/>
          <w:szCs w:val="28"/>
        </w:rPr>
        <w:t>伽</w:t>
      </w:r>
      <w:r>
        <w:rPr>
          <w:rFonts w:ascii="FangSong" w:eastAsia="FangSong" w:hAnsi="FangSong" w:cs="FangSong"/>
          <w:spacing w:val="-8"/>
          <w:sz w:val="28"/>
          <w:szCs w:val="28"/>
        </w:rPr>
        <w:t>玛射线全谱仪项目将建立完善的环境监测与管理体系，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括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line="417" w:lineRule="auto"/>
        <w:ind w:left="35" w:right="15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ectPr>
          <w:pgSz w:w="11906" w:h="16839"/>
          <w:pgMar w:top="1431" w:right="1698" w:bottom="0" w:left="1785" w:header="0" w:footer="0" w:gutter="0"/>
          <w:pgNumType w:start="35"/>
          <w:cols w:space="708"/>
        </w:sectPr>
      </w:pPr>
    </w:p>
    <w:p>
      <w:pPr>
        <w:spacing w:before="182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)、公司制度建设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司制度建设</w:t>
      </w:r>
    </w:p>
    <w:p>
      <w:pPr>
        <w:spacing w:before="289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公司制度是组织内部管理的框架，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对企业运营和员工行为起到</w:t>
      </w:r>
      <w:r>
        <w:rPr>
          <w:rFonts w:ascii="FangSong" w:eastAsia="FangSong" w:hAnsi="FangSong" w:cs="FangSong"/>
          <w:spacing w:val="-7"/>
          <w:sz w:val="28"/>
          <w:szCs w:val="28"/>
        </w:rPr>
        <w:t>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导和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范作用。下面是公司制度建设的几个具体方面：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组织架构制度：</w:t>
      </w:r>
    </w:p>
    <w:p>
      <w:pPr>
        <w:spacing w:before="290" w:line="411" w:lineRule="auto"/>
        <w:ind w:left="49" w:right="14" w:firstLine="54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规定各个部门的职责和权限。这包括公司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的层</w:t>
      </w:r>
      <w:r>
        <w:rPr>
          <w:rFonts w:ascii="FangSong" w:eastAsia="FangSong" w:hAnsi="FangSong" w:cs="FangSong"/>
          <w:spacing w:val="-14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结构、部门设置、人员编制等。制度要注重灵活性，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司发展的变化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管理制度：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https://d.book118.com/836104024225010101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3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6104024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2024-03-14T09:13:22Z</vt:filetime>
  </property>
  <property fmtid="{D5CDD505-2E9C-101B-9397-08002B2CF9AE}" pid="3" name="CRO">
    <vt:lpwstr>wqlLaW5nc29mdCBQREYgdG8gV1BTIDgw</vt:lpwstr>
  </property>
</Properties>
</file>