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心脑血管药物相关行业公司成立报告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(七)、心脑血管药物项目建设必要性分析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(一)、心脑血管药物项目选址原则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eastAsia="zh-CN"/>
          </w:rPr>
          <w:t>(五)、心脑血管药物项目选址综合评价</w:t>
        </w:r>
        <w:r>
          <w:tab/>
        </w:r>
        <w:r>
          <w:fldChar w:fldCharType="begin"/>
        </w:r>
        <w:r>
          <w:instrText xml:space="preserve"> PAGEREF _Toc23109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七、心脑血管药物项目风险分析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(一)、心脑血管药物项目风险分析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(二)、心脑血管药物项目风险对策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7" w:history="1">
        <w:r>
          <w:rPr>
            <w:rFonts w:ascii="仿宋" w:eastAsia="仿宋" w:hAnsi="仿宋" w:cs="仿宋" w:hint="eastAsia"/>
            <w:lang w:eastAsia="zh-CN"/>
          </w:rPr>
          <w:t>(一)、心脑血管药物项目进度安排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(二)、心脑血管药物项目实施保障措施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eastAsia="zh-CN"/>
          </w:rPr>
          <w:t>九、心脑血管药物项目经济效益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5" w:history="1">
        <w:r>
          <w:rPr>
            <w:rFonts w:ascii="仿宋" w:eastAsia="仿宋" w:hAnsi="仿宋" w:cs="仿宋" w:hint="eastAsia"/>
            <w:lang w:eastAsia="zh-CN"/>
          </w:rPr>
          <w:t>(三)、心脑血管药物项目盈利能力分析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_Toc14039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7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0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https://d.book118.com/836153111232010035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心脑血管药物相关行业公司成立报告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心脑血管药物相关行业公司成立报告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心脑血管药物相关行业公司成立报告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心脑血管药物相关行业公司成立报告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心脑血管药物相关行业公司成立报告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615311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2023-12-31T18:06:00Z</dcterms:created>
  <dcterms:modified xsi:type="dcterms:W3CDTF">2023-12-31T18:06:25Z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4C154DEA332540378FDDD30DA37675D9_11</vt:lpwstr>
  </property>
  <property fmtid="{D5CDD505-2E9C-101B-9397-08002B2CF9AE}" pid="3" name="KSOProductBuildVer">
    <vt:lpwstr>2052-12.1.0.16120</vt:lpwstr>
  </property>
</Properties>
</file>