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2018-2023年商洛职业技术学院高职单招（数学／语文／英语）历年常考试题库含答案解析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《张中丞传后叙》歌颂的三个人物是（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A.张巡、张籍、南霁云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B.张巡、许远、于嵩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C.许远、张巡、南霁云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D.张巡、许远、雷万春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欧阳修的《五代史伶官传序》说明王朝的兴衰主要在于（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A.天命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B.人事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C.人才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D.伶官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“譬如为山，未成一篑，止，吾止也；譬如平地，虽复一篑，进，吾往也”这段话所用的逻辑论证方法是（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A.演绎、对比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B.归纳、对比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C.类比、归纳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D.对比、类比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“呕出一颗心来，——在我心里!”此诗句出自（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A.郭沫若《炉中煤》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B.艾青《我爱这土地》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C.闻一多《发现》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D.徐志摩《再别康桥》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《米龙老爹》在叙述方法上的特点是（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A.顺叙方式和第一人称与第三人称叙述方式交互使用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B.顺叙之中有插叙和第三人称叙述方式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C.倒叙方式和第一人称叙述方式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D.倒叙方式和第一人称与第三人称叙述方式交互使用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《张中丞传后叙》中抨击的人物是（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A.张巡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B.许远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C.南霁云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D.贺兰进明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冰心在《往事》一文中，用什么形象的特征象征人的品格（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A.灯光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B.大海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C.道路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D.蜜蜂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李煜《虞美人（春花秋月何时了）》中“雕栏玉砌应犹在，只是朱颜改”的言外之意是（　　）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A.美景依旧，故人已老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B.岁月流逝，青春不再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C.故国宫殿，令人牵挂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D.江山易主，物是人非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《报刘一丈书》本文主旨是（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A.赞美刘一丈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B.讽刺官场腐败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C.讽刺“才德称位”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D.赞美“上下相孚”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下列关于作家、作品搭配错误的是（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A.鲁迅——《灯下漫笔》、《论毅力》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B.茅盾——《子夜》、《香市》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C.巴金——《爱尔克的灯光》、《家》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D.曹禺——《雷雨》、《日出》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spacing w:after="200" w:line="276" w:lineRule="atLeast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下列画横线的句子翻译错误的一项是（　　）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drawing>
          <wp:inline distT="0" distB="0" distL="0" distR="0">
            <wp:extent cx="3286470" cy="2238610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86470" cy="223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A.见图A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B.见图B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C.见图C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D.见图D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spacing w:after="200" w:line="276" w:lineRule="auto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“泪添九曲黄河溢，恨压三峰华岳低”所用的修辞方法是（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A.夸张、用典、比喻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B.夸张、对偶、比喻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C.对偶、比喻、拟人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D.用典、夸张、对偶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下列文章中，属于奏章的是（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A.《五代史伶官传序》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B.《答司马谏议书》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9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https://d.book118.com/837045016156006044</w:t>
        </w:r>
      </w:hyperlink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10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image" Target="media/image1.png" /><Relationship Id="rId9" Type="http://schemas.openxmlformats.org/officeDocument/2006/relationships/hyperlink" Target="https://d.book118.com/837045016156006044" TargetMode="Externa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