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pStyle w:val="TOC2"/>
        <w:tabs>
          <w:tab w:val="right" w:leader="dot" w:pos="8306"/>
        </w:tabs>
        <w:ind w:left="0" w:firstLine="0" w:leftChars="0" w:firstLineChars="0"/>
        <w:jc w:val="center"/>
        <w:rPr>
          <w:rFonts w:ascii="宋体" w:eastAsia="宋体" w:hAnsi="宋体" w:hint="eastAsia"/>
          <w:b w:val="0"/>
          <w:bCs/>
          <w:color w:val="000000"/>
          <w:sz w:val="32"/>
          <w:szCs w:val="32"/>
          <w:lang w:eastAsia="zh-CN"/>
        </w:rPr>
      </w:pPr>
      <w:r>
        <w:rPr>
          <w:rFonts w:ascii="宋体" w:hAnsi="宋体" w:hint="eastAsia"/>
          <w:b w:val="0"/>
          <w:bCs/>
          <w:color w:val="000000"/>
          <w:sz w:val="32"/>
          <w:szCs w:val="32"/>
          <w:lang w:eastAsia="zh-CN"/>
        </w:rPr>
        <w:t>书目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hint="eastAsia"/>
          <w:b w:val="0"/>
          <w:bCs/>
          <w:color w:val="000000"/>
          <w:sz w:val="32"/>
          <w:szCs w:val="32"/>
        </w:rPr>
        <w:fldChar w:fldCharType="begin"/>
      </w:r>
      <w:r>
        <w:rPr>
          <w:rFonts w:ascii="宋体" w:eastAsia="宋体" w:hAnsi="宋体" w:cs="宋体" w:hint="eastAsia"/>
          <w:b w:val="0"/>
          <w:bCs/>
          <w:color w:val="000000"/>
          <w:sz w:val="28"/>
          <w:szCs w:val="32"/>
        </w:rPr>
        <w:instrText xml:space="preserve"> \o "1-７" \f \u　</w:instrText>
      </w:r>
      <w:r>
        <w:rPr>
          <w:rFonts w:ascii="宋体" w:eastAsia="宋体" w:hAnsi="宋体" w:hint="eastAsia"/>
          <w:b w:val="0"/>
          <w:bCs/>
          <w:color w:val="000000"/>
          <w:sz w:val="32"/>
          <w:szCs w:val="32"/>
        </w:rPr>
        <w:fldChar w:fldCharType="separate"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一、施工方案及技术措施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2</w:t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28"/>
          <w:lang w:val="en-US" w:eastAsia="zh-CN"/>
        </w:rPr>
        <w:t>　   1.通信管道施工方案及技术措施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eastAsia="宋体"/>
          <w:color w:val="000000"/>
          <w:kern w:val="2"/>
          <w:sz w:val="32"/>
          <w:lang w:val="en-US" w:eastAsia="zh-CN"/>
        </w:rPr>
        <w:fldChar w:fldCharType="begin" w:dirty="1"/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instrText xml:space="preserve">  229０8　</w:instrText>
      </w:r>
      <w:r>
        <w:rPr>
          <w:rFonts w:eastAsia="宋体"/>
          <w:color w:val="000000"/>
          <w:kern w:val="2"/>
          <w:sz w:val="32"/>
          <w:lang w:val="en-US" w:eastAsia="zh-CN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2</w:t>
      </w:r>
      <w:r>
        <w:rPr>
          <w:rFonts w:eastAsia="宋体"/>
          <w:color w:val="000000"/>
          <w:kern w:val="2"/>
          <w:sz w:val="32"/>
          <w:lang w:val="en-US" w:eastAsia="zh-CN"/>
        </w:rPr>
        <w:fldChar w:fldCharType="end"/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28"/>
          <w:lang w:val="en-US" w:eastAsia="zh-CN"/>
        </w:rPr>
        <w:t>　  　２.水系统施工方案及技术措施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１2</w:t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　 　 3.采暖系统施工方案及技术措施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20</w:t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snapToGrid w:val="0"/>
          <w:color w:val="000000"/>
          <w:kern w:val="44"/>
          <w:sz w:val="28"/>
          <w:szCs w:val="28"/>
          <w:lang w:val="en-US" w:eastAsia="zh-CN"/>
        </w:rPr>
        <w:t xml:space="preserve">  　 4．道路破除及复原施工方案及技术措施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29</w:t>
      </w:r>
    </w:p>
    <w:p>
      <w:pPr>
        <w:pStyle w:val="TOC3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28"/>
          <w:lang w:val="en-US" w:eastAsia="zh-CN"/>
        </w:rPr>
        <w:t>二、质量管理体系及保证措施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40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bCs/>
          <w:color w:val="000000"/>
          <w:kern w:val="0"/>
          <w:sz w:val="28"/>
          <w:szCs w:val="28"/>
          <w:lang w:val="en-US" w:eastAsia="zh-CN"/>
        </w:rPr>
        <w:t>三、</w:t>
      </w:r>
      <w:r>
        <w:rPr>
          <w:rFonts w:ascii="宋体" w:eastAsia="宋体" w:hAnsi="宋体" w:cs="宋体" w:hint="eastAsia"/>
          <w:iCs/>
          <w:color w:val="000000"/>
          <w:sz w:val="28"/>
          <w:szCs w:val="28"/>
        </w:rPr>
        <w:t>平安和绿色施工保障措施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42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28"/>
          <w:lang w:val="en-US" w:eastAsia="zh-CN"/>
        </w:rPr>
        <w:t>四、工程进度支配及保证措施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47</w:t>
      </w:r>
    </w:p>
    <w:p>
      <w:pPr>
        <w:pStyle w:val="TOC3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　　  　1.施工进度支配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４７</w:t>
      </w:r>
    </w:p>
    <w:p>
      <w:pPr>
        <w:pStyle w:val="TOC3"/>
        <w:tabs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28"/>
          <w:lang w:val="en-US" w:eastAsia="zh-CN"/>
        </w:rPr>
        <w:t xml:space="preserve">2.施工进度保证措施 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>ﻩ</w:t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48</w:t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五、雨季施工方案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４9</w:t>
      </w:r>
    </w:p>
    <w:p>
      <w:pPr>
        <w:pStyle w:val="TOC1"/>
        <w:tabs>
          <w:tab w:val="clear" w:pos="8296"/>
          <w:tab w:val="right" w:leader="dot" w:pos="8306"/>
        </w:tabs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8"/>
          <w:szCs w:val="32"/>
          <w:lang w:val="en-US" w:eastAsia="zh-CN"/>
        </w:rPr>
        <w:t>六、施工总平面图布置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５0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bCs/>
          <w:color w:val="000000"/>
          <w:kern w:val="0"/>
          <w:sz w:val="28"/>
          <w:szCs w:val="28"/>
          <w:lang w:val="zh-CN" w:eastAsia="zh-CN"/>
        </w:rPr>
        <w:t>七、紧急状况处理措施、预案及反抗风险的措施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51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eastAsia="宋体"/>
          <w:color w:val="000000"/>
          <w:kern w:val="2"/>
          <w:sz w:val="32"/>
          <w:lang w:val="en-US" w:eastAsia="zh-CN"/>
        </w:rPr>
      </w:pPr>
      <w:r>
        <w:rPr>
          <w:rFonts w:ascii="宋体" w:eastAsia="宋体" w:hAnsi="宋体" w:cs="宋体" w:hint="eastAsia"/>
          <w:bCs/>
          <w:color w:val="000000"/>
          <w:kern w:val="0"/>
          <w:sz w:val="28"/>
          <w:szCs w:val="28"/>
          <w:lang w:val="zh-CN" w:eastAsia="zh-CN"/>
        </w:rPr>
        <w:t>八、附表</w:t>
      </w:r>
      <w:r>
        <w:rPr>
          <w:rFonts w:ascii="宋体" w:eastAsia="宋体" w:hAnsi="宋体" w:cs="宋体"/>
          <w:color w:val="000000"/>
          <w:kern w:val="2"/>
          <w:sz w:val="28"/>
          <w:lang w:val="en-US" w:eastAsia="zh-CN"/>
        </w:rPr>
        <w:tab/>
      </w:r>
      <w:r>
        <w:rPr>
          <w:rFonts w:ascii="宋体" w:eastAsia="宋体" w:hAnsi="宋体" w:cs="宋体" w:hint="eastAsia"/>
          <w:color w:val="000000"/>
          <w:kern w:val="2"/>
          <w:sz w:val="28"/>
          <w:lang w:val="en-US" w:eastAsia="zh-CN"/>
        </w:rPr>
        <w:t>5５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  <w:r>
        <w:rPr>
          <w:rFonts w:ascii="宋体" w:eastAsia="宋体" w:hAnsi="宋体" w:hint="eastAsia"/>
          <w:bCs/>
          <w:color w:val="000000"/>
          <w:kern w:val="2"/>
          <w:sz w:val="32"/>
          <w:szCs w:val="32"/>
          <w:lang w:val="en-US" w:eastAsia="zh-CN"/>
        </w:rPr>
        <w:fldChar w:fldCharType="end"/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宋体" w:hAnsi="宋体" w:hint="eastAsia"/>
          <w:bCs/>
          <w:color w:val="00000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kern w:val="0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kern w:val="0"/>
          <w:sz w:val="32"/>
          <w:szCs w:val="32"/>
        </w:rPr>
        <w:sectPr>
          <w:type w:val="nextPage"/>
          <w:pgSz w:w="11906" w:h="16838"/>
          <w:pgMar w:top="1417" w:right="1134" w:bottom="1134" w:left="1134" w:header="851" w:footer="992" w:gutter="0"/>
          <w:paperSrc w:first="0" w:other="0"/>
          <w:cols w:space="708"/>
          <w:titlePg w:val="0"/>
          <w:textDirection w:val="lrTb"/>
          <w:docGrid w:type="lines" w:linePitch="317" w:charSpace="0"/>
        </w:sect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textAlignment w:val="auto"/>
        <w:rPr>
          <w:rFonts w:ascii="仿宋_GB2312" w:hAnsi="宋体" w:hint="eastAsia"/>
          <w:b w:val="0"/>
          <w:bCs/>
          <w:caps w:val="0"/>
          <w:color w:val="000000"/>
          <w:kern w:val="0"/>
          <w:sz w:val="32"/>
          <w:szCs w:val="32"/>
        </w:rPr>
      </w:pPr>
      <w:r>
        <w:rPr>
          <w:rFonts w:ascii="宋体" w:eastAsia="宋体" w:hAnsi="宋体" w:cs="宋体" w:hint="eastAsia"/>
          <w:b w:val="0"/>
          <w:bCs/>
          <w:caps w:val="0"/>
          <w:color w:val="000000"/>
          <w:kern w:val="0"/>
          <w:sz w:val="28"/>
          <w:szCs w:val="32"/>
          <w:lang w:val="en-US" w:eastAsia="zh-CN"/>
        </w:rPr>
        <w:t>一、分项施工方案及技术措施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b w:val="0"/>
          <w:bCs/>
          <w:caps w:val="0"/>
          <w:color w:val="000000"/>
          <w:kern w:val="0"/>
          <w:sz w:val="28"/>
          <w:szCs w:val="28"/>
          <w:lang w:val="en-US" w:eastAsia="zh-CN"/>
        </w:rPr>
        <w:t>1.通信管道施工方案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cs="宋体" w:hint="eastAsia"/>
          <w:b w:val="0"/>
          <w:caps w:val="0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b w:val="0"/>
          <w:bCs/>
          <w:caps w:val="0"/>
          <w:color w:val="000000"/>
          <w:kern w:val="0"/>
          <w:sz w:val="28"/>
          <w:szCs w:val="28"/>
        </w:rPr>
        <w:t>１</w:t>
      </w:r>
      <w:r>
        <w:rPr>
          <w:rFonts w:ascii="宋体" w:eastAsia="宋体" w:hAnsi="宋体" w:cs="宋体" w:hint="eastAsia"/>
          <w:b w:val="0"/>
          <w:caps w:val="0"/>
          <w:color w:val="000000"/>
          <w:kern w:val="0"/>
          <w:sz w:val="28"/>
          <w:szCs w:val="28"/>
        </w:rPr>
        <w:t>、施工工序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  <w:r>
        <w:rPr>
          <w:rFonts w:ascii="仿宋_GB2312" w:eastAsia="宋体" w:hAnsi="宋体" w:hint="eastAsia"/>
          <w:b w:val="0"/>
          <w:caps w:val="0"/>
          <w:color w:val="000000"/>
          <w:sz w:val="28"/>
          <w:szCs w:val="28"/>
        </w:rPr>
        <w:pict>
          <v:group id="Group 4" o:spid="_x0000_s1026" style="width:477pt;height:140.4pt;margin-top:1.4pt;margin-left:-9pt;position:absolute;z-index:251658240" coordorigin="0,0" coordsize="9540,2808">
            <o:lock v:ext="edit" aspectratio="f"/>
            <v:group id="Group 5" o:spid="_x0000_s1027" style="width:9540;height:1716;position:absolute" coordorigin="0,0" coordsize="9540,1716">
              <o:lock v:ext="edit" aspectratio="f"/>
              <v:rect id="Rectangle 6" o:spid="_x0000_s1028" style="width:3724;height:621;left:180;mso-wrap-style:square;position:absolute;top:3">
                <v:stroke linestyle="single"/>
                <o:lock v:ext="edit" aspectratio="f"/>
                <v:textbox>
                  <w:txbxContent>
                    <w:p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机械挖槽至设计给水基底上20</w:t>
                      </w:r>
                    </w:p>
                  </w:txbxContent>
                </v:textbox>
              </v:rect>
              <v:line id="Line 7" o:spid="_x0000_s1029" style="mso-wrap-style:square;position:absolute" from="3960,312" to="4500,312">
                <v:stroke linestyle="single" endarrow="block"/>
                <o:lock v:ext="edit" aspectratio="f"/>
              </v:line>
              <v:rect id="Rectangle 8" o:spid="_x0000_s1030" style="width:2160;height:624;left:4500;mso-wrap-style:square;position:absolute">
                <v:stroke linestyle="single"/>
                <o:lock v:ext="edit" aspectratio="f"/>
                <v:textbox>
                  <w:txbxContent>
                    <w:p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人工挖槽至基底</w:t>
                      </w:r>
                    </w:p>
                  </w:txbxContent>
                </v:textbox>
              </v:rect>
              <v:line id="Line 9" o:spid="_x0000_s1031" style="mso-wrap-style:square;position:absolute" from="6660,312" to="7200,312">
                <v:stroke linestyle="single" endarrow="block"/>
                <o:lock v:ext="edit" aspectratio="f"/>
              </v:line>
              <v:rect id="Rectangle 10" o:spid="_x0000_s1032" style="width:2160;height:624;left:7380;mso-wrap-style:square;position:absolute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槽底验收合格</w:t>
                      </w:r>
                    </w:p>
                  </w:txbxContent>
                </v:textbox>
              </v:rect>
              <v:line id="Line 11" o:spid="_x0000_s1033" style="mso-wrap-style:square;position:absolute" from="8460,624" to="8460,1248">
                <v:stroke linestyle="single" endarrow="block"/>
                <o:lock v:ext="edit" aspectratio="f"/>
              </v:line>
              <v:rect id="Rectangle 12" o:spid="_x0000_s1034" style="width:2160;height:468;left:7380;mso-wrap-style:square;position:absolute;top:1248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基础施工</w:t>
                      </w:r>
                    </w:p>
                  </w:txbxContent>
                </v:textbox>
              </v:rect>
              <v:line id="Line 13" o:spid="_x0000_s1035" style="flip:x;mso-wrap-style:square;position:absolute" from="6640,1480" to="7360,1480">
                <v:stroke linestyle="single" endarrow="block"/>
                <o:lock v:ext="edit" aspectratio="f"/>
              </v:line>
              <v:rect id="Rectangle 14" o:spid="_x0000_s1036" style="width:1620;height:624;left:5040;mso-wrap-style:square;position:absolute;top:1092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打垫层</w:t>
                      </w:r>
                    </w:p>
                  </w:txbxContent>
                </v:textbox>
              </v:rect>
              <v:line id="Line 15" o:spid="_x0000_s1037" style="flip:x;mso-wrap-style:square;position:absolute" from="4500,1404" to="5040,1404">
                <v:stroke linestyle="single" endarrow="block"/>
                <o:lock v:ext="edit" aspectratio="f"/>
              </v:line>
              <v:rect id="Rectangle 16" o:spid="_x0000_s1038" style="width:1080;height:624;left:3420;mso-wrap-style:square;position:absolute;top:1092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下管安管</w:t>
                      </w:r>
                    </w:p>
                  </w:txbxContent>
                </v:textbox>
              </v:rect>
              <v:rect id="Rectangle 17" o:spid="_x0000_s1039" style="width:2340;height:624;mso-wrap-style:square;position:absolute;top:1092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铺沙</w:t>
                      </w:r>
                    </w:p>
                  </w:txbxContent>
                </v:textbox>
              </v:rect>
              <v:line id="Line 18" o:spid="_x0000_s1040" style="flip:x;mso-wrap-style:square;position:absolute" from="2340,1404" to="3420,1404">
                <v:stroke linestyle="single" endarrow="block"/>
                <o:lock v:ext="edit" aspectratio="f"/>
              </v:line>
            </v:group>
            <v:group id="Group 19" o:spid="_x0000_s1041" style="width:8640;height:1092;left:180;position:absolute;top:1716" coordorigin="0,0" coordsize="8640,1092">
              <o:lock v:ext="edit" aspectratio="f"/>
              <v:line id="Line 20" o:spid="_x0000_s1042" style="mso-wrap-style:square;position:absolute" from="180,0" to="180,468">
                <v:stroke linestyle="single" endarrow="block"/>
                <o:lock v:ext="edit" aspectratio="f"/>
              </v:line>
              <v:rect id="Rectangle 21" o:spid="_x0000_s1043" style="width:1620;height:624;mso-wrap-style:square;position:absolute;top:468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砌筑检查井</w:t>
                      </w:r>
                    </w:p>
                  </w:txbxContent>
                </v:textbox>
              </v:rect>
              <v:line id="Line 22" o:spid="_x0000_s1044" style="mso-wrap-style:square;position:absolute" from="1620,780" to="2340,780">
                <v:stroke linestyle="single" endarrow="block"/>
                <o:lock v:ext="edit" aspectratio="f"/>
              </v:line>
              <v:rect id="Rectangle 23" o:spid="_x0000_s1045" style="width:1620;height:624;left:2340;mso-wrap-style:square;position:absolute;top:468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ascii="宋体" w:cs="宋体" w:hint="eastAsia"/>
                          <w:kern w:val="0"/>
                          <w:sz w:val="24"/>
                          <w:lang w:eastAsia="zh-CN"/>
                        </w:rPr>
                        <w:t>人孔</w:t>
                      </w:r>
                    </w:p>
                  </w:txbxContent>
                </v:textbox>
              </v:rect>
              <v:line id="Line 24" o:spid="_x0000_s1046" style="mso-wrap-style:square;position:absolute" from="3960,780" to="4680,780">
                <v:stroke linestyle="single" endarrow="block"/>
                <o:lock v:ext="edit" aspectratio="f"/>
              </v:line>
              <v:rect id="Rectangle 25" o:spid="_x0000_s1047" style="width:1620;height:624;left:4680;mso-wrap-style:square;position:absolute;top:468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宋体" w:cs="宋体" w:hint="eastAsia"/>
                          <w:kern w:val="0"/>
                          <w:sz w:val="24"/>
                        </w:rPr>
                        <w:t>冲洗消毒</w:t>
                      </w:r>
                    </w:p>
                  </w:txbxContent>
                </v:textbox>
              </v:rect>
              <v:line id="Line 26" o:spid="_x0000_s1048" style="mso-wrap-style:square;position:absolute" from="6300,780" to="7020,780">
                <v:stroke linestyle="single" endarrow="block"/>
                <o:lock v:ext="edit" aspectratio="f"/>
              </v:line>
              <v:rect id="Rectangle 27" o:spid="_x0000_s1049" style="width:1620;height:624;left:7020;mso-wrap-style:square;position:absolute;top:468">
                <v:stroke linestyle="single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管道回填</w:t>
                      </w:r>
                    </w:p>
                  </w:txbxContent>
                </v:textbox>
              </v:rect>
            </v:group>
          </v:group>
        </w:pic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bCs/>
          <w:caps w:val="0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 w:val="0"/>
          <w:bCs/>
          <w:caps w:val="0"/>
          <w:color w:val="000000"/>
          <w:sz w:val="28"/>
          <w:szCs w:val="28"/>
        </w:rPr>
        <w:t>２.1　土方施工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ascii="仿宋_GB2312" w:hAnsi="宋体" w:hint="eastAsia"/>
          <w:b w:val="0"/>
          <w:caps w:val="0"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ascii="宋体" w:hAnsi="宋体"/>
          <w:b w:val="0"/>
          <w:caps w:val="0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szCs w:val="28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szCs w:val="28"/>
        </w:rPr>
        <w:t xml:space="preserve">、测量放线方案ﻭ  　  牢靠的施工测量是保障正确执行设计意图的前提，施工测量是将符合设计文件要求的位置、形态、规格精确的在地面上测设出来以便进行施工。因此，施工测量工作贯穿在整个施工过程的 始终，是工程建设的先锋。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firstLine="594" w:firstLineChars="212"/>
        <w:jc w:val="left"/>
        <w:textAlignment w:val="auto"/>
        <w:rPr>
          <w:rFonts w:ascii="宋体" w:hAnsi="宋体"/>
          <w:b w:val="0"/>
          <w:caps w:val="0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szCs w:val="28"/>
        </w:rPr>
        <w:t>(一）、平面限制</w:t>
        <w:cr/>
        <w:t xml:space="preserve">精确的限制是施工的前提，是整个工程按设计要求施工的保证,也是施工放样的依据。施工前,必将将限制网布设测量完成。 经监理工程师复核确认后方可运用。标桩应布设合理，运用便利。对特殊部位应加强限制。全部标村都应进行固定性爱护，以防破坏，并树立易识别的标记或涂以显明的颜色。施工过程中，迁移位置不适当的标桩和补测遗失损坏的永久性标桩,必需经监理工程师认可后方可运用。 以业主、监理工程师所供应的限制点为依据布设施工限制导线网。为确保精度,采纳全站仪进行观测。限制网测设时其正倒镜差&lt;12"，２Ｃ值&lt;12"，方位角闭合差&lt;３0",其各项指标都符合国家的规范标准。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firstLine="560" w:firstLineChars="200"/>
        <w:textAlignment w:val="auto"/>
        <w:rPr>
          <w:rFonts w:ascii="宋体" w:hAnsi="宋体"/>
          <w:b w:val="0"/>
          <w:caps w:val="0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szCs w:val="28"/>
        </w:rPr>
        <w:t xml:space="preserve">（二）、高程限制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firstLine="560" w:firstLineChars="200"/>
        <w:textAlignment w:val="auto"/>
        <w:rPr>
          <w:rFonts w:ascii="宋体" w:hAnsi="宋体"/>
          <w:b w:val="0"/>
          <w:caps w:val="0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szCs w:val="28"/>
        </w:rPr>
        <w:t xml:space="preserve">从施工的须要动身，合理的布设水准网，用以指导限制合同段的高程是高程限制网的布设的根本目的。水准限制网的测设按国家三等水准要求进行,采纳双摆站法,测设时高差较差小于3。完全满意精度要求，符合施工的须要。并经监理工程师的检查验收后方可运用。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３、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土方工程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一.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挖掘沟坑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  <w:sectPr>
          <w:type w:val="nextPage"/>
          <w:pgSz w:w="11906" w:h="16838"/>
          <w:pgMar w:top="1417" w:right="1134" w:bottom="1134" w:left="1134" w:header="851" w:footer="992" w:gutter="0"/>
          <w:paperSrc w:first="0" w:other="0"/>
          <w:pgNumType w:start="2"/>
          <w:cols w:space="708"/>
          <w:titlePg w:val="0"/>
          <w:textDirection w:val="lrTb"/>
          <w:docGrid w:type="lines" w:linePitch="317" w:charSpace="0"/>
        </w:sect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通信管道施工中，遇到不稳定土壤或有腐蚀性的土壤时,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施工单位应刚好提出,待有关单位提出处理看法后方可施工。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2)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管道施工开挖时,遇到地下已有其他管线平行或垂直距离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接近时，应按设计规范的规定核对其相互间的最小净距是否符合标准。如发觉不符合标准或危及其他设施平安时，应向建设单位反映,在未取得建设单位和产权单位同意时，不得接着施工。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3）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挖掘沟（坑）如发觉埋藏物,特殊是文物、古墓等必需马上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停止施工,并负责爱护现场,及有关部门联系，在未得到妥当解决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之前，施工单位等严禁在该地段内接着工作。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4）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施工现场条件允许，土层坚实及地下水位低于沟（坑）底,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且挖深超过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3m时,可采纳放坡法施工。放坡挖沟（坑)的坡及深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度关系按表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4.1.４的要求执行(图4.1.４)。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表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４.１.４放坡挖沟(坑)的坡度及深度关系</w:t>
      </w:r>
    </w:p>
    <w:tbl>
      <w:tblPr>
        <w:tblStyle w:val="TableNormal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24"/>
        <w:gridCol w:w="1988"/>
        <w:gridCol w:w="195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6"/>
        </w:trPr>
        <w:tc>
          <w:tcPr>
            <w:tcW w:w="19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土壤类别</w:t>
            </w:r>
          </w:p>
        </w:tc>
        <w:tc>
          <w:tcPr>
            <w:tcW w:w="394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H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D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3"/>
        </w:trPr>
        <w:tc>
          <w:tcPr>
            <w:tcW w:w="1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H&lt;2m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2m&lt;H&lt;3m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8"/>
        </w:trPr>
        <w:tc>
          <w:tcPr>
            <w:tcW w:w="19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粘土</w:t>
            </w: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0．1０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：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"/>
        </w:trPr>
        <w:tc>
          <w:tcPr>
            <w:tcW w:w="19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砂粘土</w:t>
            </w: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0.15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0"/>
        </w:trPr>
        <w:tc>
          <w:tcPr>
            <w:tcW w:w="19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砂质土</w:t>
            </w: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：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０.2５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：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"/>
        </w:trPr>
        <w:tc>
          <w:tcPr>
            <w:tcW w:w="19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瓦砾、卵石</w:t>
            </w: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l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０.50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：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0.75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"/>
        </w:trPr>
        <w:tc>
          <w:tcPr>
            <w:tcW w:w="192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炉渣、回填土</w:t>
            </w:r>
          </w:p>
        </w:tc>
        <w:tc>
          <w:tcPr>
            <w:tcW w:w="198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l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：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０.７５</w:t>
            </w: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: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1.0０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注: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H为深度；D为放坡(一侧的)宽度。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/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当管道沟及人(手）孔坑深度超过３m时，应适当增设倒土平台(宽400)或加大放坡系数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挖掘不需支撑护土板的人(手)孔坑,其坑的平面形态应及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人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(手)孔形态相同，坑的侧壁及人(手)孔外壁的外侧间距不应小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于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０.４m，其放坡应按表4.1.４执行。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（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7)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挖掘需支撑护土板的人(手)孔坑，宜挖矩形坑。人(手)孔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坑的长边及人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(手）孔壁长边的外侧(指最大宽处）问距不应小于0.3m，宽不应小于0.4m。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/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8）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通信管道工程的沟(坑）挖成后，凡遇被水冲泡的,必需重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新进行人工地基处理，否则,严禁进行下一道工序的施工。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９）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凡设计图纸标明需支撑护土板的地段,均应依据设计文件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规定进行施工；设计文件中没有具体规定的,遇下列地段应支撑护土板。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  <w:sectPr>
          <w:type w:val="nextPage"/>
          <w:pgSz w:w="11906" w:h="16838"/>
          <w:pgMar w:top="1417" w:right="1134" w:bottom="1134" w:left="1134" w:header="851" w:footer="992" w:gutter="0"/>
          <w:paperSrc w:first="0" w:other="0"/>
          <w:pgNumType w:start="3"/>
          <w:cols w:space="708"/>
          <w:titlePg w:val="0"/>
          <w:textDirection w:val="lrTb"/>
          <w:docGrid w:type="lines" w:linePitch="317" w:charSpace="0"/>
        </w:sect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1横穿车行道的管道沟。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２沟(坑)的土壤是松软的回填土、瓦砾、砂土、级配砂石层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３沟(坑)土质松软且其深度低于地下水位的。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4施工现场条件所限无法采纳放坡法施工而须要支撑护土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板的地段,或及其他管线平行较长且相距较小的地段等。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10)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挖沟(坑)接近设计的底部高程时,应避开挖掘过深破坏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土壤结构，如挖深超过设计标高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,应填铺灰土或级配砂石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并应夯实。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１1）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通信管道工程施工现场堆土，应符合下列要求: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１开凿的路面及挖出的石块等应及泥土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分别堆置。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2堆土不应紧靠碎砖或土坯墙,并应留有行人通道。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3城镇内的堆土高度不宜超过1．5ｍ。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4堆置土不应压埋消火栓、闸门、电缆(光缆)线路标石以及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热力、煤气、雨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(污)水等管线的检查井、雨水口及测量标记等设施。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5堆土的坡脚边应距沟(坑)边40以上。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6堆土的范围应符合市政、市容、公安等部门的要求。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12)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挖掘通信管道沟(坑)时，严禁在有积水的状况下作业，必需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将水排放后进行挖掘工作。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13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挖掘通信管道沟(坑)施工现场，应设置红白相问的临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时护栏或醒目的标记。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14)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室外最低气温在零下50C时，对所挖的沟（坑)底部,应实行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有效的防冻措施。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.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回填土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/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通信管道工程的回填土,应在管道或人（手）孔按施工依次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完成施工内容,并经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24h养护和隐藏工程检验合格后进行。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（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2)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回填土前，应先清除沟(坑)内的遗留木料、草帘、纸袋等杂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物。沟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(坑)内如有积水和淤泥，必需解除后方可进行回填土。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３）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通信管道工程的回填土,除设计文件有特殊要求外,应符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合下列规定：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1在管道两侧和顶部３00范围内,应采纳细砂或过筛细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土回填。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2管道两侧应同时进行回填土,每回填土150厚,应夯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实。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3管道顶部300以上,每回填土30０厚,应夯实。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4）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通信管道工程挖明沟穿越道路的回填土，应符合下列要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求：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１在市内主干道路的回填土夯实,应及路面平齐。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/>
          <w:b w:val="0"/>
          <w:caps w:val="0"/>
          <w:color w:val="000000"/>
          <w:sz w:val="28"/>
        </w:rPr>
        <w:sectPr>
          <w:type w:val="nextPage"/>
          <w:pgSz w:w="11906" w:h="16838"/>
          <w:pgMar w:top="1417" w:right="1134" w:bottom="1134" w:left="1134" w:header="851" w:footer="992" w:gutter="0"/>
          <w:paperSrc w:first="0" w:other="0"/>
          <w:pgNumType w:start="4"/>
          <w:cols w:space="708"/>
          <w:titlePg w:val="0"/>
          <w:textDirection w:val="lrTb"/>
          <w:docGrid w:type="lines" w:linePitch="317" w:charSpace="0"/>
        </w:sect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2市内一般道路的回填土夯实，应高出路面50～ｌ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００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,在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郊区土地上回填土,可高出地表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150～20０。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5)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人(手)孔坑的回填土，应符合下列要求: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1在路上的人(手)孔坑两端管道回填土，应依据第4.2．4条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的规定执行。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2靠近人(手)孔壁四周的回填土内，不应有直径大于的砾石，碎砖等坚硬物。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3人(手)孔坑每回填土300时，应夯实。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4人(手)孔坑的回填土，严禁高出人(手)孔口圈的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高程。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6）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管道及人（手)孔坑夯实密实度应符合当地市政部门施工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的有关规定。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（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７)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在修复通信管道施工挖掘的路面之前,如回填土出现明显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的坑、洼，通信管道的施工单位应依据市政部门的要求刚好处理。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8）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通信管道工程回填土完毕,应刚好清理现场的碎砖、破管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等杂物。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5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.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模板、钢筋及混凝土、砂浆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一.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装拆模板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1)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通信管道工程中的混凝土基础、包封、上覆及人孔壁、盖板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等,均应按设计图纸的规格要求支架模板。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(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2）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浇筑混凝土的模板,应符合下列规定：。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1各类模板必需有足够的强度、刚度和稳定性，无缝隙和孔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洞，浇筑混凝土后不得产生形变。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2模板的形态、规格应保证设计图纸要求所浇筑混凝土构件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的规格和形态。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3模板及混凝土的接触面应平整,边缘整齐,拼缝紧密、坚固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,预留孔洞位置精确,尺寸符合规定。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4重复运用的模板,表面不得有粘结的混凝土、水泥砂浆及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泥土等附着物。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eastAsia="zh-CN"/>
        </w:rPr>
        <w:t>（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  <w:lang w:val="en-US" w:eastAsia="zh-CN"/>
        </w:rPr>
        <w:t>３)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模板拆除的期限，应符合下列要求: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/>
          <w:b w:val="0"/>
          <w:caps w:val="0"/>
          <w:color w:val="000000"/>
          <w:sz w:val="28"/>
        </w:rPr>
        <w:t>1各种非承重混凝土构件最早拆除模板的期限,应符合表5.１.3</w:t>
      </w: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-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1的规定。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b w:val="0"/>
          <w:caps w:val="0"/>
          <w:color w:val="000000"/>
          <w:sz w:val="28"/>
        </w:rPr>
      </w:pPr>
      <w:r>
        <w:rPr>
          <w:rFonts w:ascii="宋体" w:eastAsia="宋体" w:hAnsi="宋体" w:cs="宋体" w:hint="eastAsia"/>
          <w:b w:val="0"/>
          <w:caps w:val="0"/>
          <w:color w:val="000000"/>
          <w:sz w:val="28"/>
        </w:rPr>
        <w:t>表</w:t>
      </w:r>
      <w:r>
        <w:rPr>
          <w:rFonts w:ascii="宋体" w:eastAsia="宋体" w:hAnsi="宋体" w:cs="宋体"/>
          <w:b w:val="0"/>
          <w:caps w:val="0"/>
          <w:color w:val="000000"/>
          <w:sz w:val="28"/>
        </w:rPr>
        <w:t>5.1.3－1非承重混凝土构件拆模时辰表</w:t>
      </w:r>
    </w:p>
    <w:tbl>
      <w:tblPr>
        <w:tblStyle w:val="TableNormal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85"/>
        <w:gridCol w:w="465"/>
        <w:gridCol w:w="1230"/>
        <w:gridCol w:w="634"/>
        <w:gridCol w:w="634"/>
        <w:gridCol w:w="643"/>
        <w:gridCol w:w="633"/>
        <w:gridCol w:w="634"/>
        <w:gridCol w:w="168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7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水泥品种</w:t>
            </w:r>
          </w:p>
        </w:tc>
        <w:tc>
          <w:tcPr>
            <w:tcW w:w="465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水泥标号</w:t>
            </w:r>
          </w:p>
        </w:tc>
        <w:tc>
          <w:tcPr>
            <w:tcW w:w="1230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混凝土标号</w:t>
            </w:r>
          </w:p>
        </w:tc>
        <w:tc>
          <w:tcPr>
            <w:tcW w:w="4862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日平均温度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(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℃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"/>
        </w:trPr>
        <w:tc>
          <w:tcPr>
            <w:tcW w:w="1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5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１0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１５</w:t>
            </w:r>
          </w:p>
        </w:tc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20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2５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6"/>
        </w:trPr>
        <w:tc>
          <w:tcPr>
            <w:tcW w:w="1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486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混凝土达到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２.45(25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/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  <w:szCs w:val="21"/>
                <w:vertAlign w:val="superscript"/>
              </w:rPr>
              <w:t>2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)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强度的拆模天数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1785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一般硅酸盐水泥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3２.5</w:t>
            </w:r>
          </w:p>
        </w:tc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C10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以下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５.0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4．０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３.0</w:t>
            </w:r>
          </w:p>
        </w:tc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２.0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１．5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１.0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Ｃ11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～</w:t>
            </w: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C20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4.5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3.0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2.5</w:t>
            </w:r>
          </w:p>
        </w:tc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2.0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1.5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１．0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1"/>
        </w:trPr>
        <w:tc>
          <w:tcPr>
            <w:tcW w:w="1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C２0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以上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3.０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2.５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</w:t>
            </w:r>
          </w:p>
        </w:tc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１.5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rFonts w:hint="eastAsia"/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．0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1.0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1785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</w:p>
        </w:tc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C１0</w:t>
            </w:r>
            <w:r>
              <w:rPr>
                <w:rFonts w:ascii="宋体" w:eastAsia="宋体" w:hAnsi="宋体" w:cs="宋体" w:hint="eastAsia"/>
                <w:b w:val="0"/>
                <w:caps w:val="0"/>
                <w:color w:val="000000"/>
                <w:sz w:val="28"/>
              </w:rPr>
              <w:t>以下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440" w:lineRule="exact"/>
              <w:textAlignment w:val="auto"/>
              <w:rPr>
                <w:rFonts w:hint="eastAsia"/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８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6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4．5</w:t>
            </w:r>
          </w:p>
        </w:tc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3.5</w:t>
            </w:r>
          </w:p>
        </w:tc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2．5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b w:val="0"/>
                <w:caps w:val="0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b w:val="0"/>
                <w:caps w:val="0"/>
                <w:color w:val="000000"/>
                <w:sz w:val="28"/>
              </w:rPr>
              <w:t>2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https://d.book118.com/838003014133006035</w:t>
        </w:r>
      </w:hyperlink>
    </w:p>
    <w:p/>
    <w:sectPr>
      <w:type w:val="nextPage"/>
      <w:pgSz w:w="11906" w:h="16838"/>
      <w:pgMar w:top="1417" w:right="1134" w:bottom="1134" w:left="1134" w:header="851" w:footer="992" w:gutter="0"/>
      <w:paperSrc w:first="0" w:other="0"/>
      <w:pgNumType w:start="5"/>
      <w:cols w:space="708"/>
      <w:titlePg w:val="0"/>
      <w:textDirection w:val="lrTb"/>
      <w:docGrid w:type="lines" w:linePitch="317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方正北魏楷书简体">
    <w:altName w:val="方正舒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gency FB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A24AB"/>
    <w:multiLevelType w:val="singleLevel"/>
    <w:tmpl w:val="53AA24AB"/>
    <w:lvl w:ilvl="0">
      <w:start w:val="5"/>
      <w:numFmt w:val="decimal"/>
      <w:suff w:val="nothing"/>
      <w:lvlText w:val="（%1）"/>
      <w:lvlJc w:val="left"/>
    </w:lvl>
  </w:abstractNum>
  <w:abstractNum w:abstractNumId="1">
    <w:nsid w:val="53AA3D9D"/>
    <w:multiLevelType w:val="singleLevel"/>
    <w:tmpl w:val="53AA3D9D"/>
    <w:lvl w:ilvl="0">
      <w:start w:val="9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9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semiHidden="0" w:uiPriority="39" w:unhideWhenUsed="0"/>
    <w:lsdException w:name="toc 8" w:uiPriority="39"/>
    <w:lsdException w:name="toc 9" w:uiPriority="39"/>
    <w:lsdException w:name="Normal Indent" w:semiHidden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Body Text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156" w:beforeLines="50" w:after="156" w:afterLines="50" w:line="560" w:lineRule="exact"/>
      <w:contextualSpacing/>
      <w:jc w:val="center"/>
      <w:outlineLvl w:val="0"/>
    </w:pPr>
    <w:rPr>
      <w:rFonts w:eastAsia="方正北魏楷书简体"/>
      <w:b/>
      <w:bCs/>
      <w:kern w:val="44"/>
      <w:sz w:val="32"/>
      <w:szCs w:val="44"/>
    </w:rPr>
  </w:style>
  <w:style w:type="paragraph" w:styleId="Heading2">
    <w:name w:val="heading 2"/>
    <w:basedOn w:val="Normal"/>
    <w:next w:val="NormalIndent"/>
    <w:uiPriority w:val="9"/>
    <w:qFormat/>
    <w:pPr>
      <w:keepNext/>
      <w:keepLines/>
      <w:spacing w:before="260" w:beforeLines="0" w:after="260" w:afterLines="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9"/>
    <w:qFormat/>
    <w:pPr>
      <w:keepNext/>
      <w:keepLines/>
      <w:widowControl/>
      <w:spacing w:before="120" w:beforeLines="0" w:after="120" w:afterLines="0" w:line="360" w:lineRule="auto"/>
      <w:jc w:val="center"/>
      <w:outlineLvl w:val="3"/>
    </w:pPr>
    <w:rPr>
      <w:rFonts w:ascii="Arial" w:eastAsia="黑体" w:hAnsi="Arial"/>
      <w:kern w:val="0"/>
      <w:sz w:val="28"/>
      <w:szCs w:val="20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uiPriority w:val="39"/>
    <w:pPr>
      <w:tabs>
        <w:tab w:val="right" w:leader="dot" w:pos="8296"/>
      </w:tabs>
      <w:spacing w:line="560" w:lineRule="exact"/>
    </w:pPr>
    <w:rPr>
      <w:sz w:val="28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">
    <w:name w:val="Body Text"/>
    <w:basedOn w:val="Normal"/>
    <w:uiPriority w:val="99"/>
    <w:pPr>
      <w:ind w:leftChars="200" w:rightChars="200"/>
      <w:jc w:val="left"/>
    </w:pPr>
    <w:rPr>
      <w:rFonts w:ascii="宋体" w:hAnsi="宋体"/>
      <w:color w:val="000000"/>
      <w:sz w:val="3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39"/>
    <w:pPr>
      <w:ind w:left="2520" w:leftChars="1200"/>
    </w:pPr>
  </w:style>
  <w:style w:type="paragraph" w:styleId="NormalIndent">
    <w:name w:val="Normal Indent"/>
    <w:basedOn w:val="Normal"/>
    <w:uiPriority w:val="99"/>
    <w:pPr>
      <w:ind w:firstLine="420" w:firstLineChars="200"/>
    </w:pPr>
  </w:style>
  <w:style w:type="paragraph" w:customStyle="1" w:styleId="1">
    <w:name w:val="样式 标题 1 + 宋体"/>
    <w:basedOn w:val="Heading1"/>
    <w:pPr>
      <w:spacing w:before="312" w:beforeLines="100" w:after="312" w:afterLines="100"/>
    </w:pPr>
    <w:rPr>
      <w:rFonts w:ascii="宋体" w:eastAsia="宋体" w:hAnsi="宋体"/>
    </w:rPr>
  </w:style>
  <w:style w:type="paragraph" w:customStyle="1" w:styleId="2section2112112Char2CharCharChar">
    <w:name w:val="样式 标题 2section:2标题 1.1编号标题21.1标题 2 Char标题 2 Char Char Char..."/>
    <w:basedOn w:val="Heading2"/>
    <w:pPr>
      <w:adjustRightInd w:val="0"/>
      <w:snapToGrid w:val="0"/>
      <w:spacing w:before="0" w:beforeLines="0" w:after="156" w:afterLines="50" w:line="240" w:lineRule="auto"/>
      <w:jc w:val="center"/>
    </w:pPr>
    <w:rPr>
      <w:rFonts w:ascii="宋体" w:eastAsia="宋体" w:hAnsi="宋体"/>
      <w:b w:val="0"/>
      <w:b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8003014133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6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2008-12-26T08:45:00Z</dcterms:created>
  <dcterms:modified xsi:type="dcterms:W3CDTF">2014-06-25T08:50:48Z</dcterms:modified>
</cp:coreProperties>
</file>