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360" w:lineRule="auto"/>
        <w:jc w:val="center"/>
        <w:rPr>
          <w:b/>
          <w:sz w:val="32"/>
          <w:szCs w:val="32"/>
        </w:rPr>
      </w:pPr>
      <w:r>
        <w:rPr>
          <w:rFonts w:hint="eastAsia"/>
          <w:b/>
          <w:sz w:val="32"/>
          <w:szCs w:val="32"/>
        </w:rPr>
        <w:drawing>
          <wp:anchor distT="0" distB="0" distL="114300" distR="114300" simplePos="0" relativeHeight="251658240" behindDoc="0" locked="0" layoutInCell="1" allowOverlap="1">
            <wp:simplePos x="0" y="0"/>
            <wp:positionH relativeFrom="page">
              <wp:posOffset>11531600</wp:posOffset>
            </wp:positionH>
            <wp:positionV relativeFrom="topMargin">
              <wp:posOffset>10731500</wp:posOffset>
            </wp:positionV>
            <wp:extent cx="444500" cy="304800"/>
            <wp:effectExtent l="0" t="0" r="0" b="0"/>
            <wp:wrapNone/>
            <wp:docPr id="100048" name="图片 10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8" name="图片 100048"/>
                    <pic:cNvPicPr>
                      <a:picLocks noChangeAspect="1"/>
                    </pic:cNvPicPr>
                  </pic:nvPicPr>
                  <pic:blipFill>
                    <a:blip xmlns:r="http://schemas.openxmlformats.org/officeDocument/2006/relationships" r:embed="rId5"/>
                    <a:stretch>
                      <a:fillRect/>
                    </a:stretch>
                  </pic:blipFill>
                  <pic:spPr>
                    <a:xfrm>
                      <a:off x="0" y="0"/>
                      <a:ext cx="444500" cy="304800"/>
                    </a:xfrm>
                    <a:prstGeom prst="rect">
                      <a:avLst/>
                    </a:prstGeom>
                  </pic:spPr>
                </pic:pic>
              </a:graphicData>
            </a:graphic>
          </wp:anchor>
        </w:drawing>
      </w:r>
      <w:r>
        <w:rPr>
          <w:b/>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00034" o:spid="_x0000_s1025" type="#_x0000_t75" style="width:38pt;height:25pt;margin-top:963pt;margin-left:948pt;mso-height-relative:page;mso-position-horizontal-relative:page;mso-position-vertical-relative:page;mso-width-relative:page;position:absolute;z-index:251659264" coordsize="21600,21600" o:preferrelative="t" filled="f" stroked="f">
            <v:stroke joinstyle="miter"/>
            <v:imagedata r:id="rId6" o:title=""/>
            <o:lock v:ext="edit" aspectratio="t"/>
          </v:shape>
        </w:pict>
      </w:r>
      <w:r>
        <w:rPr>
          <w:rFonts w:hint="eastAsia"/>
          <w:b/>
          <w:sz w:val="32"/>
          <w:szCs w:val="32"/>
        </w:rPr>
        <w:t>五</w:t>
      </w:r>
      <w:r>
        <w:rPr>
          <w:b/>
          <w:sz w:val="32"/>
          <w:szCs w:val="32"/>
        </w:rPr>
        <w:t>年（201</w:t>
      </w:r>
      <w:r>
        <w:rPr>
          <w:rFonts w:hint="eastAsia"/>
          <w:b/>
          <w:sz w:val="32"/>
          <w:szCs w:val="32"/>
        </w:rPr>
        <w:t>9</w:t>
      </w:r>
      <w:r>
        <w:rPr>
          <w:b/>
          <w:sz w:val="32"/>
          <w:szCs w:val="32"/>
        </w:rPr>
        <w:t>-202</w:t>
      </w:r>
      <w:r>
        <w:rPr>
          <w:rFonts w:hint="eastAsia"/>
          <w:b/>
          <w:sz w:val="32"/>
          <w:szCs w:val="32"/>
        </w:rPr>
        <w:t>3</w:t>
      </w:r>
      <w:r>
        <w:rPr>
          <w:b/>
          <w:sz w:val="32"/>
          <w:szCs w:val="32"/>
        </w:rPr>
        <w:t>）年高考真题分项汇编</w:t>
      </w:r>
    </w:p>
    <w:p>
      <w:pPr>
        <w:spacing w:line="360" w:lineRule="auto"/>
        <w:jc w:val="center"/>
        <w:rPr>
          <w:rFonts w:eastAsia="华文行楷"/>
          <w:b/>
          <w:sz w:val="44"/>
          <w:szCs w:val="44"/>
        </w:rPr>
      </w:pPr>
      <w:r>
        <w:rPr>
          <w:rFonts w:eastAsia="华文行楷"/>
          <w:b/>
          <w:sz w:val="44"/>
          <w:szCs w:val="44"/>
        </w:rPr>
        <w:t>专题01  生活与消费</w:t>
      </w:r>
    </w:p>
    <w:p>
      <w:pPr>
        <w:shd w:val="clear" w:color="auto" w:fill="FFFFFF"/>
        <w:spacing w:line="360" w:lineRule="auto"/>
        <w:jc w:val="center"/>
        <w:textAlignment w:val="center"/>
        <w:rPr>
          <w:b/>
          <w:color w:val="0000FF"/>
          <w:sz w:val="30"/>
          <w:szCs w:val="30"/>
        </w:rPr>
      </w:pPr>
      <w:r>
        <w:rPr>
          <w:b/>
          <w:color w:val="0000FF"/>
          <w:sz w:val="30"/>
          <w:szCs w:val="30"/>
        </w:rPr>
        <w:pict>
          <v:shape id="_x0000_i1026" type="#_x0000_t75" style="width:195.75pt;height:54pt" coordsize="21600,21600" o:preferrelative="t" filled="f" stroked="f">
            <v:stroke joinstyle="miter"/>
            <v:imagedata r:id="rId7" o:title="d08d24f4050fa1342d9034b0775b57d"/>
            <o:lock v:ext="edit" aspectratio="t"/>
            <w10:anchorlock/>
          </v:shape>
        </w:pict>
      </w:r>
    </w:p>
    <w:p>
      <w:pPr>
        <w:shd w:val="clear" w:color="auto" w:fill="FFFFFF"/>
        <w:spacing w:line="360" w:lineRule="auto"/>
        <w:jc w:val="left"/>
        <w:textAlignment w:val="center"/>
        <w:rPr>
          <w:rFonts w:ascii="宋体" w:hAnsi="宋体" w:cs="宋体"/>
          <w:szCs w:val="21"/>
        </w:rPr>
      </w:pPr>
      <w:r>
        <w:rPr>
          <w:rFonts w:ascii="宋体" w:hAnsi="宋体" w:cs="宋体" w:hint="eastAsia"/>
          <w:szCs w:val="21"/>
        </w:rPr>
        <w:t>1．（2023·全国甲卷）马克思劳动价值论认为，劳动是劳动者的体力和脑力的支出；劳动者通过就业取得报酬，从而获得生活来源，使社会劳动力能够不断地再生产。下列属于劳动力再生产所需费用的是（</w:t>
      </w:r>
      <w:r>
        <w:rPr>
          <w:rFonts w:ascii="宋体" w:hAnsi="宋体" w:cs="宋体" w:hint="eastAsia"/>
          <w:kern w:val="0"/>
          <w:szCs w:val="21"/>
        </w:rPr>
        <w:t>   </w:t>
      </w:r>
      <w:r>
        <w:rPr>
          <w:rFonts w:ascii="宋体" w:hAnsi="宋体" w:cs="宋体" w:hint="eastAsia"/>
          <w:szCs w:val="21"/>
        </w:rPr>
        <w:t>）</w:t>
      </w:r>
    </w:p>
    <w:p>
      <w:pPr>
        <w:shd w:val="clear" w:color="auto" w:fill="FFFFFF"/>
        <w:spacing w:line="360" w:lineRule="auto"/>
        <w:jc w:val="left"/>
        <w:textAlignment w:val="center"/>
        <w:rPr>
          <w:rFonts w:ascii="宋体" w:hAnsi="宋体" w:cs="宋体"/>
          <w:szCs w:val="21"/>
        </w:rPr>
      </w:pPr>
      <w:r>
        <w:rPr>
          <w:rFonts w:ascii="宋体" w:hAnsi="宋体" w:cs="宋体" w:hint="eastAsia"/>
          <w:szCs w:val="21"/>
        </w:rPr>
        <w:t>①房租</w:t>
      </w:r>
    </w:p>
    <w:p>
      <w:pPr>
        <w:shd w:val="clear" w:color="auto" w:fill="FFFFFF"/>
        <w:spacing w:line="360" w:lineRule="auto"/>
        <w:jc w:val="left"/>
        <w:textAlignment w:val="center"/>
        <w:rPr>
          <w:rFonts w:ascii="宋体" w:hAnsi="宋体" w:cs="宋体"/>
          <w:szCs w:val="21"/>
        </w:rPr>
      </w:pPr>
      <w:r>
        <w:rPr>
          <w:rFonts w:ascii="宋体" w:hAnsi="宋体" w:cs="宋体" w:hint="eastAsia"/>
          <w:szCs w:val="21"/>
        </w:rPr>
        <w:t>②教育培训费</w:t>
      </w:r>
    </w:p>
    <w:p>
      <w:pPr>
        <w:shd w:val="clear" w:color="auto" w:fill="FFFFFF"/>
        <w:spacing w:line="360" w:lineRule="auto"/>
        <w:jc w:val="left"/>
        <w:textAlignment w:val="center"/>
        <w:rPr>
          <w:rFonts w:ascii="宋体" w:hAnsi="宋体" w:cs="宋体"/>
          <w:szCs w:val="21"/>
        </w:rPr>
      </w:pPr>
      <w:r>
        <w:rPr>
          <w:rFonts w:ascii="宋体" w:hAnsi="宋体" w:cs="宋体" w:hint="eastAsia"/>
          <w:szCs w:val="21"/>
        </w:rPr>
        <w:t>③旅游支出</w:t>
      </w:r>
    </w:p>
    <w:p>
      <w:pPr>
        <w:shd w:val="clear" w:color="auto" w:fill="FFFFFF"/>
        <w:spacing w:line="360" w:lineRule="auto"/>
        <w:jc w:val="left"/>
        <w:textAlignment w:val="center"/>
        <w:rPr>
          <w:rFonts w:ascii="宋体" w:hAnsi="宋体" w:cs="宋体"/>
          <w:szCs w:val="21"/>
        </w:rPr>
      </w:pPr>
      <w:r>
        <w:rPr>
          <w:rFonts w:ascii="宋体" w:hAnsi="宋体" w:cs="宋体" w:hint="eastAsia"/>
          <w:szCs w:val="21"/>
        </w:rPr>
        <w:t>④娱乐平台会员费</w:t>
      </w:r>
    </w:p>
    <w:p>
      <w:pPr>
        <w:shd w:val="clear" w:color="auto" w:fill="FFFFFF"/>
        <w:tabs>
          <w:tab w:val="left" w:pos="2078"/>
          <w:tab w:val="left" w:pos="4156"/>
          <w:tab w:val="left" w:pos="6234"/>
        </w:tabs>
        <w:spacing w:line="360" w:lineRule="auto"/>
        <w:jc w:val="left"/>
        <w:textAlignment w:val="center"/>
        <w:rPr>
          <w:rFonts w:ascii="宋体" w:hAnsi="宋体" w:cs="宋体"/>
          <w:szCs w:val="21"/>
        </w:rPr>
      </w:pPr>
      <w:r>
        <w:rPr>
          <w:rFonts w:ascii="宋体" w:hAnsi="宋体" w:cs="宋体" w:hint="eastAsia"/>
          <w:szCs w:val="21"/>
        </w:rPr>
        <w:t>A．①②</w:t>
      </w:r>
      <w:r>
        <w:rPr>
          <w:rFonts w:ascii="宋体" w:hAnsi="宋体" w:cs="宋体" w:hint="eastAsia"/>
          <w:szCs w:val="21"/>
        </w:rPr>
        <w:tab/>
      </w:r>
      <w:r>
        <w:rPr>
          <w:rFonts w:ascii="宋体" w:hAnsi="宋体" w:cs="宋体" w:hint="eastAsia"/>
          <w:szCs w:val="21"/>
        </w:rPr>
        <w:t>B．①③</w:t>
      </w:r>
      <w:r>
        <w:rPr>
          <w:rFonts w:ascii="宋体" w:hAnsi="宋体" w:cs="宋体" w:hint="eastAsia"/>
          <w:szCs w:val="21"/>
        </w:rPr>
        <w:tab/>
      </w:r>
      <w:r>
        <w:rPr>
          <w:rFonts w:ascii="宋体" w:hAnsi="宋体" w:cs="宋体" w:hint="eastAsia"/>
          <w:szCs w:val="21"/>
        </w:rPr>
        <w:t>C．②④</w:t>
      </w:r>
      <w:r>
        <w:rPr>
          <w:rFonts w:ascii="宋体" w:hAnsi="宋体" w:cs="宋体" w:hint="eastAsia"/>
          <w:szCs w:val="21"/>
        </w:rPr>
        <w:tab/>
      </w:r>
      <w:r>
        <w:rPr>
          <w:rFonts w:ascii="宋体" w:hAnsi="宋体" w:cs="宋体" w:hint="eastAsia"/>
          <w:szCs w:val="21"/>
        </w:rPr>
        <w:t>D．③④</w:t>
      </w:r>
    </w:p>
    <w:p>
      <w:pPr>
        <w:shd w:val="clear" w:color="auto" w:fill="F2F2F2"/>
        <w:spacing w:line="360" w:lineRule="auto"/>
        <w:jc w:val="left"/>
        <w:textAlignment w:val="center"/>
        <w:rPr>
          <w:rFonts w:ascii="宋体" w:hAnsi="宋体" w:cs="宋体"/>
          <w:color w:val="FF0000"/>
          <w:szCs w:val="21"/>
        </w:rPr>
      </w:pPr>
      <w:r>
        <w:rPr>
          <w:rFonts w:ascii="宋体" w:hAnsi="宋体" w:cs="宋体" w:hint="eastAsia"/>
          <w:color w:val="FF0000"/>
          <w:szCs w:val="21"/>
        </w:rPr>
        <w:t>【答案】A</w:t>
      </w:r>
    </w:p>
    <w:p>
      <w:pPr>
        <w:shd w:val="clear" w:color="auto" w:fill="F2F2F2"/>
        <w:spacing w:line="360" w:lineRule="auto"/>
        <w:jc w:val="left"/>
        <w:textAlignment w:val="center"/>
        <w:rPr>
          <w:rFonts w:ascii="宋体" w:hAnsi="宋体" w:cs="宋体"/>
          <w:color w:val="FF0000"/>
          <w:szCs w:val="21"/>
        </w:rPr>
      </w:pPr>
      <w:r>
        <w:rPr>
          <w:rFonts w:ascii="宋体" w:hAnsi="宋体" w:cs="宋体" w:hint="eastAsia"/>
          <w:color w:val="FF0000"/>
          <w:szCs w:val="21"/>
        </w:rPr>
        <w:t>【详解】①：劳动力再生产所需费用，是劳动者恢复劳动力所需的各种资料的价格总和，包括基本食物、衣物、住宿和医疗的费用，①入选。</w:t>
      </w:r>
    </w:p>
    <w:p>
      <w:pPr>
        <w:shd w:val="clear" w:color="auto" w:fill="F2F2F2"/>
        <w:spacing w:line="360" w:lineRule="auto"/>
        <w:jc w:val="left"/>
        <w:textAlignment w:val="center"/>
        <w:rPr>
          <w:rFonts w:ascii="宋体" w:hAnsi="宋体" w:cs="宋体"/>
          <w:color w:val="FF0000"/>
          <w:szCs w:val="21"/>
        </w:rPr>
      </w:pPr>
      <w:r>
        <w:rPr>
          <w:rFonts w:ascii="宋体" w:hAnsi="宋体" w:cs="宋体" w:hint="eastAsia"/>
          <w:color w:val="FF0000"/>
          <w:szCs w:val="21"/>
        </w:rPr>
        <w:t>②：马克思劳动价值论认为，劳动力扩大再生产费用，包括养家糊口、教育培训等活动所需的各种物质资料和服务的价值总和，故②符合题意。</w:t>
      </w:r>
    </w:p>
    <w:p>
      <w:pPr>
        <w:shd w:val="clear" w:color="auto" w:fill="F2F2F2"/>
        <w:spacing w:line="360" w:lineRule="auto"/>
        <w:jc w:val="left"/>
        <w:textAlignment w:val="center"/>
        <w:rPr>
          <w:rFonts w:ascii="宋体" w:hAnsi="宋体" w:cs="宋体"/>
          <w:color w:val="FF0000"/>
          <w:szCs w:val="21"/>
        </w:rPr>
      </w:pPr>
      <w:r>
        <w:rPr>
          <w:rFonts w:ascii="宋体" w:hAnsi="宋体" w:cs="宋体" w:hint="eastAsia"/>
          <w:color w:val="FF0000"/>
          <w:szCs w:val="21"/>
        </w:rPr>
        <w:t>③④：旅游支出和娱乐平台会员费均不属于劳动力再生产所需费用，③④排除。</w:t>
      </w:r>
    </w:p>
    <w:p>
      <w:pPr>
        <w:shd w:val="clear" w:color="auto" w:fill="F2F2F2"/>
        <w:spacing w:line="360" w:lineRule="auto"/>
        <w:jc w:val="left"/>
        <w:textAlignment w:val="center"/>
        <w:rPr>
          <w:rFonts w:ascii="宋体" w:hAnsi="宋体" w:cs="宋体"/>
          <w:color w:val="FF0000"/>
          <w:szCs w:val="21"/>
        </w:rPr>
      </w:pPr>
      <w:r>
        <w:rPr>
          <w:rFonts w:ascii="宋体" w:hAnsi="宋体" w:cs="宋体" w:hint="eastAsia"/>
          <w:color w:val="FF0000"/>
          <w:szCs w:val="21"/>
        </w:rPr>
        <w:t>故本题选A。</w:t>
      </w:r>
    </w:p>
    <w:p>
      <w:pPr>
        <w:shd w:val="clear" w:color="auto" w:fill="FFFFFF"/>
        <w:spacing w:line="360" w:lineRule="auto"/>
        <w:jc w:val="left"/>
        <w:textAlignment w:val="center"/>
        <w:rPr>
          <w:rFonts w:ascii="宋体" w:hAnsi="宋体" w:cs="宋体"/>
          <w:szCs w:val="21"/>
        </w:rPr>
        <w:sectPr>
          <w:headerReference w:type="default" r:id="rId8"/>
          <w:footerReference w:type="even" r:id="rId9"/>
          <w:footerReference w:type="default" r:id="rId10"/>
          <w:footerReference w:type="first" r:id="rId11"/>
          <w:pgSz w:w="11906" w:h="16838"/>
          <w:pgMar w:top="1417" w:right="1077" w:bottom="1417" w:left="1077" w:header="850" w:footer="992" w:gutter="0"/>
          <w:cols w:num="1" w:space="708"/>
          <w:docGrid w:type="lines" w:linePitch="318" w:charSpace="409"/>
        </w:sectPr>
      </w:pPr>
      <w:r>
        <w:rPr>
          <w:rFonts w:ascii="宋体" w:hAnsi="宋体" w:cs="宋体" w:hint="eastAsia"/>
          <w:szCs w:val="21"/>
        </w:rPr>
        <w:t>2．（2023·全国乙卷）为刺激消费增加生产，政府出台了一系列政策，对购买甲种产品发放消费补贴，对生产乙种产品的企业减税降费，由此引起这两种产品的供需变化，如下图所示。</w:t>
      </w:r>
    </w:p>
    <w:p>
      <w:pPr>
        <w:shd w:val="clear" w:color="auto" w:fill="FFFFFF"/>
        <w:spacing w:line="360" w:lineRule="auto"/>
        <w:jc w:val="left"/>
        <w:textAlignment w:val="center"/>
        <w:rPr>
          <w:rFonts w:ascii="宋体" w:hAnsi="宋体" w:cs="宋体"/>
          <w:szCs w:val="21"/>
        </w:rPr>
      </w:pPr>
      <w:r>
        <w:rPr>
          <w:rFonts w:ascii="宋体" w:hAnsi="宋体" w:cs="宋体"/>
          <w:kern w:val="0"/>
          <w:szCs w:val="21"/>
        </w:rPr>
        <w:pict>
          <v:shape id="_x0000_i1027" type="#_x0000_t75" alt="@@@22d24aa2-a177-4728-9422-f7231c2c7e9a" style="width:162.75pt;height:141pt" coordsize="21600,21600" o:preferrelative="t" filled="f" stroked="f">
            <v:stroke joinstyle="miter"/>
            <v:imagedata r:id="rId12" o:title="@@@22d24aa2-a177-4728-9422-f7231c2c7e9a"/>
            <o:lock v:ext="edit" aspectratio="t"/>
            <w10:anchorlock/>
          </v:shape>
        </w:pict>
      </w:r>
      <w:r>
        <w:rPr>
          <w:rFonts w:ascii="宋体" w:hAnsi="宋体" w:cs="宋体"/>
          <w:kern w:val="0"/>
          <w:szCs w:val="21"/>
        </w:rPr>
        <w:pict>
          <v:shape id="_x0000_i1028" type="#_x0000_t75" alt="@@@9d419672-004d-4ed0-9414-482b844b1927" style="width:175.5pt;height:138.75pt" coordsize="21600,21600" o:preferrelative="t" filled="f" stroked="f">
            <v:stroke joinstyle="miter"/>
            <v:imagedata r:id="rId13" o:title="@@@9d419672-004d-4ed0-9414-482b844b1927"/>
            <o:lock v:ext="edit" aspectratio="t"/>
            <w10:anchorlock/>
          </v:shape>
        </w:pict>
      </w:r>
      <w:r>
        <w:rPr>
          <w:rFonts w:ascii="宋体" w:hAnsi="宋体" w:cs="宋体" w:hint="eastAsia"/>
          <w:kern w:val="0"/>
          <w:szCs w:val="21"/>
        </w:rPr>
        <w:t>  </w:t>
      </w:r>
    </w:p>
    <w:p>
      <w:pPr>
        <w:shd w:val="clear" w:color="auto" w:fill="FFFFFF"/>
        <w:spacing w:line="360" w:lineRule="auto"/>
        <w:jc w:val="left"/>
        <w:textAlignment w:val="center"/>
        <w:rPr>
          <w:rFonts w:ascii="宋体" w:hAnsi="宋体" w:cs="宋体"/>
          <w:szCs w:val="21"/>
        </w:rPr>
      </w:pPr>
      <w:r>
        <w:rPr>
          <w:rFonts w:ascii="宋体" w:hAnsi="宋体" w:cs="宋体" w:hint="eastAsia"/>
          <w:szCs w:val="21"/>
        </w:rPr>
        <w:t>注：①是指曲线S</w:t>
      </w:r>
      <w:r>
        <w:rPr>
          <w:rFonts w:ascii="宋体" w:hAnsi="宋体" w:cs="宋体" w:hint="eastAsia"/>
          <w:szCs w:val="21"/>
          <w:vertAlign w:val="subscript"/>
        </w:rPr>
        <w:t>1</w:t>
      </w:r>
      <w:r>
        <w:rPr>
          <w:rFonts w:ascii="宋体" w:hAnsi="宋体" w:cs="宋体" w:hint="eastAsia"/>
          <w:szCs w:val="21"/>
        </w:rPr>
        <w:t>到S</w:t>
      </w:r>
      <w:r>
        <w:rPr>
          <w:rFonts w:ascii="宋体" w:hAnsi="宋体" w:cs="宋体" w:hint="eastAsia"/>
          <w:szCs w:val="21"/>
          <w:vertAlign w:val="subscript"/>
        </w:rPr>
        <w:t>₂</w:t>
      </w:r>
      <w:r>
        <w:rPr>
          <w:rFonts w:ascii="宋体" w:hAnsi="宋体" w:cs="宋体" w:hint="eastAsia"/>
          <w:szCs w:val="21"/>
        </w:rPr>
        <w:t>的移动；②是指点E</w:t>
      </w:r>
      <w:r>
        <w:rPr>
          <w:rFonts w:ascii="宋体" w:hAnsi="宋体" w:cs="宋体" w:hint="eastAsia"/>
          <w:szCs w:val="21"/>
          <w:vertAlign w:val="subscript"/>
        </w:rPr>
        <w:t>1</w:t>
      </w:r>
      <w:r>
        <w:rPr>
          <w:rFonts w:ascii="宋体" w:hAnsi="宋体" w:cs="宋体" w:hint="eastAsia"/>
          <w:szCs w:val="21"/>
        </w:rPr>
        <w:t>到E₂的变动；③是指曲线D</w:t>
      </w:r>
      <w:r>
        <w:rPr>
          <w:rFonts w:ascii="宋体" w:hAnsi="宋体" w:cs="宋体" w:hint="eastAsia"/>
          <w:szCs w:val="21"/>
          <w:vertAlign w:val="subscript"/>
        </w:rPr>
        <w:t>1</w:t>
      </w:r>
      <w:r>
        <w:rPr>
          <w:rFonts w:ascii="宋体" w:hAnsi="宋体" w:cs="宋体" w:hint="eastAsia"/>
          <w:szCs w:val="21"/>
        </w:rPr>
        <w:t>到D₂的移动；④是指点M</w:t>
      </w:r>
      <w:r>
        <w:rPr>
          <w:rFonts w:ascii="宋体" w:hAnsi="宋体" w:cs="宋体" w:hint="eastAsia"/>
          <w:szCs w:val="21"/>
          <w:vertAlign w:val="subscript"/>
        </w:rPr>
        <w:t>1</w:t>
      </w:r>
      <w:r>
        <w:rPr>
          <w:rFonts w:ascii="宋体" w:hAnsi="宋体" w:cs="宋体" w:hint="eastAsia"/>
          <w:szCs w:val="21"/>
        </w:rPr>
        <w:t>到M₂的变动。</w:t>
      </w:r>
    </w:p>
    <w:p>
      <w:pPr>
        <w:shd w:val="clear" w:color="auto" w:fill="FFFFFF"/>
        <w:spacing w:line="360" w:lineRule="auto"/>
        <w:jc w:val="left"/>
        <w:textAlignment w:val="center"/>
        <w:rPr>
          <w:rFonts w:ascii="宋体" w:hAnsi="宋体" w:cs="宋体"/>
          <w:szCs w:val="21"/>
        </w:rPr>
      </w:pPr>
      <w:r>
        <w:rPr>
          <w:rFonts w:ascii="宋体" w:hAnsi="宋体" w:cs="宋体" w:hint="eastAsia"/>
          <w:szCs w:val="21"/>
        </w:rPr>
        <w:t>图中，正确反映两种产品政策效应的是（</w:t>
      </w:r>
      <w:r>
        <w:rPr>
          <w:rFonts w:ascii="宋体" w:hAnsi="宋体" w:cs="宋体" w:hint="eastAsia"/>
          <w:kern w:val="0"/>
          <w:szCs w:val="21"/>
        </w:rPr>
        <w:t>   </w:t>
      </w:r>
      <w:r>
        <w:rPr>
          <w:rFonts w:ascii="宋体" w:hAnsi="宋体" w:cs="宋体" w:hint="eastAsia"/>
          <w:szCs w:val="21"/>
        </w:rPr>
        <w:t>）</w:t>
      </w:r>
    </w:p>
    <w:p>
      <w:pPr>
        <w:shd w:val="clear" w:color="auto" w:fill="FFFFFF"/>
        <w:spacing w:line="360" w:lineRule="auto"/>
        <w:jc w:val="left"/>
        <w:textAlignment w:val="center"/>
        <w:rPr>
          <w:rFonts w:ascii="宋体" w:hAnsi="宋体" w:cs="宋体"/>
          <w:szCs w:val="21"/>
        </w:rPr>
      </w:pPr>
      <w:r>
        <w:rPr>
          <w:rFonts w:ascii="宋体" w:hAnsi="宋体" w:cs="宋体" w:hint="eastAsia"/>
          <w:szCs w:val="21"/>
        </w:rPr>
        <w:t>A．甲产品：①—②；乙产品：③—④</w:t>
      </w:r>
    </w:p>
    <w:p>
      <w:pPr>
        <w:shd w:val="clear" w:color="auto" w:fill="FFFFFF"/>
        <w:spacing w:line="360" w:lineRule="auto"/>
        <w:jc w:val="left"/>
        <w:textAlignment w:val="center"/>
        <w:rPr>
          <w:rFonts w:ascii="宋体" w:hAnsi="宋体" w:cs="宋体"/>
          <w:szCs w:val="21"/>
        </w:rPr>
      </w:pPr>
      <w:r>
        <w:rPr>
          <w:rFonts w:ascii="宋体" w:hAnsi="宋体" w:cs="宋体" w:hint="eastAsia"/>
          <w:szCs w:val="21"/>
        </w:rPr>
        <w:t>B．甲产品：③—④；乙产品：①—②</w:t>
      </w:r>
    </w:p>
    <w:p>
      <w:pPr>
        <w:shd w:val="clear" w:color="auto" w:fill="FFFFFF"/>
        <w:spacing w:line="360" w:lineRule="auto"/>
        <w:jc w:val="left"/>
        <w:textAlignment w:val="center"/>
        <w:rPr>
          <w:rFonts w:ascii="宋体" w:hAnsi="宋体" w:cs="宋体"/>
          <w:szCs w:val="21"/>
        </w:rPr>
      </w:pPr>
      <w:r>
        <w:rPr>
          <w:rFonts w:ascii="宋体" w:hAnsi="宋体" w:cs="宋体" w:hint="eastAsia"/>
          <w:szCs w:val="21"/>
        </w:rPr>
        <w:t>C．甲产品：④—③；乙产品：②—①</w:t>
      </w:r>
    </w:p>
    <w:p>
      <w:pPr>
        <w:shd w:val="clear" w:color="auto" w:fill="FFFFFF"/>
        <w:spacing w:line="360" w:lineRule="auto"/>
        <w:jc w:val="left"/>
        <w:textAlignment w:val="center"/>
        <w:rPr>
          <w:rFonts w:ascii="宋体" w:hAnsi="宋体" w:cs="宋体"/>
          <w:szCs w:val="21"/>
        </w:rPr>
      </w:pPr>
      <w:r>
        <w:rPr>
          <w:rFonts w:ascii="宋体" w:hAnsi="宋体" w:cs="宋体" w:hint="eastAsia"/>
          <w:szCs w:val="21"/>
        </w:rPr>
        <w:t>D．甲产品：②—①；乙产品：④—③</w:t>
      </w:r>
    </w:p>
    <w:p>
      <w:pPr>
        <w:shd w:val="clear" w:color="auto" w:fill="F2F2F2"/>
        <w:spacing w:line="360" w:lineRule="auto"/>
        <w:jc w:val="left"/>
        <w:textAlignment w:val="center"/>
        <w:rPr>
          <w:rFonts w:ascii="宋体" w:hAnsi="宋体" w:cs="宋体"/>
          <w:color w:val="FF0000"/>
          <w:szCs w:val="21"/>
        </w:rPr>
      </w:pPr>
      <w:r>
        <w:rPr>
          <w:rFonts w:ascii="宋体" w:hAnsi="宋体" w:cs="宋体" w:hint="eastAsia"/>
          <w:color w:val="FF0000"/>
          <w:szCs w:val="21"/>
        </w:rPr>
        <w:t>【答案】B</w:t>
      </w:r>
    </w:p>
    <w:p>
      <w:pPr>
        <w:shd w:val="clear" w:color="auto" w:fill="F2F2F2"/>
        <w:spacing w:line="360" w:lineRule="auto"/>
        <w:jc w:val="left"/>
        <w:textAlignment w:val="center"/>
        <w:rPr>
          <w:rFonts w:ascii="宋体" w:hAnsi="宋体" w:cs="宋体"/>
          <w:color w:val="FF0000"/>
          <w:szCs w:val="21"/>
        </w:rPr>
      </w:pPr>
      <w:r>
        <w:rPr>
          <w:rFonts w:ascii="宋体" w:hAnsi="宋体" w:cs="宋体" w:hint="eastAsia"/>
          <w:color w:val="FF0000"/>
          <w:szCs w:val="21"/>
        </w:rPr>
        <w:t>【详解】B：政府对购买甲种产品发放消费补贴，会促进人们对甲种产品的消费需求增加，这一变化是由政府政策引起，而非价格导致，表明价格没有改变，因此需求曲线应向右平移，即对应③。甲产品的消费需求增加，会促使甲产品的价格升高，从而刺激甲产品的生产者扩大生产规模，增加供给，即对应④。因此甲产品的变化情况是：③→④。政府对乙产品的生产企业减税降费，降低了其生产成本，会刺激生产者扩大生产规模，增加供给，但这一变化是由政府政策引起而不是由价格变化引起，因此供给曲线应向右平移，即对应①。乙产品的供给增加，会引起价格下降，从而刺激消费需求增加，即对应②。因此，乙产品的变化情况是：①→②，B正确。</w:t>
      </w:r>
    </w:p>
    <w:p>
      <w:pPr>
        <w:shd w:val="clear" w:color="auto" w:fill="F2F2F2"/>
        <w:spacing w:line="360" w:lineRule="auto"/>
        <w:jc w:val="left"/>
        <w:textAlignment w:val="center"/>
        <w:rPr>
          <w:rFonts w:ascii="宋体" w:hAnsi="宋体" w:cs="宋体"/>
          <w:color w:val="FF0000"/>
          <w:szCs w:val="21"/>
        </w:rPr>
      </w:pPr>
      <w:r>
        <w:rPr>
          <w:rFonts w:ascii="宋体" w:hAnsi="宋体" w:cs="宋体" w:hint="eastAsia"/>
          <w:color w:val="FF0000"/>
          <w:szCs w:val="21"/>
        </w:rPr>
        <w:t>ACD：通过以上分析发现，ACD均不符合题意，排除。</w:t>
      </w:r>
    </w:p>
    <w:p>
      <w:pPr>
        <w:shd w:val="clear" w:color="auto" w:fill="F2F2F2"/>
        <w:spacing w:line="360" w:lineRule="auto"/>
        <w:jc w:val="left"/>
        <w:textAlignment w:val="center"/>
        <w:rPr>
          <w:rFonts w:ascii="宋体" w:hAnsi="宋体" w:cs="宋体"/>
          <w:szCs w:val="21"/>
        </w:rPr>
      </w:pPr>
      <w:r>
        <w:rPr>
          <w:rFonts w:ascii="宋体" w:hAnsi="宋体" w:cs="宋体" w:hint="eastAsia"/>
          <w:color w:val="FF0000"/>
          <w:szCs w:val="21"/>
        </w:rPr>
        <w:t>故本题选B。</w:t>
      </w:r>
    </w:p>
    <w:p>
      <w:pPr>
        <w:shd w:val="clear" w:color="auto" w:fill="FFFFFF"/>
        <w:spacing w:line="360" w:lineRule="auto"/>
        <w:jc w:val="left"/>
        <w:textAlignment w:val="center"/>
        <w:rPr>
          <w:rFonts w:ascii="宋体" w:hAnsi="宋体" w:cs="宋体"/>
          <w:szCs w:val="21"/>
        </w:rPr>
        <w:sectPr>
          <w:headerReference w:type="default" r:id="rId14"/>
          <w:footerReference w:type="even" r:id="rId15"/>
          <w:footerReference w:type="default" r:id="rId16"/>
          <w:footerReference w:type="first" r:id="rId17"/>
          <w:type w:val="nextPage"/>
          <w:pgSz w:w="11906" w:h="16838"/>
          <w:pgMar w:top="1417" w:right="1077" w:bottom="1417" w:left="1077" w:header="850" w:footer="992" w:gutter="0"/>
          <w:pgNumType w:start="2"/>
          <w:cols w:num="1" w:space="708"/>
          <w:titlePg w:val="0"/>
          <w:docGrid w:type="lines" w:linePitch="318" w:charSpace="409"/>
        </w:sectPr>
      </w:pPr>
    </w:p>
    <w:p>
      <w:pPr>
        <w:shd w:val="clear" w:color="auto" w:fill="FFFFFF"/>
        <w:spacing w:line="360" w:lineRule="auto"/>
        <w:jc w:val="left"/>
        <w:textAlignment w:val="center"/>
        <w:rPr>
          <w:rFonts w:ascii="宋体" w:hAnsi="宋体" w:cs="宋体"/>
          <w:szCs w:val="21"/>
        </w:rPr>
      </w:pPr>
      <w:r>
        <w:rPr>
          <w:rFonts w:ascii="宋体" w:hAnsi="宋体" w:cs="宋体" w:hint="eastAsia"/>
          <w:szCs w:val="21"/>
        </w:rPr>
        <w:t>3．（2023·全国乙卷）某农机企业为了推广智能农业机械，推出一种新的营销服务模式。该模式允许农户选择短期租赁、系统代运营服务，农户支付较低服务费用后获得业务支持，如播种、杂草控制、施肥、灌溉、土壤分析等。目前，这种服务模式得到大面积推广。该模式被市场广泛认同的原因在于（</w:t>
      </w:r>
      <w:r>
        <w:rPr>
          <w:rFonts w:ascii="宋体" w:hAnsi="宋体" w:cs="宋体" w:hint="eastAsia"/>
          <w:kern w:val="0"/>
          <w:szCs w:val="21"/>
        </w:rPr>
        <w:t>   </w:t>
      </w:r>
      <w:r>
        <w:rPr>
          <w:rFonts w:ascii="宋体" w:hAnsi="宋体" w:cs="宋体" w:hint="eastAsia"/>
          <w:szCs w:val="21"/>
        </w:rPr>
        <w:t>）</w:t>
      </w:r>
    </w:p>
    <w:p>
      <w:pPr>
        <w:shd w:val="clear" w:color="auto" w:fill="FFFFFF"/>
        <w:spacing w:line="360" w:lineRule="auto"/>
        <w:jc w:val="left"/>
        <w:textAlignment w:val="center"/>
        <w:rPr>
          <w:rFonts w:ascii="宋体" w:hAnsi="宋体" w:cs="宋体"/>
          <w:szCs w:val="21"/>
        </w:rPr>
      </w:pPr>
      <w:r>
        <w:rPr>
          <w:rFonts w:ascii="宋体" w:hAnsi="宋体" w:cs="宋体" w:hint="eastAsia"/>
          <w:szCs w:val="21"/>
        </w:rPr>
        <w:t>①减少农机研发成本，扩大农机生产规模</w:t>
      </w:r>
    </w:p>
    <w:p>
      <w:pPr>
        <w:shd w:val="clear" w:color="auto" w:fill="FFFFFF"/>
        <w:spacing w:line="360" w:lineRule="auto"/>
        <w:jc w:val="left"/>
        <w:textAlignment w:val="center"/>
        <w:rPr>
          <w:rFonts w:ascii="宋体" w:hAnsi="宋体" w:cs="宋体"/>
          <w:szCs w:val="21"/>
        </w:rPr>
      </w:pPr>
      <w:r>
        <w:rPr>
          <w:rFonts w:ascii="宋体" w:hAnsi="宋体" w:cs="宋体" w:hint="eastAsia"/>
          <w:szCs w:val="21"/>
        </w:rPr>
        <w:t>②推动智能化生产，提高农产品销售价格</w:t>
      </w:r>
    </w:p>
    <w:p>
      <w:pPr>
        <w:shd w:val="clear" w:color="auto" w:fill="FFFFFF"/>
        <w:spacing w:line="360" w:lineRule="auto"/>
        <w:jc w:val="left"/>
        <w:textAlignment w:val="center"/>
        <w:rPr>
          <w:rFonts w:ascii="宋体" w:hAnsi="宋体" w:cs="宋体"/>
          <w:szCs w:val="21"/>
        </w:rPr>
      </w:pPr>
      <w:r>
        <w:rPr>
          <w:rFonts w:ascii="宋体" w:hAnsi="宋体" w:cs="宋体" w:hint="eastAsia"/>
          <w:szCs w:val="21"/>
        </w:rPr>
        <w:t>③加速农机运营周转，增加农机使用效益</w:t>
      </w:r>
    </w:p>
    <w:p>
      <w:pPr>
        <w:shd w:val="clear" w:color="auto" w:fill="FFFFFF"/>
        <w:spacing w:line="360" w:lineRule="auto"/>
        <w:jc w:val="left"/>
        <w:textAlignment w:val="center"/>
        <w:rPr>
          <w:rFonts w:ascii="宋体" w:hAnsi="宋体" w:cs="宋体"/>
          <w:szCs w:val="21"/>
        </w:rPr>
      </w:pPr>
      <w:r>
        <w:rPr>
          <w:rFonts w:ascii="宋体" w:hAnsi="宋体" w:cs="宋体" w:hint="eastAsia"/>
          <w:szCs w:val="21"/>
        </w:rPr>
        <w:t>④降低农户生产劳动强度，提高经营效率</w:t>
      </w:r>
    </w:p>
    <w:p>
      <w:pPr>
        <w:shd w:val="clear" w:color="auto" w:fill="FFFFFF"/>
        <w:tabs>
          <w:tab w:val="left" w:pos="2078"/>
          <w:tab w:val="left" w:pos="4156"/>
          <w:tab w:val="left" w:pos="6234"/>
        </w:tabs>
        <w:spacing w:line="360" w:lineRule="auto"/>
        <w:jc w:val="left"/>
        <w:textAlignment w:val="center"/>
        <w:rPr>
          <w:rFonts w:ascii="宋体" w:hAnsi="宋体" w:cs="宋体"/>
          <w:szCs w:val="21"/>
        </w:rPr>
      </w:pPr>
      <w:r>
        <w:rPr>
          <w:rFonts w:ascii="宋体" w:hAnsi="宋体" w:cs="宋体" w:hint="eastAsia"/>
          <w:szCs w:val="21"/>
        </w:rPr>
        <w:t>A．①②</w:t>
      </w:r>
      <w:r>
        <w:rPr>
          <w:rFonts w:ascii="宋体" w:hAnsi="宋体" w:cs="宋体" w:hint="eastAsia"/>
          <w:szCs w:val="21"/>
        </w:rPr>
        <w:tab/>
      </w:r>
      <w:r>
        <w:rPr>
          <w:rFonts w:ascii="宋体" w:hAnsi="宋体" w:cs="宋体" w:hint="eastAsia"/>
          <w:szCs w:val="21"/>
        </w:rPr>
        <w:t>B．①③</w:t>
      </w:r>
      <w:r>
        <w:rPr>
          <w:rFonts w:ascii="宋体" w:hAnsi="宋体" w:cs="宋体" w:hint="eastAsia"/>
          <w:szCs w:val="21"/>
        </w:rPr>
        <w:tab/>
      </w:r>
      <w:r>
        <w:rPr>
          <w:rFonts w:ascii="宋体" w:hAnsi="宋体" w:cs="宋体" w:hint="eastAsia"/>
          <w:szCs w:val="21"/>
        </w:rPr>
        <w:t>C．②④</w:t>
      </w:r>
      <w:r>
        <w:rPr>
          <w:rFonts w:ascii="宋体" w:hAnsi="宋体" w:cs="宋体" w:hint="eastAsia"/>
          <w:szCs w:val="21"/>
        </w:rPr>
        <w:tab/>
      </w:r>
      <w:r>
        <w:rPr>
          <w:rFonts w:ascii="宋体" w:hAnsi="宋体" w:cs="宋体" w:hint="eastAsia"/>
          <w:szCs w:val="21"/>
        </w:rPr>
        <w:t>D．③④</w:t>
      </w:r>
    </w:p>
    <w:p>
      <w:pPr>
        <w:shd w:val="clear" w:color="auto" w:fill="F2F2F2"/>
        <w:spacing w:line="360" w:lineRule="auto"/>
        <w:jc w:val="left"/>
        <w:textAlignment w:val="center"/>
        <w:rPr>
          <w:rFonts w:ascii="宋体" w:hAnsi="宋体" w:cs="宋体"/>
          <w:color w:val="FF0000"/>
          <w:szCs w:val="21"/>
        </w:rPr>
      </w:pPr>
      <w:r>
        <w:rPr>
          <w:rFonts w:ascii="宋体" w:hAnsi="宋体" w:cs="宋体" w:hint="eastAsia"/>
          <w:color w:val="FF0000"/>
          <w:szCs w:val="21"/>
        </w:rPr>
        <w:t>【答案】D</w:t>
      </w:r>
    </w:p>
    <w:p>
      <w:pPr>
        <w:shd w:val="clear" w:color="auto" w:fill="F2F2F2"/>
        <w:spacing w:line="360" w:lineRule="auto"/>
        <w:jc w:val="left"/>
        <w:textAlignment w:val="center"/>
        <w:rPr>
          <w:rFonts w:ascii="宋体" w:hAnsi="宋体" w:cs="宋体"/>
          <w:color w:val="FF0000"/>
          <w:szCs w:val="21"/>
        </w:rPr>
      </w:pPr>
      <w:r>
        <w:rPr>
          <w:rFonts w:ascii="宋体" w:hAnsi="宋体" w:cs="宋体" w:hint="eastAsia"/>
          <w:color w:val="FF0000"/>
          <w:szCs w:val="21"/>
        </w:rPr>
        <w:t>【详解】③④：某农机企业推出的营销服务模式允许农户选择短期租赁、系统代运营服务，农户支付较低服务费用后获得业务支持，被市场广泛认同。这是因为该模式能够加速农机运营周转，降低农户生产劳动强度，增加农机使用效益，提高经营效率，③④正确。</w:t>
      </w:r>
    </w:p>
    <w:p>
      <w:pPr>
        <w:shd w:val="clear" w:color="auto" w:fill="F2F2F2"/>
        <w:spacing w:line="360" w:lineRule="auto"/>
        <w:jc w:val="left"/>
        <w:textAlignment w:val="center"/>
        <w:rPr>
          <w:rFonts w:ascii="宋体" w:hAnsi="宋体" w:cs="宋体"/>
          <w:color w:val="FF0000"/>
          <w:szCs w:val="21"/>
        </w:rPr>
      </w:pPr>
      <w:r>
        <w:rPr>
          <w:rFonts w:ascii="宋体" w:hAnsi="宋体" w:cs="宋体" w:hint="eastAsia"/>
          <w:color w:val="FF0000"/>
          <w:szCs w:val="21"/>
        </w:rPr>
        <w:t>①：材料中的营销服务模式只需要农户支付较低服务费用，因此可以减少农民种植的成本，既减少使用农机的成本，材料并不涉及农机研发成本问题，①排除。</w:t>
      </w:r>
    </w:p>
    <w:p>
      <w:pPr>
        <w:shd w:val="clear" w:color="auto" w:fill="F2F2F2"/>
        <w:spacing w:line="360" w:lineRule="auto"/>
        <w:jc w:val="left"/>
        <w:textAlignment w:val="center"/>
        <w:rPr>
          <w:rFonts w:ascii="宋体" w:hAnsi="宋体" w:cs="宋体"/>
          <w:color w:val="FF0000"/>
          <w:szCs w:val="21"/>
        </w:rPr>
      </w:pPr>
      <w:r>
        <w:rPr>
          <w:rFonts w:ascii="宋体" w:hAnsi="宋体" w:cs="宋体" w:hint="eastAsia"/>
          <w:color w:val="FF0000"/>
          <w:szCs w:val="21"/>
        </w:rPr>
        <w:t>②：材料中的营销服务模式有利于推动智能化农业生产，提高农业劳动生产率，如果不考虑其他因素，这会使农产品价格降低，而不是提高，②排除。</w:t>
      </w:r>
    </w:p>
    <w:p>
      <w:pPr>
        <w:shd w:val="clear" w:color="auto" w:fill="F2F2F2"/>
        <w:spacing w:line="360" w:lineRule="auto"/>
        <w:jc w:val="left"/>
        <w:textAlignment w:val="center"/>
        <w:rPr>
          <w:rFonts w:ascii="宋体" w:hAnsi="宋体" w:cs="宋体"/>
          <w:color w:val="FF0000"/>
          <w:szCs w:val="21"/>
        </w:rPr>
      </w:pPr>
      <w:r>
        <w:rPr>
          <w:rFonts w:ascii="宋体" w:hAnsi="宋体" w:cs="宋体" w:hint="eastAsia"/>
          <w:color w:val="FF0000"/>
          <w:szCs w:val="21"/>
        </w:rPr>
        <w:t>故本题选D。</w:t>
      </w:r>
    </w:p>
    <w:p>
      <w:pPr>
        <w:shd w:val="clear" w:color="auto" w:fill="FFFFFF"/>
        <w:spacing w:line="360" w:lineRule="auto"/>
        <w:jc w:val="left"/>
        <w:textAlignment w:val="center"/>
      </w:pPr>
      <w:r>
        <w:rPr>
          <w:rFonts w:hint="eastAsia"/>
        </w:rPr>
        <w:t>3</w:t>
      </w:r>
      <w:r>
        <w:t>．（2023·全国·</w:t>
      </w:r>
      <w:r>
        <w:rPr>
          <w:rFonts w:hint="eastAsia"/>
        </w:rPr>
        <w:t>甲卷</w:t>
      </w:r>
      <w:r>
        <w:t>）阅读材料，完成下列要求。</w:t>
      </w:r>
    </w:p>
    <w:p>
      <w:pPr>
        <w:shd w:val="clear" w:color="auto" w:fill="FFFFFF"/>
        <w:spacing w:line="360" w:lineRule="auto"/>
        <w:ind w:firstLine="420"/>
        <w:jc w:val="left"/>
        <w:textAlignment w:val="center"/>
      </w:pPr>
      <w:r>
        <w:rPr>
          <w:rFonts w:ascii="楷体" w:eastAsia="楷体" w:hAnsi="楷体" w:cs="楷体"/>
        </w:rPr>
        <w:t>一片绿地、一顶帐篷、一桌美食，和家人、好友一起享受美景美食、谈天说地……打开手机，仿佛半个朋友圈都在露营。</w:t>
      </w:r>
    </w:p>
    <w:p>
      <w:pPr>
        <w:shd w:val="clear" w:color="auto" w:fill="FFFFFF"/>
        <w:spacing w:line="360" w:lineRule="auto"/>
        <w:ind w:firstLine="420"/>
        <w:jc w:val="left"/>
        <w:textAlignment w:val="center"/>
      </w:pPr>
      <w:r>
        <w:rPr>
          <w:rFonts w:ascii="楷体" w:eastAsia="楷体" w:hAnsi="楷体" w:cs="楷体"/>
        </w:rPr>
        <w:t>据统计，截至2023年3月，我国共有8.75万家露营企业，2022年新增3.51万家，新增量同比增长54.5%，帐篷、睡袋、折叠桌椅等商品产销量大幅度增长，企业不断推出“露营+钓鱼+瑜伽”“露营+烧烤+篝火晚会”“露营+亲子活动”等诸多新产品和新服务。2022年中国露营经济核心市场规模达到1134.7亿元，同比增长51.8%;带动市场规模为5816.1亿元，同比增长52.6%。</w:t>
      </w:r>
    </w:p>
    <w:p>
      <w:pPr>
        <w:shd w:val="clear" w:color="auto" w:fill="FFFFFF"/>
        <w:spacing w:line="360" w:lineRule="auto"/>
        <w:jc w:val="left"/>
        <w:textAlignment w:val="center"/>
      </w:pPr>
      <w:r>
        <w:t>结合材料并运用经济知识，分析露营热的原因及其对促进经济发展的作用。</w:t>
      </w:r>
    </w:p>
    <w:p>
      <w:pPr>
        <w:shd w:val="clear" w:color="auto" w:fill="F2F2F2"/>
        <w:spacing w:line="360" w:lineRule="auto"/>
        <w:jc w:val="left"/>
        <w:textAlignment w:val="center"/>
        <w:rPr>
          <w:rFonts w:ascii="宋体" w:hAnsi="宋体" w:cs="宋体"/>
          <w:color w:val="FF0000"/>
        </w:rPr>
        <w:sectPr>
          <w:headerReference w:type="default" r:id="rId18"/>
          <w:footerReference w:type="even" r:id="rId19"/>
          <w:footerReference w:type="default" r:id="rId20"/>
          <w:footerReference w:type="first" r:id="rId21"/>
          <w:type w:val="nextPage"/>
          <w:pgSz w:w="11906" w:h="16838"/>
          <w:pgMar w:top="1417" w:right="1077" w:bottom="1417" w:left="1077" w:header="850" w:footer="992" w:gutter="0"/>
          <w:pgNumType w:start="3"/>
          <w:cols w:num="1" w:space="708"/>
          <w:titlePg w:val="0"/>
          <w:docGrid w:type="lines" w:linePitch="318" w:charSpace="409"/>
        </w:sectPr>
      </w:pPr>
      <w:r>
        <w:rPr>
          <w:rFonts w:ascii="宋体" w:hAnsi="宋体" w:cs="宋体" w:hint="eastAsia"/>
          <w:color w:val="FF0000"/>
        </w:rPr>
        <w:t>【答案】</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原因：居民收入增加，消费结构升级，推动露营需求快速升温；露营热也带动相关服务业发展,服务业发展又进一步促进露营热；消费对生产的调整和升级起着导向作用，露营热覆盖面宽，市场需求大，刺激露营企业的井喷式出现，增加供给；一个新的消费热点的出现，往往会带动一个产业的出现和成长，需求与供给的双向拉动，形成了新的消费增长点。</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作用：以露营为代表的微度假热潮是新消费热点。在这种热潮下，旅游休闲资源、产业链逐渐被调动起来，既满足了我国人民对美好生活的需求，提升生活休闲质量；也成为疫情后旅游业恢复发展重要的推动力量；还从居民需求端、产业供给端，为我国经济的企稳向好发展提供了新动能。</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【详解】第一步：审设问。明确主体、知识范围、问题限定和作答角度。本题需要调用经济的有关知识，从原因、意义角度分析作答。</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第二步：审材料。提取关键词，链接教材知识。</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关键词①：仿佛半个朋友圈都在露营……商品产销量大幅度增长→可联系教材知识居民收入增加，消费结构升级；消费对生产的导向作用；需求与供给的关系；</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关键词②：一起享受美景美食……新增量同比增长……带动市场规模等→可联系教材知识既满足了我国人民对美好生活的需求；也成为疫情后旅游业恢复发展重要的推动力量；为我国经济的企稳向好发展提供了新动能。</w:t>
      </w:r>
    </w:p>
    <w:p>
      <w:pPr>
        <w:shd w:val="clear" w:color="auto" w:fill="F2F2F2"/>
        <w:spacing w:line="360" w:lineRule="auto"/>
        <w:jc w:val="left"/>
        <w:textAlignment w:val="center"/>
        <w:rPr>
          <w:rFonts w:ascii="宋体" w:hAnsi="宋体" w:cs="宋体"/>
          <w:color w:val="FF0000"/>
        </w:rPr>
      </w:pPr>
      <w:r>
        <w:rPr>
          <w:rFonts w:ascii="宋体" w:hAnsi="宋体" w:cs="宋体" w:hint="eastAsia"/>
          <w:color w:val="FF0000"/>
        </w:rPr>
        <w:t>第三步：整合信息，组织答案。注意设问限定以及教材知识与材料、时政信息等相结合。</w:t>
      </w:r>
    </w:p>
    <w:p>
      <w:pPr>
        <w:spacing w:line="360" w:lineRule="auto"/>
        <w:ind w:firstLine="600" w:firstLineChars="200"/>
        <w:jc w:val="center"/>
        <w:textAlignment w:val="center"/>
        <w:rPr>
          <w:b/>
          <w:color w:val="0000FF"/>
          <w:sz w:val="30"/>
          <w:szCs w:val="30"/>
        </w:rPr>
      </w:pPr>
      <w:r>
        <w:rPr>
          <w:b/>
          <w:color w:val="0000FF"/>
          <w:sz w:val="30"/>
          <w:szCs w:val="30"/>
        </w:rPr>
        <w:pict>
          <v:shape id="_x0000_i1029" type="#_x0000_t75" style="width:191.25pt;height:48.75pt" coordsize="21600,21600" o:preferrelative="t" filled="f" stroked="f">
            <v:stroke joinstyle="miter"/>
            <v:imagedata r:id="rId22" o:title="83477d6bf56f68c1600c4d34d6c24c8"/>
            <o:lock v:ext="edit" aspectratio="t"/>
            <w10:anchorlock/>
          </v:shape>
        </w:pict>
      </w:r>
    </w:p>
    <w:p>
      <w:pPr>
        <w:spacing w:line="360" w:lineRule="auto"/>
        <w:ind w:firstLine="420" w:firstLineChars="200"/>
        <w:jc w:val="left"/>
        <w:textAlignment w:val="center"/>
      </w:pPr>
      <w:r>
        <w:t>1．</w:t>
      </w:r>
      <w:r>
        <w:rPr>
          <w:rFonts w:hint="eastAsia"/>
        </w:rPr>
        <w:t>（2022全国甲卷）</w:t>
      </w:r>
      <w:r>
        <w:t>2021年4月，中共中央办公厅、国务院办公厅印发《关于建立健全生态产品价值实现机制的意见》强调，要以保障自然生态系统休养生息为基础，增值自然资本，厚植生态产品价值;充分发挥市场在资源配置中的决定性作用，推动生态产品价值有效转化。这表明（</w:t>
      </w:r>
      <w:r>
        <w:rPr>
          <w:rFonts w:ascii="'Times New Roman'" w:eastAsia="'Times New Roman'" w:hAnsi="'Times New Roman'" w:cs="'Times New Roman'"/>
        </w:rPr>
        <w:t>     </w:t>
      </w:r>
      <w:r>
        <w:t>）</w:t>
      </w:r>
    </w:p>
    <w:p>
      <w:pPr>
        <w:spacing w:line="360" w:lineRule="auto"/>
        <w:ind w:firstLine="420" w:firstLineChars="200"/>
        <w:jc w:val="left"/>
        <w:textAlignment w:val="center"/>
      </w:pPr>
      <w:r>
        <w:t>①生态产品有使用价值，其利用要合理有效</w:t>
      </w:r>
    </w:p>
    <w:p>
      <w:pPr>
        <w:spacing w:line="360" w:lineRule="auto"/>
        <w:ind w:firstLine="420" w:firstLineChars="200"/>
        <w:jc w:val="left"/>
        <w:textAlignment w:val="center"/>
      </w:pPr>
      <w:r>
        <w:t>②生态产品有商品属性，其价值必然会实现</w:t>
      </w:r>
    </w:p>
    <w:p>
      <w:pPr>
        <w:spacing w:line="360" w:lineRule="auto"/>
        <w:ind w:firstLine="420" w:firstLineChars="200"/>
        <w:jc w:val="left"/>
        <w:textAlignment w:val="center"/>
        <w:sectPr>
          <w:headerReference w:type="default" r:id="rId23"/>
          <w:footerReference w:type="even" r:id="rId24"/>
          <w:footerReference w:type="default" r:id="rId25"/>
          <w:footerReference w:type="first" r:id="rId26"/>
          <w:type w:val="nextPage"/>
          <w:pgSz w:w="11906" w:h="16838"/>
          <w:pgMar w:top="1417" w:right="1077" w:bottom="1417" w:left="1077" w:header="850" w:footer="992" w:gutter="0"/>
          <w:pgNumType w:start="4"/>
          <w:cols w:num="1" w:space="708"/>
          <w:titlePg w:val="0"/>
          <w:docGrid w:type="lines" w:linePitch="318" w:charSpace="409"/>
        </w:sectPr>
      </w:pPr>
      <w:r>
        <w:t>③生态产品有价值，价值实现要通过市场途径</w:t>
      </w:r>
    </w:p>
    <w:p>
      <w:pPr>
        <w:spacing w:line="360" w:lineRule="auto"/>
        <w:ind w:firstLine="420" w:firstLineChars="200"/>
        <w:jc w:val="left"/>
        <w:textAlignment w:val="center"/>
      </w:pPr>
      <w:r>
        <w:t>④生态产品有稀缺性，休养生息是其价值源泉</w:t>
      </w:r>
    </w:p>
    <w:p>
      <w:pPr>
        <w:tabs>
          <w:tab w:val="left" w:pos="2076"/>
          <w:tab w:val="left" w:pos="4153"/>
          <w:tab w:val="left" w:pos="6229"/>
        </w:tabs>
        <w:spacing w:line="360" w:lineRule="auto"/>
        <w:ind w:firstLine="420" w:firstLineChars="200"/>
        <w:jc w:val="left"/>
        <w:textAlignment w:val="center"/>
      </w:pPr>
      <w:r>
        <w:t>A．①③</w:t>
      </w:r>
      <w:r>
        <w:tab/>
      </w:r>
      <w:r>
        <w:t>B．①④</w:t>
      </w:r>
      <w:r>
        <w:tab/>
      </w:r>
      <w:r>
        <w:t>C．②③</w:t>
      </w:r>
      <w:r>
        <w:tab/>
      </w:r>
      <w:r>
        <w:t>D．②④</w:t>
      </w:r>
    </w:p>
    <w:p>
      <w:pPr>
        <w:spacing w:line="360" w:lineRule="auto"/>
        <w:ind w:firstLine="420" w:firstLineChars="200"/>
        <w:jc w:val="left"/>
        <w:textAlignment w:val="center"/>
        <w:rPr>
          <w:color w:val="FF0000"/>
        </w:rPr>
      </w:pPr>
      <w:r>
        <w:rPr>
          <w:color w:val="FF0000"/>
        </w:rPr>
        <w:t>【答案】A</w:t>
      </w:r>
    </w:p>
    <w:p>
      <w:pPr>
        <w:spacing w:line="360" w:lineRule="auto"/>
        <w:ind w:firstLine="420" w:firstLineChars="200"/>
        <w:jc w:val="left"/>
        <w:textAlignment w:val="center"/>
        <w:rPr>
          <w:color w:val="FF0000"/>
        </w:rPr>
      </w:pPr>
      <w:r>
        <w:rPr>
          <w:color w:val="FF0000"/>
        </w:rPr>
        <w:t>【解析】</w:t>
      </w:r>
    </w:p>
    <w:p>
      <w:pPr>
        <w:spacing w:line="360" w:lineRule="auto"/>
        <w:ind w:firstLine="420" w:firstLineChars="200"/>
        <w:jc w:val="left"/>
        <w:textAlignment w:val="center"/>
        <w:rPr>
          <w:color w:val="FF0000"/>
        </w:rPr>
      </w:pPr>
      <w:r>
        <w:rPr>
          <w:color w:val="FF0000"/>
        </w:rPr>
        <w:t>①：建立健全生态产品价值实现机制，以保障自然生态系统休养生息为基础，增值自然资本，厚植生态产品价值，这说明生态产品有使用价值，其利用要合理有效，①正确。</w:t>
      </w:r>
    </w:p>
    <w:p>
      <w:pPr>
        <w:spacing w:line="360" w:lineRule="auto"/>
        <w:ind w:firstLine="420" w:firstLineChars="200"/>
        <w:jc w:val="left"/>
        <w:textAlignment w:val="center"/>
        <w:rPr>
          <w:color w:val="FF0000"/>
        </w:rPr>
      </w:pPr>
      <w:r>
        <w:rPr>
          <w:color w:val="FF0000"/>
        </w:rPr>
        <w:t>②：生态产品有商品属性，其价值能否实现受多种因素制约，“其价值必然会实现”说法过于绝对化，②排除。</w:t>
      </w:r>
    </w:p>
    <w:p>
      <w:pPr>
        <w:spacing w:line="360" w:lineRule="auto"/>
        <w:ind w:firstLine="420" w:firstLineChars="200"/>
        <w:jc w:val="left"/>
        <w:textAlignment w:val="center"/>
        <w:rPr>
          <w:color w:val="FF0000"/>
        </w:rPr>
      </w:pPr>
      <w:r>
        <w:rPr>
          <w:color w:val="FF0000"/>
        </w:rPr>
        <w:t>③：“充分发挥市场在资源配置中的决定性作用，推动生态产品价值有效转化”意味着生态产品有价值，价值实现要通过市场途径，③正确。</w:t>
      </w:r>
    </w:p>
    <w:p>
      <w:pPr>
        <w:spacing w:line="360" w:lineRule="auto"/>
        <w:ind w:firstLine="420" w:firstLineChars="200"/>
        <w:jc w:val="left"/>
        <w:textAlignment w:val="center"/>
        <w:rPr>
          <w:color w:val="FF0000"/>
        </w:rPr>
      </w:pPr>
      <w:r>
        <w:rPr>
          <w:color w:val="FF0000"/>
        </w:rPr>
        <w:t>④：生态产品的价值来源于人类劳动，④错误。</w:t>
      </w:r>
    </w:p>
    <w:p>
      <w:pPr>
        <w:spacing w:line="360" w:lineRule="auto"/>
        <w:ind w:firstLine="420" w:firstLineChars="200"/>
        <w:jc w:val="left"/>
        <w:textAlignment w:val="center"/>
        <w:rPr>
          <w:color w:val="FF0000"/>
        </w:rPr>
      </w:pPr>
      <w:r>
        <w:rPr>
          <w:color w:val="FF0000"/>
        </w:rPr>
        <w:t>故本题选A。</w:t>
      </w:r>
    </w:p>
    <w:p>
      <w:pPr>
        <w:spacing w:line="360" w:lineRule="auto"/>
        <w:ind w:firstLine="420" w:firstLineChars="200"/>
        <w:jc w:val="left"/>
        <w:textAlignment w:val="center"/>
      </w:pPr>
      <w:r>
        <w:rPr>
          <w:rFonts w:hint="eastAsia"/>
        </w:rPr>
        <w:t>2</w:t>
      </w:r>
      <w:r>
        <w:t>．</w:t>
      </w:r>
      <w:r>
        <w:rPr>
          <w:rFonts w:hint="eastAsia"/>
        </w:rPr>
        <w:t>（2022全国甲卷）</w:t>
      </w:r>
      <w:r>
        <w:t>据研究预测，2022年欧洲某国国经济增长将大幅放缓，经济增速将从上年的7.5%降至3.9%；2022年二季度该国通货膨胀率将升至8%，比前月的预测高出1个百分点。5月5日，该国中央银行将利率从0.75%提高到1%，这是该国自去年12月以来连续第四次加息。该国加息政策的目标及作用过程是（</w:t>
      </w:r>
      <w:r>
        <w:rPr>
          <w:rFonts w:ascii="'Times New Roman'" w:eastAsia="'Times New Roman'" w:hAnsi="'Times New Roman'" w:cs="'Times New Roman'"/>
        </w:rPr>
        <w:t>     </w:t>
      </w:r>
      <w:r>
        <w:t>）</w:t>
      </w:r>
    </w:p>
    <w:p>
      <w:pPr>
        <w:spacing w:line="360" w:lineRule="auto"/>
        <w:ind w:firstLine="420" w:firstLineChars="200"/>
        <w:jc w:val="left"/>
        <w:textAlignment w:val="center"/>
      </w:pPr>
      <w:r>
        <w:t>A．提高利率——流通中的货币量增加——促进消费——刺激经济增长</w:t>
      </w:r>
    </w:p>
    <w:p>
      <w:pPr>
        <w:spacing w:line="360" w:lineRule="auto"/>
        <w:ind w:firstLine="420" w:firstLineChars="200"/>
        <w:jc w:val="left"/>
        <w:textAlignment w:val="center"/>
      </w:pPr>
      <w:r>
        <w:t>B．提高利率——流通中的货币量减少——物价下降——抑制通货膨胀</w:t>
      </w:r>
    </w:p>
    <w:p>
      <w:pPr>
        <w:spacing w:line="360" w:lineRule="auto"/>
        <w:ind w:firstLine="420" w:firstLineChars="200"/>
        <w:jc w:val="left"/>
        <w:textAlignment w:val="center"/>
      </w:pPr>
      <w:r>
        <w:t>C．提高利率——储蓄增加——投资规模扩大——商品供给增加——抑制通货膨胀</w:t>
      </w:r>
    </w:p>
    <w:p>
      <w:pPr>
        <w:spacing w:line="360" w:lineRule="auto"/>
        <w:ind w:firstLine="420" w:firstLineChars="200"/>
        <w:jc w:val="left"/>
        <w:textAlignment w:val="center"/>
      </w:pPr>
      <w:r>
        <w:t>D．提高利率——境外资金流入——本币贬值——促进商品出口——刺激经济增长</w:t>
      </w:r>
    </w:p>
    <w:p>
      <w:pPr>
        <w:spacing w:line="360" w:lineRule="auto"/>
        <w:ind w:firstLine="420" w:firstLineChars="200"/>
        <w:jc w:val="left"/>
        <w:textAlignment w:val="center"/>
        <w:rPr>
          <w:color w:val="FF0000"/>
        </w:rPr>
      </w:pPr>
      <w:r>
        <w:rPr>
          <w:color w:val="FF0000"/>
        </w:rPr>
        <w:t>【答案】B</w:t>
      </w:r>
    </w:p>
    <w:p>
      <w:pPr>
        <w:spacing w:line="360" w:lineRule="auto"/>
        <w:ind w:firstLine="420" w:firstLineChars="200"/>
        <w:jc w:val="left"/>
        <w:textAlignment w:val="center"/>
        <w:rPr>
          <w:color w:val="FF0000"/>
        </w:rPr>
      </w:pPr>
      <w:r>
        <w:rPr>
          <w:color w:val="FF0000"/>
        </w:rPr>
        <w:t>【解析】</w:t>
      </w:r>
    </w:p>
    <w:p>
      <w:pPr>
        <w:spacing w:line="360" w:lineRule="auto"/>
        <w:ind w:firstLine="420" w:firstLineChars="200"/>
        <w:jc w:val="left"/>
        <w:textAlignment w:val="center"/>
        <w:rPr>
          <w:color w:val="FF0000"/>
        </w:rPr>
        <w:sectPr>
          <w:headerReference w:type="default" r:id="rId27"/>
          <w:footerReference w:type="even" r:id="rId28"/>
          <w:footerReference w:type="default" r:id="rId29"/>
          <w:footerReference w:type="first" r:id="rId30"/>
          <w:type w:val="nextPage"/>
          <w:pgSz w:w="11906" w:h="16838"/>
          <w:pgMar w:top="1417" w:right="1077" w:bottom="1417" w:left="1077" w:header="850" w:footer="992" w:gutter="0"/>
          <w:pgNumType w:start="5"/>
          <w:cols w:num="1" w:space="708"/>
          <w:titlePg w:val="0"/>
          <w:docGrid w:type="lines" w:linePitch="318" w:charSpace="409"/>
        </w:sectPr>
      </w:pPr>
      <w:r>
        <w:rPr>
          <w:color w:val="FF0000"/>
        </w:rPr>
        <w:t>A：提高利率将会减少流通中的货币量，A排除。</w:t>
      </w:r>
    </w:p>
    <w:p>
      <w:pPr>
        <w:spacing w:line="360" w:lineRule="auto"/>
        <w:ind w:firstLine="420" w:firstLineChars="200"/>
        <w:jc w:val="left"/>
        <w:textAlignment w:val="center"/>
        <w:rPr>
          <w:color w:val="FF0000"/>
        </w:rPr>
      </w:pPr>
      <w:r>
        <w:rPr>
          <w:color w:val="FF0000"/>
        </w:rPr>
        <w:t>B：提高利率将会减少流通中的货币量，从而平衡供求关系，促使物价下降，进而抑制通货膨胀，B正确。</w:t>
      </w:r>
    </w:p>
    <w:p>
      <w:pPr>
        <w:spacing w:line="360" w:lineRule="auto"/>
        <w:ind w:firstLine="420" w:firstLineChars="200"/>
        <w:jc w:val="left"/>
        <w:textAlignment w:val="center"/>
        <w:rPr>
          <w:color w:val="FF0000"/>
        </w:rPr>
      </w:pPr>
      <w:r>
        <w:rPr>
          <w:color w:val="FF0000"/>
        </w:rPr>
        <w:t>C：提高利率有利于推动储蓄意愿增加，增加储蓄存款，但投资规模将会缩小，C排除。</w:t>
      </w:r>
    </w:p>
    <w:p>
      <w:pPr>
        <w:spacing w:line="360" w:lineRule="auto"/>
        <w:ind w:firstLine="420" w:firstLineChars="200"/>
        <w:jc w:val="left"/>
        <w:textAlignment w:val="center"/>
        <w:rPr>
          <w:color w:val="FF0000"/>
        </w:rPr>
      </w:pPr>
      <w:r>
        <w:rPr>
          <w:color w:val="FF0000"/>
        </w:rPr>
        <w:t>D：境外资金流入，会导致本币升值，D排除。</w:t>
      </w:r>
    </w:p>
    <w:p>
      <w:pPr>
        <w:spacing w:line="360" w:lineRule="auto"/>
        <w:ind w:firstLine="420" w:firstLineChars="200"/>
        <w:jc w:val="left"/>
        <w:textAlignment w:val="center"/>
        <w:rPr>
          <w:color w:val="FF0000"/>
        </w:rPr>
      </w:pPr>
      <w:r>
        <w:rPr>
          <w:color w:val="FF0000"/>
        </w:rPr>
        <w:t>故本题选B。</w:t>
      </w:r>
    </w:p>
    <w:p>
      <w:pPr>
        <w:spacing w:line="360" w:lineRule="auto"/>
        <w:ind w:firstLine="420" w:firstLineChars="200"/>
        <w:jc w:val="left"/>
        <w:textAlignment w:val="center"/>
      </w:pPr>
      <w:r>
        <w:rPr>
          <w:rFonts w:hint="eastAsia"/>
        </w:rPr>
        <w:t>3</w:t>
      </w:r>
      <w:r>
        <w:t>．</w:t>
      </w:r>
      <w:r>
        <w:rPr>
          <w:rFonts w:hint="eastAsia"/>
        </w:rPr>
        <w:t>（2022浙江卷）</w:t>
      </w:r>
      <w:r>
        <w:t>2022年4月，国际原油价格相较于2021年每桶上涨了几十美元。此时，生产者将会（</w:t>
      </w:r>
      <w:r>
        <w:rPr>
          <w:rFonts w:ascii="'Times New Roman'" w:eastAsia="'Times New Roman'" w:hAnsi="'Times New Roman'" w:cs="'Times New Roman'"/>
        </w:rPr>
        <w:t>       </w:t>
      </w:r>
      <w:r>
        <w:t>）</w:t>
      </w:r>
    </w:p>
    <w:p>
      <w:pPr>
        <w:tabs>
          <w:tab w:val="left" w:pos="2076"/>
          <w:tab w:val="left" w:pos="4153"/>
          <w:tab w:val="left" w:pos="6229"/>
        </w:tabs>
        <w:spacing w:line="360" w:lineRule="auto"/>
        <w:ind w:firstLine="420" w:firstLineChars="200"/>
        <w:jc w:val="left"/>
        <w:textAlignment w:val="center"/>
      </w:pPr>
      <w:r>
        <w:t>A．扩大生产规模</w:t>
      </w:r>
      <w:r>
        <w:tab/>
      </w:r>
      <w:r>
        <w:t>B．压缩生产规模</w:t>
      </w:r>
      <w:r>
        <w:tab/>
      </w:r>
      <w:r>
        <w:t>C．维持原有生产规模</w:t>
      </w:r>
      <w:r>
        <w:tab/>
      </w:r>
      <w:r>
        <w:t>D．视获利情况而定生产规模</w:t>
      </w:r>
    </w:p>
    <w:p>
      <w:pPr>
        <w:spacing w:line="360" w:lineRule="auto"/>
        <w:ind w:firstLine="420" w:firstLineChars="200"/>
        <w:jc w:val="left"/>
        <w:textAlignment w:val="center"/>
        <w:rPr>
          <w:color w:val="FF0000"/>
        </w:rPr>
      </w:pPr>
      <w:r>
        <w:rPr>
          <w:color w:val="FF0000"/>
        </w:rPr>
        <w:t>【答案】D</w:t>
      </w:r>
    </w:p>
    <w:p>
      <w:pPr>
        <w:spacing w:line="360" w:lineRule="auto"/>
        <w:ind w:firstLine="420" w:firstLineChars="200"/>
        <w:jc w:val="left"/>
        <w:textAlignment w:val="center"/>
        <w:rPr>
          <w:color w:val="FF0000"/>
        </w:rPr>
      </w:pPr>
      <w:r>
        <w:rPr>
          <w:color w:val="FF0000"/>
        </w:rPr>
        <w:t>【解析】</w:t>
      </w:r>
    </w:p>
    <w:p>
      <w:pPr>
        <w:spacing w:line="360" w:lineRule="auto"/>
        <w:ind w:firstLine="420" w:firstLineChars="200"/>
        <w:jc w:val="left"/>
        <w:textAlignment w:val="center"/>
        <w:rPr>
          <w:color w:val="FF0000"/>
        </w:rPr>
      </w:pPr>
      <w:r>
        <w:rPr>
          <w:color w:val="FF0000"/>
        </w:rPr>
        <w:t>ABCD：价格变动对生产有影响。题干中：国际原油价格上涨，如果其他条件不变，则国际原油生产者获利增加，一般情况下，会扩大生产规模，增加产量。但如果生产、加工原油的成本增加，这时候即使原油价格上涨，但原油生产者的利润可能保持不变，甚至还会下降，故这个时候，原油生产者可能会维持甚至压缩生产规模。因此，面对国际原油价格上涨，此时，生产者将会视获利情况而定生产规模，故ABC排除，D符合题意。</w:t>
      </w:r>
    </w:p>
    <w:p>
      <w:pPr>
        <w:spacing w:line="360" w:lineRule="auto"/>
        <w:ind w:firstLine="420" w:firstLineChars="200"/>
        <w:jc w:val="left"/>
        <w:textAlignment w:val="center"/>
        <w:rPr>
          <w:color w:val="FF0000"/>
        </w:rPr>
      </w:pPr>
      <w:r>
        <w:rPr>
          <w:color w:val="FF0000"/>
        </w:rPr>
        <w:t>故本题选D。</w:t>
      </w:r>
    </w:p>
    <w:p>
      <w:pPr>
        <w:spacing w:line="360" w:lineRule="auto"/>
        <w:ind w:firstLine="420" w:firstLineChars="200"/>
        <w:jc w:val="left"/>
        <w:textAlignment w:val="center"/>
      </w:pPr>
      <w:r>
        <w:rPr>
          <w:rFonts w:hint="eastAsia"/>
        </w:rPr>
        <w:t>4</w:t>
      </w:r>
      <w:r>
        <w:t>．</w:t>
      </w:r>
      <w:r>
        <w:rPr>
          <w:rFonts w:hint="eastAsia"/>
        </w:rPr>
        <w:t>（2022浙江卷）</w:t>
      </w:r>
      <w:r>
        <w:t>近两年我国居民人均可支配收入平均实际增长5.1%，增速比疫情前的2019年放缓0.7%，居民的消费能力、消费意愿有所减弱。为了防止消费增速持续放缓，国家应（</w:t>
      </w:r>
      <w:r>
        <w:rPr>
          <w:rFonts w:ascii="'Times New Roman'" w:eastAsia="'Times New Roman'" w:hAnsi="'Times New Roman'" w:cs="'Times New Roman'"/>
        </w:rPr>
        <w:t>       </w:t>
      </w:r>
      <w:r>
        <w:t>）</w:t>
      </w:r>
    </w:p>
    <w:p>
      <w:pPr>
        <w:spacing w:line="360" w:lineRule="auto"/>
        <w:ind w:firstLine="420" w:firstLineChars="200"/>
        <w:jc w:val="left"/>
        <w:textAlignment w:val="center"/>
        <w:rPr>
          <w:rFonts w:ascii="'Times New Roman'" w:eastAsia="'Times New Roman'" w:hAnsi="'Times New Roman'" w:cs="'Times New Roman'"/>
        </w:rPr>
      </w:pPr>
      <w:r>
        <w:t>①进一步鼓励企业扩大投资</w:t>
      </w:r>
      <w:r>
        <w:rPr>
          <w:rFonts w:ascii="'Times New Roman'" w:eastAsia="'Times New Roman'" w:hAnsi="'Times New Roman'" w:cs="'Times New Roman'"/>
        </w:rPr>
        <w:t>             </w:t>
      </w:r>
    </w:p>
    <w:p>
      <w:pPr>
        <w:spacing w:line="360" w:lineRule="auto"/>
        <w:ind w:firstLine="420" w:firstLineChars="200"/>
        <w:jc w:val="left"/>
        <w:textAlignment w:val="center"/>
      </w:pPr>
      <w:r>
        <w:t>②鼓励居民将线上消费作为主要消费方式</w:t>
      </w:r>
    </w:p>
    <w:p>
      <w:pPr>
        <w:spacing w:line="360" w:lineRule="auto"/>
        <w:ind w:firstLine="420" w:firstLineChars="200"/>
        <w:jc w:val="left"/>
        <w:textAlignment w:val="center"/>
        <w:rPr>
          <w:rFonts w:ascii="'Times New Roman'" w:eastAsia="'Times New Roman'" w:hAnsi="'Times New Roman'" w:cs="'Times New Roman'"/>
        </w:rPr>
      </w:pPr>
      <w:r>
        <w:t>③出台更多刺激消费的政策</w:t>
      </w:r>
      <w:r>
        <w:rPr>
          <w:rFonts w:ascii="'Times New Roman'" w:eastAsia="'Times New Roman'" w:hAnsi="'Times New Roman'" w:cs="'Times New Roman'"/>
        </w:rPr>
        <w:t>             </w:t>
      </w:r>
    </w:p>
    <w:p>
      <w:pPr>
        <w:spacing w:line="360" w:lineRule="auto"/>
        <w:ind w:firstLine="420" w:firstLineChars="200"/>
        <w:jc w:val="left"/>
        <w:textAlignment w:val="center"/>
      </w:pPr>
      <w:r>
        <w:t>④多渠道增加居民收入</w:t>
      </w:r>
    </w:p>
    <w:p>
      <w:pPr>
        <w:tabs>
          <w:tab w:val="left" w:pos="2076"/>
          <w:tab w:val="left" w:pos="4153"/>
          <w:tab w:val="left" w:pos="6229"/>
        </w:tabs>
        <w:spacing w:line="360" w:lineRule="auto"/>
        <w:ind w:firstLine="420" w:firstLineChars="200"/>
        <w:jc w:val="left"/>
        <w:textAlignment w:val="center"/>
        <w:sectPr>
          <w:headerReference w:type="default" r:id="rId31"/>
          <w:footerReference w:type="even" r:id="rId32"/>
          <w:footerReference w:type="default" r:id="rId33"/>
          <w:footerReference w:type="first" r:id="rId34"/>
          <w:type w:val="nextPage"/>
          <w:pgSz w:w="11906" w:h="16838"/>
          <w:pgMar w:top="1417" w:right="1077" w:bottom="1417" w:left="1077" w:header="850" w:footer="992" w:gutter="0"/>
          <w:pgNumType w:start="6"/>
          <w:cols w:num="1" w:space="708"/>
          <w:titlePg w:val="0"/>
          <w:docGrid w:type="lines" w:linePitch="318" w:charSpace="409"/>
        </w:sectPr>
      </w:pPr>
      <w:r>
        <w:t>A．①②</w:t>
      </w:r>
      <w:r>
        <w:tab/>
      </w:r>
      <w:r>
        <w:t>B．①③</w:t>
      </w:r>
      <w:r>
        <w:tab/>
      </w:r>
      <w:r>
        <w:t>C．②④</w:t>
      </w:r>
      <w:r>
        <w:tab/>
      </w:r>
      <w:r>
        <w:t>D．③④</w:t>
      </w:r>
    </w:p>
    <w:p>
      <w:pPr>
        <w:spacing w:line="360" w:lineRule="auto"/>
        <w:ind w:firstLine="420" w:firstLineChars="200"/>
        <w:jc w:val="left"/>
        <w:textAlignment w:val="center"/>
        <w:rPr>
          <w:color w:val="FF0000"/>
        </w:rPr>
      </w:pPr>
      <w:r>
        <w:rPr>
          <w:color w:val="FF0000"/>
        </w:rPr>
        <w:t>【答案】D</w:t>
      </w:r>
    </w:p>
    <w:p>
      <w:pPr>
        <w:spacing w:line="360" w:lineRule="auto"/>
        <w:ind w:firstLine="420" w:firstLineChars="200"/>
        <w:jc w:val="left"/>
        <w:textAlignment w:val="center"/>
        <w:rPr>
          <w:color w:val="FF0000"/>
        </w:rPr>
      </w:pPr>
      <w:r>
        <w:rPr>
          <w:color w:val="FF0000"/>
        </w:rPr>
        <w:t>【解析】</w:t>
      </w:r>
    </w:p>
    <w:p>
      <w:pPr>
        <w:spacing w:line="360" w:lineRule="auto"/>
        <w:ind w:firstLine="420" w:firstLineChars="200"/>
        <w:jc w:val="left"/>
        <w:textAlignment w:val="center"/>
        <w:rPr>
          <w:color w:val="FF0000"/>
        </w:rPr>
      </w:pPr>
      <w:r>
        <w:rPr>
          <w:color w:val="FF0000"/>
        </w:rPr>
        <w:t>①：题干问的是：为了防止消费增速持续放缓，所以国家最应该在消费（需求）端有所作为，故①不符合题意。</w:t>
      </w:r>
    </w:p>
    <w:p>
      <w:pPr>
        <w:spacing w:line="360" w:lineRule="auto"/>
        <w:ind w:firstLine="420" w:firstLineChars="200"/>
        <w:jc w:val="left"/>
        <w:textAlignment w:val="center"/>
        <w:rPr>
          <w:color w:val="FF0000"/>
        </w:rPr>
      </w:pPr>
      <w:r>
        <w:rPr>
          <w:color w:val="FF0000"/>
        </w:rPr>
        <w:t>②：是线上消费还是线下消费，只是实现消费的方式不同而已，但这并不能有效防止消费增速持续放缓，故②排除。</w:t>
      </w:r>
    </w:p>
    <w:p>
      <w:pPr>
        <w:spacing w:line="360" w:lineRule="auto"/>
        <w:ind w:firstLine="420" w:firstLineChars="200"/>
        <w:jc w:val="left"/>
        <w:textAlignment w:val="center"/>
        <w:rPr>
          <w:color w:val="FF0000"/>
        </w:rPr>
      </w:pPr>
      <w:r>
        <w:rPr>
          <w:color w:val="FF0000"/>
        </w:rPr>
        <w:t>③④：收入是消费的前提和基础。由题干得知：近两年随着居民人均可支配收入增速放缓，人们的消费能力和消费意愿有所减弱，所以国家应该出台更多刺激消费的政策，并想办法多渠道增加居民收入，故③④符合题意。</w:t>
      </w:r>
    </w:p>
    <w:p>
      <w:pPr>
        <w:spacing w:line="360" w:lineRule="auto"/>
        <w:ind w:firstLine="420" w:firstLineChars="200"/>
        <w:jc w:val="left"/>
        <w:textAlignment w:val="center"/>
        <w:rPr>
          <w:color w:val="FF0000"/>
        </w:rPr>
      </w:pPr>
      <w:r>
        <w:rPr>
          <w:color w:val="FF0000"/>
        </w:rPr>
        <w:t>故本题选D。</w:t>
      </w:r>
    </w:p>
    <w:p>
      <w:pPr>
        <w:spacing w:line="360" w:lineRule="auto"/>
        <w:ind w:firstLine="420" w:firstLineChars="200"/>
        <w:jc w:val="left"/>
        <w:textAlignment w:val="center"/>
      </w:pPr>
      <w:r>
        <w:rPr>
          <w:rFonts w:hint="eastAsia"/>
        </w:rPr>
        <w:t>5</w:t>
      </w:r>
      <w:r>
        <w:t>．</w:t>
      </w:r>
      <w:r>
        <w:rPr>
          <w:rFonts w:hint="eastAsia"/>
        </w:rPr>
        <w:t>（</w:t>
      </w:r>
      <w:r>
        <w:t>202</w:t>
      </w:r>
      <w:r>
        <w:rPr>
          <w:rFonts w:hint="eastAsia"/>
        </w:rPr>
        <w:t>2全国乙卷）</w:t>
      </w:r>
      <w:r>
        <w:t>2022年中央一号文件明确要求：适当提高稻谷、小麦最低收购价，健全农民种粮收益保障机制；在黄淮海、西北、西南地区推广玉米大豆带状复合种植，在东北地区开展粮豆轮作，在长江流域开发冬闲田扩种油菜。这是为了（</w:t>
      </w:r>
      <w:r>
        <w:rPr>
          <w:rFonts w:ascii="'Times New Roman'" w:eastAsia="'Times New Roman'" w:hAnsi="'Times New Roman'" w:cs="'Times New Roman'"/>
        </w:rPr>
        <w:t>     </w:t>
      </w:r>
      <w:r>
        <w:t>）</w:t>
      </w:r>
    </w:p>
    <w:p>
      <w:pPr>
        <w:spacing w:line="360" w:lineRule="auto"/>
        <w:ind w:firstLine="420" w:firstLineChars="200"/>
        <w:jc w:val="left"/>
        <w:textAlignment w:val="center"/>
      </w:pPr>
      <w:r>
        <w:t>①保护农民种粮积极性，稳定粮食产量</w:t>
      </w:r>
    </w:p>
    <w:p>
      <w:pPr>
        <w:spacing w:line="360" w:lineRule="auto"/>
        <w:ind w:firstLine="420" w:firstLineChars="200"/>
        <w:jc w:val="left"/>
        <w:textAlignment w:val="center"/>
      </w:pPr>
      <w:r>
        <w:t>②发挥市场决定作用，有效配置农业资源</w:t>
      </w:r>
    </w:p>
    <w:p>
      <w:pPr>
        <w:spacing w:line="360" w:lineRule="auto"/>
        <w:ind w:firstLine="420" w:firstLineChars="200"/>
        <w:jc w:val="left"/>
        <w:textAlignment w:val="center"/>
      </w:pPr>
      <w:r>
        <w:t>③优化农作物种植结构，更好满足市场需求</w:t>
      </w:r>
    </w:p>
    <w:p>
      <w:pPr>
        <w:spacing w:line="360" w:lineRule="auto"/>
        <w:ind w:firstLine="420" w:firstLineChars="200"/>
        <w:jc w:val="left"/>
        <w:textAlignment w:val="center"/>
      </w:pPr>
      <w:r>
        <w:t>④扩大农作物种植面积，实现农产品自给自足</w:t>
      </w:r>
    </w:p>
    <w:p>
      <w:pPr>
        <w:tabs>
          <w:tab w:val="left" w:pos="2076"/>
          <w:tab w:val="left" w:pos="4153"/>
          <w:tab w:val="left" w:pos="6229"/>
        </w:tabs>
        <w:spacing w:line="360" w:lineRule="auto"/>
        <w:ind w:firstLine="420" w:firstLineChars="200"/>
        <w:jc w:val="left"/>
        <w:textAlignment w:val="center"/>
      </w:pPr>
      <w:r>
        <w:t>A．①③</w:t>
      </w:r>
      <w:r>
        <w:tab/>
      </w:r>
      <w:r>
        <w:t>B．①④</w:t>
      </w:r>
      <w:r>
        <w:tab/>
      </w:r>
      <w:r>
        <w:t>C．②③</w:t>
      </w:r>
      <w:r>
        <w:tab/>
      </w:r>
      <w:r>
        <w:t>D．②④</w:t>
      </w:r>
    </w:p>
    <w:p>
      <w:pPr>
        <w:spacing w:line="360" w:lineRule="auto"/>
        <w:ind w:firstLine="420" w:firstLineChars="200"/>
        <w:jc w:val="left"/>
        <w:textAlignment w:val="center"/>
        <w:rPr>
          <w:color w:val="FF0000"/>
        </w:rPr>
      </w:pPr>
      <w:r>
        <w:rPr>
          <w:color w:val="FF0000"/>
        </w:rPr>
        <w:t>【答案】A</w:t>
      </w:r>
    </w:p>
    <w:p>
      <w:pPr>
        <w:spacing w:line="360" w:lineRule="auto"/>
        <w:ind w:firstLine="420" w:firstLineChars="200"/>
        <w:jc w:val="left"/>
        <w:textAlignment w:val="center"/>
        <w:rPr>
          <w:color w:val="FF0000"/>
        </w:rPr>
      </w:pPr>
      <w:r>
        <w:rPr>
          <w:color w:val="FF0000"/>
        </w:rPr>
        <w:t>【解析】</w:t>
      </w:r>
    </w:p>
    <w:p>
      <w:pPr>
        <w:spacing w:line="360" w:lineRule="auto"/>
        <w:ind w:firstLine="420" w:firstLineChars="200"/>
        <w:jc w:val="left"/>
        <w:textAlignment w:val="center"/>
        <w:rPr>
          <w:color w:val="FF0000"/>
        </w:rPr>
        <w:sectPr>
          <w:headerReference w:type="default" r:id="rId35"/>
          <w:footerReference w:type="even" r:id="rId36"/>
          <w:footerReference w:type="default" r:id="rId37"/>
          <w:footerReference w:type="first" r:id="rId38"/>
          <w:type w:val="nextPage"/>
          <w:pgSz w:w="11906" w:h="16838"/>
          <w:pgMar w:top="1417" w:right="1077" w:bottom="1417" w:left="1077" w:header="850" w:footer="992" w:gutter="0"/>
          <w:pgNumType w:start="7"/>
          <w:cols w:num="1" w:space="708"/>
          <w:titlePg w:val="0"/>
          <w:docGrid w:type="lines" w:linePitch="318" w:charSpace="409"/>
        </w:sectPr>
      </w:pPr>
      <w:r>
        <w:rPr>
          <w:color w:val="FF0000"/>
        </w:rPr>
        <w:t>①③: 中央一号文件明确要求适当提高稻谷、小麦最低收购价，健全农民种粮收益保障机制。这样可以保护农民种粮积极性，从而稳定粮食产量；中央一号文件还明确要求在黄淮海、西北、西南地区推广玉米大豆带状复合种植，在东北地区开展粮豆轮作，在长江流域开发冬闲田扩种油菜。这样可以优化农作物种植结构，更好满足市场需求，故①③符合题意。</w:t>
      </w:r>
    </w:p>
    <w:p>
      <w:pPr>
        <w:spacing w:line="360" w:lineRule="auto"/>
        <w:ind w:firstLine="420" w:firstLineChars="200"/>
        <w:jc w:val="left"/>
        <w:textAlignment w:val="center"/>
        <w:rPr>
          <w:color w:val="FF0000"/>
        </w:rPr>
      </w:pPr>
      <w:r>
        <w:rPr>
          <w:color w:val="FF0000"/>
        </w:rPr>
        <w:t>②：题干中是“中央一号文件明确要求”，这是在发挥国家宏观调控“有形之手”作用，而不是发挥市场“无形之手”作用，故②排除。</w:t>
      </w:r>
    </w:p>
    <w:p>
      <w:pPr>
        <w:spacing w:line="360" w:lineRule="auto"/>
        <w:ind w:firstLine="420" w:firstLineChars="200"/>
        <w:jc w:val="left"/>
        <w:textAlignment w:val="center"/>
        <w:rPr>
          <w:color w:val="FF0000"/>
        </w:rPr>
      </w:pPr>
      <w:r>
        <w:rPr>
          <w:color w:val="FF0000"/>
        </w:rPr>
        <w:t>④题干中中央一号文件是重点强调要保护农民种粮积极性和优化农作物种植结构，并没有改变我国农作物的种植面积，而且我国粮食早在这次中央一号文件出台之前就能够自给自足，故④错误。</w:t>
      </w:r>
    </w:p>
    <w:p>
      <w:pPr>
        <w:spacing w:line="360" w:lineRule="auto"/>
        <w:ind w:firstLine="420" w:firstLineChars="200"/>
        <w:jc w:val="left"/>
        <w:textAlignment w:val="center"/>
      </w:pPr>
      <w:r>
        <w:rPr>
          <w:rFonts w:hint="eastAsia"/>
        </w:rPr>
        <w:t>6</w:t>
      </w:r>
      <w:r>
        <w:t>．</w:t>
      </w:r>
      <w:r>
        <w:rPr>
          <w:rFonts w:hint="eastAsia"/>
        </w:rPr>
        <w:t>（2022湖南卷）</w:t>
      </w:r>
      <w:r>
        <w:t>避暑民宿的消费量通常会呈现季节性的变化，冬季低而夏季高，这一变化使得其均衡价格和均衡数量之间出现了明显的季节性关系。以P表示价格，Q表示数量，S表示供给，D表示需求，下标w表示冬季，下标s表示夏季。不考虑其他因素，下列图示能正确反映避暑民宿消费季节性变化的是（</w:t>
      </w:r>
      <w:r>
        <w:rPr>
          <w:rFonts w:ascii="'Times New Roman'" w:eastAsia="'Times New Roman'" w:hAnsi="'Times New Roman'" w:cs="'Times New Roman'"/>
        </w:rPr>
        <w:t>     </w:t>
      </w:r>
      <w:r>
        <w:t>）</w:t>
      </w:r>
    </w:p>
    <w:p>
      <w:pPr>
        <w:tabs>
          <w:tab w:val="left" w:pos="4153"/>
        </w:tabs>
        <w:spacing w:line="360" w:lineRule="auto"/>
        <w:ind w:firstLine="420" w:firstLineChars="200"/>
        <w:jc w:val="left"/>
        <w:textAlignment w:val="center"/>
      </w:pPr>
      <w:r>
        <w:t>A．</w:t>
      </w:r>
      <w:r>
        <w:pict>
          <v:shape id="_x0000_i1030" type="#_x0000_t75" style="width:82.5pt;height:67.5pt" coordsize="21600,21600" o:preferrelative="t" filled="f" stroked="f">
            <v:stroke joinstyle="miter"/>
            <v:imagedata r:id="rId39" o:title=""/>
            <o:lock v:ext="edit" aspectratio="t"/>
            <w10:anchorlock/>
          </v:shape>
        </w:pict>
      </w:r>
      <w:r>
        <w:tab/>
      </w:r>
      <w:r>
        <w:t>B．</w:t>
      </w:r>
      <w:r>
        <w:pict>
          <v:shape id="_x0000_i1031" type="#_x0000_t75" style="width:81pt;height:66pt" coordsize="21600,21600" o:preferrelative="t" filled="f" stroked="f">
            <v:stroke joinstyle="miter"/>
            <v:imagedata r:id="rId40" o:title=""/>
            <o:lock v:ext="edit" aspectratio="t"/>
            <w10:anchorlock/>
          </v:shape>
        </w:pict>
      </w:r>
    </w:p>
    <w:p>
      <w:pPr>
        <w:tabs>
          <w:tab w:val="left" w:pos="4153"/>
        </w:tabs>
        <w:spacing w:line="360" w:lineRule="auto"/>
        <w:ind w:firstLine="420" w:firstLineChars="200"/>
        <w:jc w:val="left"/>
        <w:textAlignment w:val="center"/>
      </w:pPr>
      <w:r>
        <w:t>C．</w:t>
      </w:r>
      <w:r>
        <w:pict>
          <v:shape id="_x0000_i1032" type="#_x0000_t75" style="width:84.75pt;height:69pt" coordsize="21600,21600" o:preferrelative="t" filled="f" stroked="f">
            <v:stroke joinstyle="miter"/>
            <v:imagedata r:id="rId41" o:title=""/>
            <o:lock v:ext="edit" aspectratio="t"/>
            <w10:anchorlock/>
          </v:shape>
        </w:pict>
      </w:r>
      <w:r>
        <w:tab/>
      </w:r>
      <w:r>
        <w:t>D．</w:t>
      </w:r>
      <w:r>
        <w:pict>
          <v:shape id="_x0000_i1033" type="#_x0000_t75" style="width:82.5pt;height:67.5pt" coordsize="21600,21600" o:preferrelative="t" filled="f" stroked="f">
            <v:stroke joinstyle="miter"/>
            <v:imagedata r:id="rId42" o:title=""/>
            <o:lock v:ext="edit" aspectratio="t"/>
            <w10:anchorlock/>
          </v:shape>
        </w:pict>
      </w:r>
    </w:p>
    <w:p>
      <w:pPr>
        <w:spacing w:line="360" w:lineRule="auto"/>
        <w:ind w:firstLine="420" w:firstLineChars="200"/>
        <w:jc w:val="left"/>
        <w:textAlignment w:val="center"/>
        <w:rPr>
          <w:color w:val="FF0000"/>
        </w:rPr>
      </w:pPr>
      <w:r>
        <w:rPr>
          <w:color w:val="FF0000"/>
        </w:rPr>
        <w:t>【答案】C</w:t>
      </w:r>
    </w:p>
    <w:p>
      <w:pPr>
        <w:spacing w:line="360" w:lineRule="auto"/>
        <w:ind w:firstLine="420" w:firstLineChars="200"/>
        <w:jc w:val="left"/>
        <w:textAlignment w:val="center"/>
        <w:rPr>
          <w:color w:val="FF0000"/>
        </w:rPr>
      </w:pPr>
      <w:r>
        <w:rPr>
          <w:color w:val="FF0000"/>
        </w:rPr>
        <w:t>【详解】</w:t>
      </w:r>
    </w:p>
    <w:p>
      <w:pPr>
        <w:spacing w:line="360" w:lineRule="auto"/>
        <w:ind w:firstLine="420" w:firstLineChars="200"/>
        <w:jc w:val="left"/>
        <w:textAlignment w:val="center"/>
        <w:rPr>
          <w:color w:val="FF0000"/>
        </w:rPr>
      </w:pPr>
      <w:r>
        <w:rPr>
          <w:color w:val="FF0000"/>
        </w:rPr>
        <w:t>避暑民宿的消费量通常会呈现季节性的变化，冬季低而夏季高，也即是夏季的需求高于冬季的需求，但避暑民宿的供给是不变的，由此夏季的价格高于冬季的价格。</w:t>
      </w:r>
    </w:p>
    <w:p>
      <w:pPr>
        <w:spacing w:line="360" w:lineRule="auto"/>
        <w:ind w:firstLine="420" w:firstLineChars="200"/>
        <w:jc w:val="left"/>
        <w:textAlignment w:val="center"/>
        <w:rPr>
          <w:color w:val="FF0000"/>
        </w:rPr>
      </w:pPr>
      <w:r>
        <w:rPr>
          <w:color w:val="FF0000"/>
        </w:rPr>
        <w:t>A：题肢表示供给不变，夏季的需求小于冬季的需求，夏季价格低于冬季价格。故A不符合题意。</w:t>
      </w:r>
    </w:p>
    <w:p>
      <w:pPr>
        <w:spacing w:line="360" w:lineRule="auto"/>
        <w:ind w:firstLine="420" w:firstLineChars="200"/>
        <w:jc w:val="left"/>
        <w:textAlignment w:val="center"/>
        <w:rPr>
          <w:color w:val="FF0000"/>
        </w:rPr>
      </w:pPr>
      <w:r>
        <w:rPr>
          <w:color w:val="FF0000"/>
        </w:rPr>
        <w:t>B：题肢表示需求不变，夏季供给小于冬季供给，夏季价格高于冬季价格。故B排除。</w:t>
      </w:r>
    </w:p>
    <w:p>
      <w:pPr>
        <w:spacing w:line="360" w:lineRule="auto"/>
        <w:ind w:firstLine="420" w:firstLineChars="200"/>
        <w:jc w:val="left"/>
        <w:textAlignment w:val="center"/>
        <w:rPr>
          <w:color w:val="FF0000"/>
        </w:rPr>
      </w:pPr>
      <w:r>
        <w:rPr>
          <w:color w:val="FF0000"/>
        </w:rPr>
        <w:t>C：题肢表示供给不变，冬季需求小于夏季需求，夏季的价格高于冬季的价格。故C符合题意。</w:t>
      </w:r>
    </w:p>
    <w:p>
      <w:pPr>
        <w:spacing w:line="360" w:lineRule="auto"/>
        <w:ind w:firstLine="420" w:firstLineChars="200"/>
        <w:jc w:val="left"/>
        <w:textAlignment w:val="center"/>
        <w:rPr>
          <w:color w:val="FF0000"/>
        </w:rPr>
      </w:pPr>
      <w:r>
        <w:rPr>
          <w:color w:val="FF0000"/>
        </w:rPr>
        <w:t>D：题肢表示需求不变，冬季供给小于夏季供给，冬季价格高于夏季价格。故D排除。</w:t>
      </w:r>
    </w:p>
    <w:p>
      <w:pPr>
        <w:spacing w:line="360" w:lineRule="auto"/>
        <w:ind w:firstLine="420" w:firstLineChars="200"/>
        <w:jc w:val="left"/>
        <w:textAlignment w:val="center"/>
      </w:pPr>
      <w:r>
        <w:rPr>
          <w:color w:val="FF0000"/>
        </w:rPr>
        <w:t>故本题选C。</w:t>
      </w:r>
    </w:p>
    <w:p>
      <w:pPr>
        <w:spacing w:line="360" w:lineRule="auto"/>
        <w:ind w:firstLine="420" w:firstLineChars="200"/>
        <w:jc w:val="left"/>
        <w:textAlignment w:val="center"/>
        <w:rPr>
          <w:rFonts w:ascii="楷体" w:eastAsia="楷体" w:hAnsi="楷体" w:cs="楷体"/>
        </w:rPr>
        <w:sectPr>
          <w:headerReference w:type="default" r:id="rId43"/>
          <w:footerReference w:type="even" r:id="rId44"/>
          <w:footerReference w:type="default" r:id="rId45"/>
          <w:footerReference w:type="first" r:id="rId46"/>
          <w:type w:val="nextPage"/>
          <w:pgSz w:w="11906" w:h="16838"/>
          <w:pgMar w:top="1417" w:right="1077" w:bottom="1417" w:left="1077" w:header="850" w:footer="992" w:gutter="0"/>
          <w:pgNumType w:start="8"/>
          <w:cols w:num="1" w:space="708"/>
          <w:titlePg w:val="0"/>
          <w:docGrid w:type="lines" w:linePitch="318" w:charSpace="409"/>
        </w:sectPr>
      </w:pPr>
      <w:r>
        <w:rPr>
          <w:rFonts w:hint="eastAsia"/>
        </w:rPr>
        <w:t>7</w:t>
      </w:r>
      <w:r>
        <w:t>．</w:t>
      </w:r>
      <w:r>
        <w:rPr>
          <w:rFonts w:hint="eastAsia"/>
        </w:rPr>
        <w:t>（2022浙江卷）</w:t>
      </w:r>
    </w:p>
    <w:p>
      <w:pPr>
        <w:spacing w:line="360" w:lineRule="auto"/>
        <w:ind w:firstLine="420" w:firstLineChars="200"/>
        <w:jc w:val="left"/>
        <w:textAlignment w:val="center"/>
        <w:rPr>
          <w:rFonts w:ascii="楷体" w:eastAsia="楷体" w:hAnsi="楷体" w:cs="楷体"/>
        </w:rPr>
      </w:pPr>
      <w:r>
        <w:rPr>
          <w:rFonts w:ascii="楷体" w:eastAsia="楷体" w:hAnsi="楷体" w:cs="楷体"/>
        </w:rPr>
        <w:t>近年来，全国统一大市场建设工作取得重要进展，但实践中仍然存在市场分割、地方保护和市场监管规则不统一等问题。2022年4月，《中共中央国务院关于加快建设全国统一大市场的意见》发布，提出了立破并举的措施。从立的角度，明确要抓好“五统一”，即强化市场基础制度规则统一、推进市场设施高标准联通、打造统一的要素和资源市场、推进商品和服务市场高水平统一、推进市场监管公平统一。从破的角度，明确要进一步规范不当市场竞争和市场干预行为，打破各种显性、隐性壁垒。</w:t>
      </w:r>
    </w:p>
    <w:p>
      <w:pPr>
        <w:spacing w:line="360" w:lineRule="auto"/>
        <w:ind w:firstLine="420" w:firstLineChars="200"/>
        <w:jc w:val="left"/>
        <w:textAlignment w:val="center"/>
      </w:pPr>
      <w:r>
        <w:t>结合材料，回答下列问题：</w:t>
      </w:r>
    </w:p>
    <w:p>
      <w:pPr>
        <w:spacing w:line="360" w:lineRule="auto"/>
        <w:ind w:firstLine="420" w:firstLineChars="200"/>
        <w:jc w:val="left"/>
        <w:textAlignment w:val="center"/>
      </w:pPr>
      <w:r>
        <w:t>(1)运用《经济生活》中“生产与消费”“市场秩序”的有关知识，说明《意见》提出的立破举措的合理性。</w:t>
      </w:r>
    </w:p>
    <w:p>
      <w:pPr>
        <w:spacing w:line="360" w:lineRule="auto"/>
        <w:ind w:firstLine="420" w:firstLineChars="200"/>
        <w:jc w:val="left"/>
        <w:textAlignment w:val="center"/>
      </w:pPr>
      <w:r>
        <w:t>(2)运用《生活与哲学》中对立统一的有关知识，说明建立统一大市场要坚持立破并举的理由。</w:t>
      </w:r>
    </w:p>
    <w:p>
      <w:pPr>
        <w:spacing w:line="360" w:lineRule="auto"/>
        <w:ind w:firstLine="420" w:firstLineChars="200"/>
        <w:jc w:val="left"/>
        <w:textAlignment w:val="center"/>
        <w:rPr>
          <w:color w:val="FF0000"/>
        </w:rPr>
      </w:pPr>
      <w:r>
        <w:rPr>
          <w:color w:val="FF0000"/>
        </w:rPr>
        <w:t>【答案】(1)交换是连接生产和消费的桥梁和纽带。《意见》抓好“五统一”，有助于扩大交换范围和提高交换效率，进而促进生产和消费。公平、公正的市场秩序，统一开放、竞争有序的现代市场体系，是使市场在资源配置中起决定性作用的基础。良好的市场秩序依赖公平开放透明的市场规则来维护。《意见》立破并举，统一规则、打破壁垒，有助于形成良好的营商环境和竞争秩序，有利于企业公平竞争，实现资源的合理配置，促进我国经济高质量发展。</w:t>
      </w:r>
    </w:p>
    <w:p>
      <w:pPr>
        <w:spacing w:line="360" w:lineRule="auto"/>
        <w:ind w:firstLine="420" w:firstLineChars="200"/>
        <w:jc w:val="left"/>
        <w:textAlignment w:val="center"/>
        <w:rPr>
          <w:color w:val="FF0000"/>
        </w:rPr>
      </w:pPr>
      <w:r>
        <w:rPr>
          <w:color w:val="FF0000"/>
        </w:rPr>
        <w:t>(2)矛盾双方既相互排斥、相互对立，又相互依赖、相互渗透在一定条件下相互转化，由此推动事物的变化发展。在我国经济发展过程中，市场统一和市场分割是对立统一的关系。基于矛盾固有的两个基本属性，《意见》坚持立破并举，破壁垒抓统一，旨在创造条件推动市场分割向市场统一的转化，由此推动我国经济发展。</w:t>
      </w:r>
    </w:p>
    <w:p>
      <w:pPr>
        <w:spacing w:line="360" w:lineRule="auto"/>
        <w:ind w:firstLine="420" w:firstLineChars="200"/>
        <w:jc w:val="left"/>
        <w:textAlignment w:val="center"/>
        <w:rPr>
          <w:color w:val="FF0000"/>
        </w:rPr>
      </w:pPr>
      <w:r>
        <w:rPr>
          <w:color w:val="FF0000"/>
        </w:rPr>
        <w:t>【解析】</w:t>
      </w:r>
    </w:p>
    <w:p>
      <w:pPr>
        <w:spacing w:line="360" w:lineRule="auto"/>
        <w:ind w:firstLine="420" w:firstLineChars="200"/>
        <w:jc w:val="left"/>
        <w:textAlignment w:val="center"/>
        <w:rPr>
          <w:color w:val="FF0000"/>
        </w:rPr>
      </w:pPr>
      <w:r>
        <w:rPr>
          <w:color w:val="FF0000"/>
        </w:rPr>
        <w:t>背景素材：立破并举，加快建设全国统一大市场</w:t>
      </w:r>
    </w:p>
    <w:p>
      <w:pPr>
        <w:spacing w:line="360" w:lineRule="auto"/>
        <w:ind w:firstLine="420" w:firstLineChars="200"/>
        <w:jc w:val="left"/>
        <w:textAlignment w:val="center"/>
        <w:rPr>
          <w:color w:val="FF0000"/>
        </w:rPr>
      </w:pPr>
      <w:r>
        <w:rPr>
          <w:color w:val="FF0000"/>
        </w:rPr>
        <w:t>考点考查：生产与消费、市场秩序、对立统一</w:t>
      </w:r>
    </w:p>
    <w:p>
      <w:pPr>
        <w:spacing w:line="360" w:lineRule="auto"/>
        <w:ind w:firstLine="420" w:firstLineChars="200"/>
        <w:jc w:val="left"/>
        <w:textAlignment w:val="center"/>
        <w:rPr>
          <w:color w:val="FF0000"/>
        </w:rPr>
      </w:pPr>
      <w:r>
        <w:rPr>
          <w:color w:val="FF0000"/>
        </w:rPr>
        <w:t xml:space="preserve"> 能力考查：获取和解读信息、调度和运用知识、描述和阐释事物</w:t>
      </w:r>
    </w:p>
    <w:p>
      <w:pPr>
        <w:spacing w:line="360" w:lineRule="auto"/>
        <w:ind w:firstLine="420" w:firstLineChars="200"/>
        <w:jc w:val="left"/>
        <w:textAlignment w:val="center"/>
        <w:rPr>
          <w:color w:val="FF0000"/>
        </w:rPr>
      </w:pPr>
      <w:r>
        <w:rPr>
          <w:color w:val="FF0000"/>
        </w:rPr>
        <w:t xml:space="preserve"> 核心素养：科学精神</w:t>
      </w:r>
    </w:p>
    <w:p>
      <w:pPr>
        <w:spacing w:line="360" w:lineRule="auto"/>
        <w:ind w:firstLine="420" w:firstLineChars="200"/>
        <w:jc w:val="left"/>
        <w:textAlignment w:val="center"/>
        <w:rPr>
          <w:color w:val="FF0000"/>
        </w:rPr>
      </w:pPr>
      <w:r>
        <w:rPr>
          <w:color w:val="FF0000"/>
        </w:rPr>
        <w:t>(1)</w:t>
      </w:r>
    </w:p>
    <w:p>
      <w:pPr>
        <w:spacing w:line="360" w:lineRule="auto"/>
        <w:ind w:firstLine="420" w:firstLineChars="200"/>
        <w:jc w:val="left"/>
        <w:textAlignment w:val="center"/>
        <w:rPr>
          <w:color w:val="FF0000"/>
        </w:rPr>
      </w:pPr>
      <w:r>
        <w:rPr>
          <w:color w:val="FF0000"/>
        </w:rPr>
        <w:t>第一步：审设问。（明确主体、作答范围、问题限定和作答角度。）</w:t>
      </w:r>
    </w:p>
    <w:p>
      <w:pPr>
        <w:spacing w:line="360" w:lineRule="auto"/>
        <w:ind w:firstLine="420" w:firstLineChars="200"/>
        <w:jc w:val="left"/>
        <w:textAlignment w:val="center"/>
        <w:rPr>
          <w:color w:val="FF0000"/>
        </w:rPr>
        <w:sectPr>
          <w:headerReference w:type="default" r:id="rId47"/>
          <w:footerReference w:type="even" r:id="rId48"/>
          <w:footerReference w:type="default" r:id="rId49"/>
          <w:footerReference w:type="first" r:id="rId50"/>
          <w:type w:val="nextPage"/>
          <w:pgSz w:w="11906" w:h="16838"/>
          <w:pgMar w:top="1417" w:right="1077" w:bottom="1417" w:left="1077" w:header="850" w:footer="992" w:gutter="0"/>
          <w:pgNumType w:start="9"/>
          <w:cols w:num="1" w:space="708"/>
          <w:titlePg w:val="0"/>
          <w:docGrid w:type="lines" w:linePitch="318" w:charSpace="409"/>
        </w:sectPr>
      </w:pPr>
      <w:r>
        <w:rPr>
          <w:color w:val="FF0000"/>
        </w:rPr>
        <w:t>本题需要运用《经济生活》中“生产与消费”“市场秩序”的有关知识，说明《意见》提出的立破举措的合理性。回答此类问题一般按照“必要性+重要性+意义”作答。</w:t>
      </w:r>
    </w:p>
    <w:p>
      <w:pPr>
        <w:spacing w:line="360" w:lineRule="auto"/>
        <w:ind w:firstLine="420" w:firstLineChars="200"/>
        <w:jc w:val="left"/>
        <w:textAlignment w:val="center"/>
        <w:rPr>
          <w:color w:val="FF0000"/>
        </w:rPr>
      </w:pPr>
      <w:r>
        <w:rPr>
          <w:color w:val="FF0000"/>
        </w:rPr>
        <w:t>第二步：审材料。（通过标点符号、段落等，提取材料有效信息。）</w:t>
      </w:r>
    </w:p>
    <w:p>
      <w:pPr>
        <w:spacing w:line="360" w:lineRule="auto"/>
        <w:ind w:firstLine="420" w:firstLineChars="200"/>
        <w:jc w:val="left"/>
        <w:textAlignment w:val="center"/>
        <w:rPr>
          <w:color w:val="FF0000"/>
        </w:rPr>
      </w:pPr>
      <w:r>
        <w:rPr>
          <w:color w:val="FF0000"/>
        </w:rPr>
        <w:t>有效信息①：“五统一”。→可联系交换是连接生产和消费的桥梁和纽带。</w:t>
      </w:r>
    </w:p>
    <w:p>
      <w:pPr>
        <w:spacing w:line="360" w:lineRule="auto"/>
        <w:ind w:firstLine="420" w:firstLineChars="200"/>
        <w:jc w:val="left"/>
        <w:textAlignment w:val="center"/>
        <w:rPr>
          <w:color w:val="FF0000"/>
        </w:rPr>
      </w:pPr>
      <w:r>
        <w:rPr>
          <w:color w:val="FF0000"/>
        </w:rPr>
        <w:t>有效信息②：立破并举的措施。→可联系公平、公正的市场秩序，统一开放、竞争有序的现代市场体系重要性。</w:t>
      </w:r>
    </w:p>
    <w:p>
      <w:pPr>
        <w:spacing w:line="360" w:lineRule="auto"/>
        <w:ind w:firstLine="420" w:firstLineChars="200"/>
        <w:jc w:val="left"/>
        <w:textAlignment w:val="center"/>
        <w:rPr>
          <w:color w:val="FF0000"/>
        </w:rPr>
      </w:pPr>
      <w:r>
        <w:rPr>
          <w:color w:val="FF0000"/>
        </w:rPr>
        <w:t>有效信息③：立破并举的目的。→可得出良好的市场秩序依赖公平开放透明的市场规则来维护及其意义。</w:t>
      </w:r>
    </w:p>
    <w:p>
      <w:pPr>
        <w:spacing w:line="360" w:lineRule="auto"/>
        <w:ind w:firstLine="420" w:firstLineChars="200"/>
        <w:jc w:val="left"/>
        <w:textAlignment w:val="center"/>
        <w:rPr>
          <w:color w:val="FF0000"/>
        </w:rPr>
      </w:pPr>
      <w:r>
        <w:rPr>
          <w:color w:val="FF0000"/>
        </w:rPr>
        <w:t>第三步：整合信息，组织答案。</w:t>
      </w:r>
    </w:p>
    <w:p>
      <w:pPr>
        <w:spacing w:line="360" w:lineRule="auto"/>
        <w:ind w:firstLine="420" w:firstLineChars="200"/>
        <w:jc w:val="left"/>
        <w:textAlignment w:val="center"/>
        <w:rPr>
          <w:color w:val="FF0000"/>
        </w:rPr>
      </w:pPr>
      <w:r>
        <w:rPr>
          <w:color w:val="FF0000"/>
        </w:rPr>
        <w:t>得分点①： 交换是连接生产和消费的桥梁和纽带+分析材料。</w:t>
      </w:r>
    </w:p>
    <w:p>
      <w:pPr>
        <w:spacing w:line="360" w:lineRule="auto"/>
        <w:ind w:firstLine="420" w:firstLineChars="200"/>
        <w:jc w:val="left"/>
        <w:textAlignment w:val="center"/>
        <w:rPr>
          <w:color w:val="FF0000"/>
        </w:rPr>
      </w:pPr>
      <w:r>
        <w:rPr>
          <w:color w:val="FF0000"/>
        </w:rPr>
        <w:t>得分点②： 公平、公正的市场秩序，统一开放、竞争有序的现代市场体系，是使市场在资源配置中起决定性作用的基础+分析材料。</w:t>
      </w:r>
    </w:p>
    <w:p>
      <w:pPr>
        <w:spacing w:line="360" w:lineRule="auto"/>
        <w:ind w:firstLine="420" w:firstLineChars="200"/>
        <w:jc w:val="left"/>
        <w:textAlignment w:val="center"/>
        <w:rPr>
          <w:color w:val="FF0000"/>
        </w:rPr>
      </w:pPr>
      <w:r>
        <w:rPr>
          <w:color w:val="FF0000"/>
        </w:rPr>
        <w:t>得分点③： 良好的市场秩序依赖公平开放透明的市场规则来维护+分析材料。</w:t>
      </w:r>
    </w:p>
    <w:p>
      <w:pPr>
        <w:spacing w:line="360" w:lineRule="auto"/>
        <w:ind w:firstLine="420" w:firstLineChars="200"/>
        <w:jc w:val="left"/>
        <w:textAlignment w:val="center"/>
        <w:rPr>
          <w:color w:val="FF0000"/>
        </w:rPr>
      </w:pPr>
      <w:r>
        <w:rPr>
          <w:color w:val="FF0000"/>
        </w:rPr>
        <w:t>(2)</w:t>
      </w:r>
    </w:p>
    <w:p>
      <w:pPr>
        <w:spacing w:line="360" w:lineRule="auto"/>
        <w:ind w:firstLine="420" w:firstLineChars="200"/>
        <w:jc w:val="left"/>
        <w:textAlignment w:val="center"/>
        <w:rPr>
          <w:color w:val="FF0000"/>
        </w:rPr>
      </w:pPr>
      <w:r>
        <w:rPr>
          <w:color w:val="FF0000"/>
        </w:rPr>
        <w:t>第一步：审设问。（明确主体、作答范围、问题限定和作答角度。）</w:t>
      </w:r>
    </w:p>
    <w:p>
      <w:pPr>
        <w:spacing w:line="360" w:lineRule="auto"/>
        <w:ind w:firstLine="420" w:firstLineChars="200"/>
        <w:jc w:val="left"/>
        <w:textAlignment w:val="center"/>
        <w:rPr>
          <w:color w:val="FF0000"/>
        </w:rPr>
      </w:pPr>
      <w:r>
        <w:rPr>
          <w:color w:val="FF0000"/>
        </w:rPr>
        <w:t>本题需要调用运用《生活与哲学》中对立统一的有关知识，说明建立统一大市场要坚持立破并举的理由。</w:t>
      </w:r>
    </w:p>
    <w:p>
      <w:pPr>
        <w:spacing w:line="360" w:lineRule="auto"/>
        <w:ind w:firstLine="420" w:firstLineChars="200"/>
        <w:jc w:val="left"/>
        <w:textAlignment w:val="center"/>
        <w:rPr>
          <w:color w:val="FF0000"/>
        </w:rPr>
      </w:pPr>
      <w:r>
        <w:rPr>
          <w:color w:val="FF0000"/>
        </w:rPr>
        <w:t>回答此类问题一般按照“必要性+重要性+意义”作答。</w:t>
      </w:r>
    </w:p>
    <w:p>
      <w:pPr>
        <w:spacing w:line="360" w:lineRule="auto"/>
        <w:ind w:firstLine="420" w:firstLineChars="200"/>
        <w:jc w:val="left"/>
        <w:textAlignment w:val="center"/>
        <w:rPr>
          <w:color w:val="FF0000"/>
        </w:rPr>
      </w:pPr>
      <w:r>
        <w:rPr>
          <w:color w:val="FF0000"/>
        </w:rPr>
        <w:t>第二步：审材料。（通过标点符号、段落等，提取材料有效信息。）</w:t>
      </w:r>
    </w:p>
    <w:p>
      <w:pPr>
        <w:spacing w:line="360" w:lineRule="auto"/>
        <w:ind w:firstLine="420" w:firstLineChars="200"/>
        <w:jc w:val="left"/>
        <w:textAlignment w:val="center"/>
        <w:rPr>
          <w:color w:val="FF0000"/>
        </w:rPr>
      </w:pPr>
      <w:r>
        <w:rPr>
          <w:color w:val="FF0000"/>
        </w:rPr>
        <w:t>有效信息①：市场统一和市场分割是对立统一的关系。→可联系矛盾双方既相互排斥、相互对立，又相互依赖、相互渗透。</w:t>
      </w:r>
    </w:p>
    <w:p>
      <w:pPr>
        <w:spacing w:line="360" w:lineRule="auto"/>
        <w:ind w:firstLine="420" w:firstLineChars="200"/>
        <w:jc w:val="left"/>
        <w:textAlignment w:val="center"/>
        <w:rPr>
          <w:color w:val="FF0000"/>
        </w:rPr>
      </w:pPr>
      <w:r>
        <w:rPr>
          <w:color w:val="FF0000"/>
        </w:rPr>
        <w:t>有效信息②：《意见》坚持立破并举，破壁垒抓统一。→可联系矛盾双方在一定条件下相互转化，由此推动事物的变化发展。</w:t>
      </w:r>
    </w:p>
    <w:p>
      <w:pPr>
        <w:spacing w:line="360" w:lineRule="auto"/>
        <w:ind w:firstLine="420" w:firstLineChars="200"/>
        <w:jc w:val="left"/>
        <w:textAlignment w:val="center"/>
        <w:rPr>
          <w:color w:val="FF0000"/>
        </w:rPr>
      </w:pPr>
      <w:r>
        <w:rPr>
          <w:color w:val="FF0000"/>
        </w:rPr>
        <w:t>第三步：整合信息，组织答案。</w:t>
      </w:r>
    </w:p>
    <w:p>
      <w:pPr>
        <w:spacing w:line="360" w:lineRule="auto"/>
        <w:ind w:firstLine="420" w:firstLineChars="200"/>
        <w:jc w:val="left"/>
        <w:textAlignment w:val="center"/>
        <w:rPr>
          <w:color w:val="FF0000"/>
        </w:rPr>
        <w:sectPr>
          <w:headerReference w:type="default" r:id="rId51"/>
          <w:footerReference w:type="even" r:id="rId52"/>
          <w:footerReference w:type="default" r:id="rId53"/>
          <w:footerReference w:type="first" r:id="rId54"/>
          <w:type w:val="nextPage"/>
          <w:pgSz w:w="11906" w:h="16838"/>
          <w:pgMar w:top="1417" w:right="1077" w:bottom="1417" w:left="1077" w:header="850" w:footer="992" w:gutter="0"/>
          <w:pgNumType w:start="10"/>
          <w:cols w:num="1" w:space="708"/>
          <w:titlePg w:val="0"/>
          <w:docGrid w:type="lines" w:linePitch="318" w:charSpace="409"/>
        </w:sectPr>
      </w:pPr>
      <w:r>
        <w:rPr>
          <w:color w:val="FF0000"/>
        </w:rPr>
        <w:t>得分点①： 矛盾双方既相互排斥、相互对立，又相互依赖、相互渗透+分析材料。</w:t>
      </w:r>
    </w:p>
    <w:p>
      <w:pPr>
        <w:spacing w:line="360" w:lineRule="auto"/>
        <w:ind w:firstLine="420" w:firstLineChars="200"/>
        <w:jc w:val="left"/>
        <w:textAlignment w:val="center"/>
        <w:rPr>
          <w:color w:val="FF0000"/>
        </w:rPr>
      </w:pPr>
      <w:r>
        <w:rPr>
          <w:color w:val="FF0000"/>
        </w:rPr>
        <w:t>得分点②：矛盾双方在一定条件下相互转化，由此推动事物的变化发展+分析材料。</w:t>
      </w:r>
    </w:p>
    <w:p>
      <w:pPr>
        <w:spacing w:line="360" w:lineRule="auto"/>
        <w:ind w:firstLine="420" w:firstLineChars="200"/>
        <w:jc w:val="left"/>
        <w:textAlignment w:val="center"/>
      </w:pPr>
      <w:r>
        <w:rPr>
          <w:rFonts w:hint="eastAsia"/>
        </w:rPr>
        <w:t>8</w:t>
      </w:r>
      <w:r>
        <w:t>．</w:t>
      </w:r>
      <w:r>
        <w:rPr>
          <w:rFonts w:hint="eastAsia"/>
        </w:rPr>
        <w:t>（2022湖南卷）</w:t>
      </w:r>
      <w:r>
        <w:t>阅读材料，完成下列要求</w:t>
      </w:r>
    </w:p>
    <w:p>
      <w:pPr>
        <w:spacing w:line="360" w:lineRule="auto"/>
        <w:ind w:firstLine="420" w:firstLineChars="200"/>
        <w:jc w:val="left"/>
        <w:textAlignment w:val="center"/>
        <w:rPr>
          <w:rFonts w:ascii="楷体" w:eastAsia="楷体" w:hAnsi="楷体" w:cs="楷体"/>
        </w:rPr>
      </w:pPr>
      <w:r>
        <w:rPr>
          <w:rFonts w:ascii="楷体" w:eastAsia="楷体" w:hAnsi="楷体" w:cs="楷体"/>
        </w:rPr>
        <w:t>消费是最终需求，是畅通国内大循环的关键环节和重要引擎，对经济具有持久拉动力，事关保障和改善民生。</w:t>
      </w:r>
    </w:p>
    <w:p>
      <w:pPr>
        <w:spacing w:line="360" w:lineRule="auto"/>
        <w:ind w:firstLine="420" w:firstLineChars="200"/>
        <w:jc w:val="left"/>
        <w:textAlignment w:val="center"/>
      </w:pPr>
      <w:r>
        <w:t>材料一</w:t>
      </w:r>
    </w:p>
    <w:p>
      <w:pPr>
        <w:spacing w:line="360" w:lineRule="auto"/>
        <w:ind w:firstLine="420" w:firstLineChars="200"/>
        <w:jc w:val="left"/>
        <w:textAlignment w:val="center"/>
      </w:pPr>
      <w:r>
        <w:pict>
          <v:shape id="_x0000_i1034" type="#_x0000_t75" style="width:318.75pt;height:174.75pt" coordsize="21600,21600" o:preferrelative="t" filled="f" stroked="f">
            <v:stroke joinstyle="miter"/>
            <v:imagedata r:id="rId55" o:title=""/>
            <o:lock v:ext="edit" aspectratio="t"/>
            <w10:anchorlock/>
          </v:shape>
        </w:pict>
      </w:r>
    </w:p>
    <w:p>
      <w:pPr>
        <w:spacing w:line="360" w:lineRule="auto"/>
        <w:ind w:firstLine="420" w:firstLineChars="200"/>
        <w:jc w:val="left"/>
        <w:textAlignment w:val="center"/>
        <w:rPr>
          <w:rFonts w:ascii="楷体" w:eastAsia="楷体" w:hAnsi="楷体" w:cs="楷体"/>
        </w:rPr>
      </w:pPr>
      <w:r>
        <w:rPr>
          <w:rFonts w:ascii="楷体" w:eastAsia="楷体" w:hAnsi="楷体" w:cs="楷体"/>
        </w:rPr>
        <w:t>2001—2020年的中国居民消费率</w:t>
      </w:r>
    </w:p>
    <w:p>
      <w:pPr>
        <w:spacing w:line="360" w:lineRule="auto"/>
        <w:ind w:firstLine="420" w:firstLineChars="200"/>
        <w:jc w:val="left"/>
        <w:textAlignment w:val="center"/>
        <w:rPr>
          <w:rFonts w:ascii="楷体" w:eastAsia="楷体" w:hAnsi="楷体" w:cs="楷体"/>
        </w:rPr>
      </w:pPr>
      <w:r>
        <w:rPr>
          <w:rFonts w:ascii="楷体" w:eastAsia="楷体" w:hAnsi="楷体" w:cs="楷体"/>
        </w:rPr>
        <w:t>（说明：根据《中国统计年鉴2021》相关数据计算得到）</w:t>
      </w:r>
    </w:p>
    <w:tbl>
      <w:tblPr>
        <w:tblStyle w:val="TableNormal"/>
        <w:tblW w:w="75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915"/>
        <w:gridCol w:w="2895"/>
        <w:gridCol w:w="3690"/>
      </w:tblGrid>
      <w:tr>
        <w:tblPrEx>
          <w:tblW w:w="75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pPr>
            <w:r>
              <w:t>国家</w:t>
            </w:r>
          </w:p>
        </w:tc>
        <w:tc>
          <w:tcPr>
            <w:tcW w:w="28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ind w:firstLine="420" w:firstLineChars="200"/>
              <w:jc w:val="left"/>
            </w:pPr>
            <w:r>
              <w:t>人均GDP在3000—10000美元所在的年份</w:t>
            </w:r>
          </w:p>
        </w:tc>
        <w:tc>
          <w:tcPr>
            <w:tcW w:w="3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ind w:firstLine="420" w:firstLineChars="200"/>
              <w:jc w:val="left"/>
            </w:pPr>
            <w:r>
              <w:t>居民消费率（%）</w:t>
            </w:r>
          </w:p>
        </w:tc>
      </w:tr>
      <w:tr>
        <w:tblPrEx>
          <w:tblW w:w="7500" w:type="dxa"/>
          <w:tblInd w:w="0" w:type="dxa"/>
          <w:tblCellMar>
            <w:top w:w="120" w:type="dxa"/>
            <w:left w:w="120" w:type="dxa"/>
            <w:bottom w:w="120" w:type="dxa"/>
            <w:right w:w="120" w:type="dxa"/>
          </w:tblCellMar>
        </w:tblPrEx>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pPr>
            <w:r>
              <w:t>中国</w:t>
            </w:r>
          </w:p>
        </w:tc>
        <w:tc>
          <w:tcPr>
            <w:tcW w:w="28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ind w:firstLine="420" w:firstLineChars="200"/>
              <w:jc w:val="left"/>
            </w:pPr>
            <w:r>
              <w:t>2008—</w:t>
            </w:r>
          </w:p>
        </w:tc>
        <w:tc>
          <w:tcPr>
            <w:tcW w:w="3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ind w:firstLine="420" w:firstLineChars="200"/>
              <w:jc w:val="left"/>
            </w:pPr>
            <w:r>
              <w:t>35.44—39.65</w:t>
            </w:r>
          </w:p>
        </w:tc>
      </w:tr>
      <w:tr>
        <w:tblPrEx>
          <w:tblW w:w="7500" w:type="dxa"/>
          <w:tblInd w:w="0" w:type="dxa"/>
          <w:tblCellMar>
            <w:top w:w="120" w:type="dxa"/>
            <w:left w:w="120" w:type="dxa"/>
            <w:bottom w:w="120" w:type="dxa"/>
            <w:right w:w="120" w:type="dxa"/>
          </w:tblCellMar>
        </w:tblPrEx>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pPr>
            <w:r>
              <w:t>韩国</w:t>
            </w:r>
          </w:p>
        </w:tc>
        <w:tc>
          <w:tcPr>
            <w:tcW w:w="28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ind w:firstLine="420" w:firstLineChars="200"/>
              <w:jc w:val="left"/>
            </w:pPr>
            <w:r>
              <w:t>1997—</w:t>
            </w:r>
          </w:p>
        </w:tc>
        <w:tc>
          <w:tcPr>
            <w:tcW w:w="3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ind w:firstLine="420" w:firstLineChars="200"/>
              <w:jc w:val="left"/>
            </w:pPr>
            <w:r>
              <w:t>48.27—50.44</w:t>
            </w:r>
          </w:p>
        </w:tc>
      </w:tr>
      <w:tr>
        <w:tblPrEx>
          <w:tblW w:w="7500" w:type="dxa"/>
          <w:tblInd w:w="0" w:type="dxa"/>
          <w:tblCellMar>
            <w:top w:w="120" w:type="dxa"/>
            <w:left w:w="120" w:type="dxa"/>
            <w:bottom w:w="120" w:type="dxa"/>
            <w:right w:w="120" w:type="dxa"/>
          </w:tblCellMar>
        </w:tblPrEx>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pPr>
            <w:r>
              <w:t>日本</w:t>
            </w:r>
          </w:p>
        </w:tc>
        <w:tc>
          <w:tcPr>
            <w:tcW w:w="28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ind w:firstLine="420" w:firstLineChars="200"/>
              <w:jc w:val="left"/>
            </w:pPr>
            <w:r>
              <w:t>1973—</w:t>
            </w:r>
          </w:p>
        </w:tc>
        <w:tc>
          <w:tcPr>
            <w:tcW w:w="3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ind w:firstLine="420" w:firstLineChars="200"/>
              <w:jc w:val="left"/>
            </w:pPr>
            <w:r>
              <w:t>61.18—67.02</w:t>
            </w:r>
          </w:p>
        </w:tc>
      </w:tr>
      <w:tr>
        <w:tblPrEx>
          <w:tblW w:w="7500" w:type="dxa"/>
          <w:tblInd w:w="0" w:type="dxa"/>
          <w:tblCellMar>
            <w:top w:w="120" w:type="dxa"/>
            <w:left w:w="120" w:type="dxa"/>
            <w:bottom w:w="120" w:type="dxa"/>
            <w:right w:w="120" w:type="dxa"/>
          </w:tblCellMar>
        </w:tblPrEx>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pPr>
            <w:r>
              <w:t>美国</w:t>
            </w:r>
          </w:p>
        </w:tc>
        <w:tc>
          <w:tcPr>
            <w:tcW w:w="28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ind w:firstLine="420" w:firstLineChars="200"/>
              <w:jc w:val="left"/>
            </w:pPr>
            <w:r>
              <w:t>1961—1977</w:t>
            </w:r>
          </w:p>
        </w:tc>
        <w:tc>
          <w:tcPr>
            <w:tcW w:w="3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ind w:firstLine="420" w:firstLineChars="200"/>
              <w:jc w:val="left"/>
            </w:pPr>
            <w:r>
              <w:t>59.61—61.26</w:t>
            </w:r>
          </w:p>
        </w:tc>
      </w:tr>
      <w:tr>
        <w:tblPrEx>
          <w:tblW w:w="7500" w:type="dxa"/>
          <w:tblInd w:w="0" w:type="dxa"/>
          <w:tblCellMar>
            <w:top w:w="120" w:type="dxa"/>
            <w:left w:w="120" w:type="dxa"/>
            <w:bottom w:w="120" w:type="dxa"/>
            <w:right w:w="120" w:type="dxa"/>
          </w:tblCellMar>
        </w:tblPrEx>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pPr>
            <w:r>
              <w:t>英国</w:t>
            </w:r>
          </w:p>
        </w:tc>
        <w:tc>
          <w:tcPr>
            <w:tcW w:w="28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ind w:firstLine="420" w:firstLineChars="200"/>
              <w:jc w:val="left"/>
            </w:pPr>
            <w:r>
              <w:t>1972—</w:t>
            </w:r>
          </w:p>
        </w:tc>
        <w:tc>
          <w:tcPr>
            <w:tcW w:w="3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ind w:firstLine="420" w:firstLineChars="200"/>
              <w:jc w:val="left"/>
            </w:pPr>
            <w:r>
              <w:t>64.90—68.78</w:t>
            </w:r>
          </w:p>
        </w:tc>
      </w:tr>
    </w:tbl>
    <w:p>
      <w:pPr>
        <w:sectPr>
          <w:headerReference w:type="default" r:id="rId56"/>
          <w:footerReference w:type="even" r:id="rId57"/>
          <w:footerReference w:type="default" r:id="rId58"/>
          <w:footerReference w:type="first" r:id="rId59"/>
          <w:type w:val="nextPage"/>
          <w:pgSz w:w="11906" w:h="16838"/>
          <w:pgMar w:top="1417" w:right="1077" w:bottom="1417" w:left="1077" w:header="850" w:footer="992" w:gutter="0"/>
          <w:pgNumType w:start="11"/>
          <w:cols w:num="1" w:space="708"/>
          <w:titlePg w:val="0"/>
          <w:docGrid w:type="lines" w:linePitch="318" w:charSpace="409"/>
        </w:sectPr>
      </w:pPr>
    </w:p>
    <w:tbl>
      <w:tblPr>
        <w:tblStyle w:val="TableNormal"/>
        <w:tblW w:w="75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915"/>
        <w:gridCol w:w="2895"/>
        <w:gridCol w:w="3690"/>
      </w:tblGrid>
      <w:tr>
        <w:tblPrEx>
          <w:tblW w:w="750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W w:w="9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pPr>
            <w:r>
              <w:t>德国</w:t>
            </w:r>
          </w:p>
        </w:tc>
        <w:tc>
          <w:tcPr>
            <w:tcW w:w="28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ind w:firstLine="420" w:firstLineChars="200"/>
              <w:jc w:val="left"/>
            </w:pPr>
            <w:r>
              <w:t>1971—</w:t>
            </w:r>
          </w:p>
        </w:tc>
        <w:tc>
          <w:tcPr>
            <w:tcW w:w="36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ind w:firstLine="420" w:firstLineChars="200"/>
              <w:jc w:val="left"/>
            </w:pPr>
            <w:r>
              <w:t>53.95—54.59</w:t>
            </w:r>
          </w:p>
        </w:tc>
      </w:tr>
    </w:tbl>
    <w:p>
      <w:pPr>
        <w:spacing w:line="360" w:lineRule="auto"/>
        <w:ind w:firstLine="420" w:firstLineChars="200"/>
        <w:jc w:val="left"/>
        <w:textAlignment w:val="center"/>
        <w:rPr>
          <w:rFonts w:ascii="楷体" w:eastAsia="楷体" w:hAnsi="楷体" w:cs="楷体"/>
        </w:rPr>
      </w:pPr>
      <w:r>
        <w:rPr>
          <w:rFonts w:ascii="楷体" w:eastAsia="楷体" w:hAnsi="楷体" w:cs="楷体"/>
        </w:rPr>
        <w:t>若干国家人均GDP在3000—10000美元时的居民消费率（说明：根据World Bank Open Data相关数据计算得到，其中美国居民消费率1961—1969年的数据缺失）</w:t>
      </w:r>
    </w:p>
    <w:p>
      <w:pPr>
        <w:spacing w:line="360" w:lineRule="auto"/>
        <w:ind w:firstLine="420" w:firstLineChars="200"/>
        <w:jc w:val="left"/>
        <w:textAlignment w:val="center"/>
        <w:rPr>
          <w:rFonts w:ascii="楷体" w:eastAsia="楷体" w:hAnsi="楷体" w:cs="楷体"/>
        </w:rPr>
      </w:pPr>
      <w:r>
        <w:rPr>
          <w:rFonts w:ascii="楷体" w:eastAsia="楷体" w:hAnsi="楷体" w:cs="楷体"/>
        </w:rPr>
        <w:t>材料二 2022年，国务院进一步扩大税费减免政策的适用主体范围，将阶段性缓交保险费政策由五个特困行业扩大到所有经营困难的中小微企业、个体户，支持高校毕业生自主创业，落实大众创业、万众创新相关政策。</w:t>
      </w:r>
    </w:p>
    <w:p>
      <w:pPr>
        <w:spacing w:line="360" w:lineRule="auto"/>
        <w:ind w:firstLine="420" w:firstLineChars="200"/>
        <w:jc w:val="left"/>
        <w:textAlignment w:val="center"/>
        <w:rPr>
          <w:rFonts w:ascii="楷体" w:eastAsia="楷体" w:hAnsi="楷体" w:cs="楷体"/>
        </w:rPr>
      </w:pPr>
      <w:r>
        <w:rPr>
          <w:rFonts w:ascii="楷体" w:eastAsia="楷体" w:hAnsi="楷体" w:cs="楷体"/>
        </w:rPr>
        <w:t>X县政府争取中央财政专项补贴，支持社会力量启动某养老项目，为社会提供1235个普惠养老床位，为老年人提供连续性、协调性和整体性的医养护一体化服务，并带动区域内相关养老配套产业发展。</w:t>
      </w:r>
    </w:p>
    <w:p>
      <w:pPr>
        <w:spacing w:line="360" w:lineRule="auto"/>
        <w:ind w:firstLine="420" w:firstLineChars="200"/>
        <w:jc w:val="left"/>
        <w:textAlignment w:val="center"/>
        <w:rPr>
          <w:rFonts w:ascii="'Times New Roman'" w:eastAsia="'Times New Roman'" w:hAnsi="'Times New Roman'" w:cs="'Times New Roman'"/>
        </w:rPr>
      </w:pPr>
      <w:r>
        <w:rPr>
          <w:rFonts w:ascii="'Times New Roman'" w:eastAsia="'Times New Roman'" w:hAnsi="'Times New Roman'" w:cs="'Times New Roman'"/>
        </w:rPr>
        <w:t> </w:t>
      </w:r>
      <w:r>
        <w:rPr>
          <w:rFonts w:ascii="楷体" w:eastAsia="楷体" w:hAnsi="楷体" w:cs="楷体"/>
        </w:rPr>
        <w:t>C市政府启动三千万元消费券及消费红包惠民大派送，围绕国际品牌集聚、大宗商品商贸、文旅融合等十大内容开展促消费活动，政府投入加上撬动社会资本，投入资金将超一亿元。</w:t>
      </w:r>
    </w:p>
    <w:p>
      <w:pPr>
        <w:spacing w:line="360" w:lineRule="auto"/>
        <w:ind w:firstLine="420" w:firstLineChars="200"/>
        <w:jc w:val="left"/>
        <w:textAlignment w:val="center"/>
      </w:pPr>
      <w:r>
        <w:t>(1)请说明材料一反映的经济信息。</w:t>
      </w:r>
    </w:p>
    <w:p>
      <w:pPr>
        <w:spacing w:line="360" w:lineRule="auto"/>
        <w:ind w:firstLine="420" w:firstLineChars="200"/>
        <w:jc w:val="left"/>
        <w:textAlignment w:val="center"/>
      </w:pPr>
      <w:r>
        <w:t>(2)请结合材料二，运用经济生活知识，分析政府在促进消费方面是如何作为的。</w:t>
      </w:r>
    </w:p>
    <w:p>
      <w:pPr>
        <w:spacing w:line="360" w:lineRule="auto"/>
        <w:ind w:firstLine="420" w:firstLineChars="200"/>
        <w:jc w:val="left"/>
        <w:textAlignment w:val="center"/>
        <w:rPr>
          <w:color w:val="FF0000"/>
        </w:rPr>
      </w:pPr>
      <w:r>
        <w:rPr>
          <w:color w:val="FF0000"/>
        </w:rPr>
        <w:t>【答案】(1)2001-2007年我国居民的消费率在下降； 2007-2012年我国居民的消费率比较平稳； 2012-2020年我国居民的消费率有所上升，但增长缓慢；当国家人均GDP在3000—10000美元时，我国居民消费率远低于发达国家，这说明我国居民消费水平较低，消费能力较弱，消费结构有待优化。</w:t>
      </w:r>
    </w:p>
    <w:p>
      <w:pPr>
        <w:spacing w:line="360" w:lineRule="auto"/>
        <w:ind w:firstLine="420" w:firstLineChars="200"/>
        <w:jc w:val="left"/>
        <w:textAlignment w:val="center"/>
        <w:rPr>
          <w:color w:val="FF0000"/>
        </w:rPr>
      </w:pPr>
      <w:r>
        <w:rPr>
          <w:color w:val="FF0000"/>
        </w:rPr>
        <w:t>(2)①实施积极的财政政策，进一步扩大税费减免政策的适用主体范围，降低企业的制度性经营成本，以促进其投资性其消费；</w:t>
      </w:r>
    </w:p>
    <w:p>
      <w:pPr>
        <w:spacing w:line="360" w:lineRule="auto"/>
        <w:ind w:firstLine="420" w:firstLineChars="200"/>
        <w:jc w:val="left"/>
        <w:textAlignment w:val="center"/>
        <w:rPr>
          <w:color w:val="FF0000"/>
        </w:rPr>
      </w:pPr>
      <w:r>
        <w:rPr>
          <w:color w:val="FF0000"/>
        </w:rPr>
        <w:t>②通过财政专项补贴，支持社会力量启动某养老项目，完善社会基本公共服务，带动区域内相关养老配套产业发展，满足居民的消费需求。</w:t>
      </w:r>
    </w:p>
    <w:p>
      <w:pPr>
        <w:spacing w:line="360" w:lineRule="auto"/>
        <w:ind w:firstLine="420" w:firstLineChars="200"/>
        <w:jc w:val="left"/>
        <w:textAlignment w:val="center"/>
        <w:rPr>
          <w:color w:val="FF0000"/>
        </w:rPr>
      </w:pPr>
      <w:r>
        <w:rPr>
          <w:color w:val="FF0000"/>
        </w:rPr>
        <w:t>③通过发放消费券和消费红包，带动社会资本，开展促消费活动，以减轻居民消费成本，刺激居民消费。</w:t>
      </w:r>
    </w:p>
    <w:p>
      <w:pPr>
        <w:spacing w:line="360" w:lineRule="auto"/>
        <w:ind w:firstLine="420" w:firstLineChars="200"/>
        <w:jc w:val="left"/>
        <w:textAlignment w:val="center"/>
        <w:rPr>
          <w:color w:val="FF0000"/>
        </w:rPr>
      </w:pPr>
      <w:r>
        <w:rPr>
          <w:color w:val="FF0000"/>
        </w:rPr>
        <w:t>【解析】</w:t>
      </w:r>
    </w:p>
    <w:p>
      <w:pPr>
        <w:spacing w:line="360" w:lineRule="auto"/>
        <w:ind w:firstLine="420" w:firstLineChars="200"/>
        <w:jc w:val="left"/>
        <w:textAlignment w:val="center"/>
        <w:rPr>
          <w:color w:val="FF0000"/>
        </w:rPr>
      </w:pPr>
      <w:r>
        <w:rPr>
          <w:color w:val="FF0000"/>
        </w:rPr>
        <w:t>考查背景：消费</w:t>
      </w:r>
    </w:p>
    <w:p>
      <w:pPr>
        <w:spacing w:line="360" w:lineRule="auto"/>
        <w:ind w:firstLine="420" w:firstLineChars="200"/>
        <w:jc w:val="left"/>
        <w:textAlignment w:val="center"/>
        <w:rPr>
          <w:color w:val="FF0000"/>
        </w:rPr>
        <w:sectPr>
          <w:headerReference w:type="default" r:id="rId60"/>
          <w:footerReference w:type="even" r:id="rId61"/>
          <w:footerReference w:type="default" r:id="rId62"/>
          <w:footerReference w:type="first" r:id="rId63"/>
          <w:type w:val="nextPage"/>
          <w:pgSz w:w="11906" w:h="16838"/>
          <w:pgMar w:top="1417" w:right="1077" w:bottom="1417" w:left="1077" w:header="850" w:footer="992" w:gutter="0"/>
          <w:pgNumType w:start="12"/>
          <w:cols w:num="1" w:space="708"/>
          <w:titlePg w:val="0"/>
          <w:docGrid w:type="lines" w:linePitch="318" w:charSpace="409"/>
        </w:sectPr>
      </w:pPr>
      <w:r>
        <w:rPr>
          <w:color w:val="FF0000"/>
        </w:rPr>
        <w:t>考查考点：宏观调控、影响消费水平的因素等</w:t>
      </w:r>
    </w:p>
    <w:p>
      <w:pPr>
        <w:spacing w:line="360" w:lineRule="auto"/>
        <w:ind w:firstLine="420" w:firstLineChars="200"/>
        <w:jc w:val="left"/>
        <w:textAlignment w:val="center"/>
        <w:rPr>
          <w:color w:val="FF0000"/>
        </w:rPr>
      </w:pPr>
      <w:r>
        <w:rPr>
          <w:color w:val="FF0000"/>
        </w:rPr>
        <w:t>考查能力：调动和运用知识、描述和阐释事物</w:t>
      </w:r>
    </w:p>
    <w:p>
      <w:pPr>
        <w:spacing w:line="360" w:lineRule="auto"/>
        <w:ind w:firstLine="420" w:firstLineChars="200"/>
        <w:jc w:val="left"/>
        <w:textAlignment w:val="center"/>
        <w:rPr>
          <w:color w:val="FF0000"/>
        </w:rPr>
      </w:pPr>
      <w:r>
        <w:rPr>
          <w:color w:val="FF0000"/>
        </w:rPr>
        <w:t>学科素养：政治认同、科学精神</w:t>
      </w:r>
    </w:p>
    <w:p>
      <w:pPr>
        <w:spacing w:line="360" w:lineRule="auto"/>
        <w:ind w:firstLine="420" w:firstLineChars="200"/>
        <w:jc w:val="left"/>
        <w:textAlignment w:val="center"/>
        <w:rPr>
          <w:color w:val="FF0000"/>
        </w:rPr>
      </w:pPr>
      <w:r>
        <w:rPr>
          <w:color w:val="FF0000"/>
        </w:rPr>
        <w:t>(1)第一步，审设问。</w:t>
      </w:r>
    </w:p>
    <w:p>
      <w:pPr>
        <w:spacing w:line="360" w:lineRule="auto"/>
        <w:ind w:firstLine="420" w:firstLineChars="200"/>
        <w:jc w:val="left"/>
        <w:textAlignment w:val="center"/>
        <w:rPr>
          <w:color w:val="FF0000"/>
        </w:rPr>
      </w:pPr>
      <w:r>
        <w:rPr>
          <w:color w:val="FF0000"/>
        </w:rPr>
        <w:t>明确本题要求说明材料一反映的经济信息。</w:t>
      </w:r>
    </w:p>
    <w:p>
      <w:pPr>
        <w:spacing w:line="360" w:lineRule="auto"/>
        <w:ind w:firstLine="420" w:firstLineChars="200"/>
        <w:jc w:val="left"/>
        <w:textAlignment w:val="center"/>
        <w:rPr>
          <w:color w:val="FF0000"/>
        </w:rPr>
      </w:pPr>
      <w:r>
        <w:rPr>
          <w:color w:val="FF0000"/>
        </w:rPr>
        <w:t>第二步，审材料，提取有效信息。</w:t>
      </w:r>
    </w:p>
    <w:p>
      <w:pPr>
        <w:spacing w:line="360" w:lineRule="auto"/>
        <w:ind w:firstLine="420" w:firstLineChars="200"/>
        <w:jc w:val="left"/>
        <w:textAlignment w:val="center"/>
        <w:rPr>
          <w:color w:val="FF0000"/>
        </w:rPr>
      </w:pPr>
      <w:r>
        <w:rPr>
          <w:color w:val="FF0000"/>
        </w:rPr>
        <w:t>有效信息①2001—2020年的中国居民消费率图→2001-2007年我国居民的消费率在下降； 2007-2012年我国居民的消费率比较平稳； 2012-2020年我国居民的消费率有所上升，但增长缓慢。</w:t>
      </w:r>
    </w:p>
    <w:p>
      <w:pPr>
        <w:spacing w:line="360" w:lineRule="auto"/>
        <w:ind w:firstLine="420" w:firstLineChars="200"/>
        <w:jc w:val="left"/>
        <w:textAlignment w:val="center"/>
        <w:rPr>
          <w:color w:val="FF0000"/>
        </w:rPr>
      </w:pPr>
      <w:r>
        <w:rPr>
          <w:color w:val="FF0000"/>
        </w:rPr>
        <w:t>有效信息②“国家”、“人均GDP在3000—10000美元所在的年份”、“居民消费率”→当国家人均GDP在3000—10000美元时，我国居民消费率远低于发达国家，这说明我国居民消费水平较低，消费能力较弱，消费结构有待优化。</w:t>
      </w:r>
    </w:p>
    <w:p>
      <w:pPr>
        <w:spacing w:line="360" w:lineRule="auto"/>
        <w:ind w:firstLine="420" w:firstLineChars="200"/>
        <w:jc w:val="left"/>
        <w:textAlignment w:val="center"/>
        <w:rPr>
          <w:color w:val="FF0000"/>
        </w:rPr>
      </w:pPr>
      <w:r>
        <w:rPr>
          <w:color w:val="FF0000"/>
        </w:rPr>
        <w:t>第三步，整合信息，组织答案。</w:t>
      </w:r>
    </w:p>
    <w:p>
      <w:pPr>
        <w:spacing w:line="360" w:lineRule="auto"/>
        <w:ind w:firstLine="420" w:firstLineChars="200"/>
        <w:jc w:val="left"/>
        <w:textAlignment w:val="center"/>
        <w:rPr>
          <w:color w:val="FF0000"/>
        </w:rPr>
      </w:pPr>
      <w:r>
        <w:rPr>
          <w:color w:val="FF0000"/>
        </w:rPr>
        <w:t>得分点①2001-2007年我国居民的消费率在下降； 2007-2012年我国居民的消费率比较平稳； 2012-2020年我国居民的消费率有所上升，但增长缓慢。</w:t>
      </w:r>
    </w:p>
    <w:p>
      <w:pPr>
        <w:spacing w:line="360" w:lineRule="auto"/>
        <w:ind w:firstLine="420" w:firstLineChars="200"/>
        <w:jc w:val="left"/>
        <w:textAlignment w:val="center"/>
        <w:rPr>
          <w:color w:val="FF0000"/>
        </w:rPr>
      </w:pPr>
      <w:r>
        <w:rPr>
          <w:color w:val="FF0000"/>
        </w:rPr>
        <w:t>得分点②当国家人均GDP在3000—10000美元时，我国居民消费率远低于发达国家，这说明我国居民消费水平较低，消费能力较弱，消费结构有待优化。</w:t>
      </w:r>
    </w:p>
    <w:p>
      <w:pPr>
        <w:spacing w:line="360" w:lineRule="auto"/>
        <w:ind w:firstLine="420" w:firstLineChars="200"/>
        <w:jc w:val="left"/>
        <w:textAlignment w:val="center"/>
        <w:rPr>
          <w:color w:val="FF0000"/>
        </w:rPr>
      </w:pPr>
      <w:r>
        <w:rPr>
          <w:color w:val="FF0000"/>
        </w:rPr>
        <w:t>(2)</w:t>
      </w:r>
    </w:p>
    <w:p>
      <w:pPr>
        <w:spacing w:line="360" w:lineRule="auto"/>
        <w:ind w:firstLine="420" w:firstLineChars="200"/>
        <w:jc w:val="left"/>
        <w:textAlignment w:val="center"/>
        <w:rPr>
          <w:color w:val="FF0000"/>
        </w:rPr>
      </w:pPr>
      <w:r>
        <w:rPr>
          <w:color w:val="FF0000"/>
        </w:rPr>
        <w:t>第一步，审设问。</w:t>
      </w:r>
    </w:p>
    <w:p>
      <w:pPr>
        <w:spacing w:line="360" w:lineRule="auto"/>
        <w:ind w:firstLine="420" w:firstLineChars="200"/>
        <w:jc w:val="left"/>
        <w:textAlignment w:val="center"/>
        <w:rPr>
          <w:color w:val="FF0000"/>
        </w:rPr>
      </w:pPr>
      <w:r>
        <w:rPr>
          <w:color w:val="FF0000"/>
        </w:rPr>
        <w:t>明确本题要求结合材料二，运用经济生活知识，分析政府在促进消费方面是如何作为的。</w:t>
      </w:r>
    </w:p>
    <w:p>
      <w:pPr>
        <w:spacing w:line="360" w:lineRule="auto"/>
        <w:ind w:firstLine="420" w:firstLineChars="200"/>
        <w:jc w:val="left"/>
        <w:textAlignment w:val="center"/>
        <w:rPr>
          <w:color w:val="FF0000"/>
        </w:rPr>
      </w:pPr>
      <w:r>
        <w:rPr>
          <w:color w:val="FF0000"/>
        </w:rPr>
        <w:t>第二步，审材料，提取有效信息。</w:t>
      </w:r>
    </w:p>
    <w:p>
      <w:pPr>
        <w:spacing w:line="360" w:lineRule="auto"/>
        <w:ind w:firstLine="420" w:firstLineChars="200"/>
        <w:jc w:val="left"/>
        <w:textAlignment w:val="center"/>
        <w:rPr>
          <w:color w:val="FF0000"/>
        </w:rPr>
      </w:pPr>
      <w:r>
        <w:rPr>
          <w:color w:val="FF0000"/>
        </w:rPr>
        <w:t>有效信息①国务院进一步扩大税费减免政策的适用主体范围，将阶段性缓交保险费政策由五个特困行业扩大到所有经营困难的中小微企业、个体户，支持高校毕业生自主创业，落实大众创业。万众创新相关政策→实施积极的财政政策，进一步扩大税费减免政策的适用主体范围，降低企业的制度性经营成本，以促进其投资性其消费；</w:t>
      </w:r>
    </w:p>
    <w:p>
      <w:pPr>
        <w:spacing w:line="360" w:lineRule="auto"/>
        <w:ind w:firstLine="420" w:firstLineChars="200"/>
        <w:jc w:val="left"/>
        <w:textAlignment w:val="center"/>
        <w:rPr>
          <w:color w:val="FF0000"/>
        </w:rPr>
        <w:sectPr>
          <w:headerReference w:type="default" r:id="rId64"/>
          <w:footerReference w:type="even" r:id="rId65"/>
          <w:footerReference w:type="default" r:id="rId66"/>
          <w:footerReference w:type="first" r:id="rId67"/>
          <w:type w:val="nextPage"/>
          <w:pgSz w:w="11906" w:h="16838"/>
          <w:pgMar w:top="1417" w:right="1077" w:bottom="1417" w:left="1077" w:header="850" w:footer="992" w:gutter="0"/>
          <w:pgNumType w:start="13"/>
          <w:cols w:num="1" w:space="708"/>
          <w:titlePg w:val="0"/>
          <w:docGrid w:type="lines" w:linePitch="318" w:charSpace="409"/>
        </w:sectPr>
      </w:pPr>
    </w:p>
    <w:p>
      <w:pPr>
        <w:spacing w:line="360" w:lineRule="auto"/>
        <w:ind w:firstLine="420" w:firstLineChars="200"/>
        <w:jc w:val="left"/>
        <w:textAlignment w:val="center"/>
        <w:rPr>
          <w:color w:val="FF0000"/>
        </w:rPr>
      </w:pPr>
      <w:r>
        <w:rPr>
          <w:color w:val="FF0000"/>
        </w:rPr>
        <w:t>有效信息②X县政府争取中央财政专项补贴，支持社会力量启动某养老项目，为社会提供1235个普惠养老床位，为老年人提供连续性、协调性和整体性的医养护一体化服务，并带动区域内相关养老配套产业发展→通过财政专项补贴，支持社会力量启动某养老项目，完善社会基本公共服务，带动区域内相关养老配套产业发展，满足居民的消费需求。</w:t>
      </w:r>
    </w:p>
    <w:p>
      <w:pPr>
        <w:spacing w:line="360" w:lineRule="auto"/>
        <w:ind w:firstLine="420" w:firstLineChars="200"/>
        <w:jc w:val="left"/>
        <w:textAlignment w:val="center"/>
        <w:rPr>
          <w:color w:val="FF0000"/>
        </w:rPr>
      </w:pPr>
      <w:r>
        <w:rPr>
          <w:color w:val="FF0000"/>
        </w:rPr>
        <w:t>有效信息③C市政府启动三千万元消费券及消费红包惠民大派送，围绕国际品牌集聚、大宗商品商贸、文旅融合等十大内容开展促消费活动，政府投入加上撬动社会资本，投入资金将超一亿元→通过发放消费券和消费红包，带动社会资本，开展促消费活动，以减轻居民消费成本，刺激居民消费。</w:t>
      </w:r>
    </w:p>
    <w:p>
      <w:pPr>
        <w:spacing w:line="360" w:lineRule="auto"/>
        <w:ind w:firstLine="420" w:firstLineChars="200"/>
        <w:jc w:val="left"/>
        <w:textAlignment w:val="center"/>
        <w:rPr>
          <w:color w:val="FF0000"/>
        </w:rPr>
      </w:pPr>
      <w:r>
        <w:rPr>
          <w:color w:val="FF0000"/>
        </w:rPr>
        <w:t>第三步，整合信息，组织答案。</w:t>
      </w:r>
    </w:p>
    <w:p>
      <w:pPr>
        <w:spacing w:line="360" w:lineRule="auto"/>
        <w:ind w:firstLine="420" w:firstLineChars="200"/>
        <w:jc w:val="left"/>
        <w:textAlignment w:val="center"/>
        <w:rPr>
          <w:color w:val="FF0000"/>
        </w:rPr>
      </w:pPr>
      <w:r>
        <w:rPr>
          <w:color w:val="FF0000"/>
        </w:rPr>
        <w:t>得分点①实施积极的财政政策＋降低企业的制度性经营成本，以促进其投资性其消费；</w:t>
      </w:r>
    </w:p>
    <w:p>
      <w:pPr>
        <w:spacing w:line="360" w:lineRule="auto"/>
        <w:ind w:firstLine="420" w:firstLineChars="200"/>
        <w:jc w:val="left"/>
        <w:textAlignment w:val="center"/>
        <w:rPr>
          <w:color w:val="FF0000"/>
        </w:rPr>
      </w:pPr>
      <w:r>
        <w:rPr>
          <w:color w:val="FF0000"/>
        </w:rPr>
        <w:t>得分点②通过财政专项补贴，支持社会力量启动某养老项目，完善社会基本公共服务，带动区域内相关养老配套产业发展，满足居民的消费需求。</w:t>
      </w:r>
    </w:p>
    <w:p>
      <w:pPr>
        <w:spacing w:line="360" w:lineRule="auto"/>
        <w:ind w:firstLine="420" w:firstLineChars="200"/>
        <w:jc w:val="left"/>
        <w:textAlignment w:val="center"/>
        <w:rPr>
          <w:color w:val="FF0000"/>
        </w:rPr>
      </w:pPr>
      <w:r>
        <w:rPr>
          <w:color w:val="FF0000"/>
        </w:rPr>
        <w:t>得分点③通过发放消费券和消费红包，带动社会资本，开展促消费活动，以减轻居民消费成本，刺激居民消费。</w:t>
      </w:r>
    </w:p>
    <w:p>
      <w:pPr>
        <w:spacing w:line="360" w:lineRule="auto"/>
        <w:ind w:firstLine="600" w:firstLineChars="200"/>
        <w:jc w:val="center"/>
        <w:textAlignment w:val="center"/>
      </w:pPr>
      <w:r>
        <w:rPr>
          <w:b/>
          <w:color w:val="0000FF"/>
          <w:sz w:val="30"/>
          <w:szCs w:val="30"/>
        </w:rPr>
        <w:pict>
          <v:shape id="_x0000_i1035" type="#_x0000_t75" style="width:189.75pt;height:50.25pt" coordsize="21600,21600" o:preferrelative="t" filled="f" stroked="f">
            <v:stroke joinstyle="miter"/>
            <v:imagedata r:id="rId68" o:title="8400b27930d3d649b5309eee3ba207e"/>
            <o:lock v:ext="edit" aspectratio="t"/>
            <w10:anchorlock/>
          </v:shape>
        </w:pict>
      </w:r>
    </w:p>
    <w:p>
      <w:pPr>
        <w:spacing w:line="360" w:lineRule="auto"/>
        <w:ind w:firstLine="420" w:firstLineChars="200"/>
        <w:jc w:val="left"/>
        <w:textAlignment w:val="center"/>
        <w:rPr>
          <w:rFonts w:ascii="宋体" w:hAnsi="宋体"/>
        </w:rPr>
      </w:pPr>
      <w:r>
        <w:t>1．</w:t>
      </w:r>
      <w:r>
        <w:rPr>
          <w:rFonts w:hint="eastAsia"/>
        </w:rPr>
        <w:t>（2</w:t>
      </w:r>
      <w:r>
        <w:t>021</w:t>
      </w:r>
      <w:r>
        <w:rPr>
          <w:rFonts w:hint="eastAsia"/>
        </w:rPr>
        <w:t>全国甲卷）</w:t>
      </w:r>
      <w:r>
        <w:rPr>
          <w:rFonts w:ascii="宋体" w:hAnsi="宋体"/>
        </w:rPr>
        <w:t>为促进新能源汽车业发展，一些地方采取购置补贴和免征购置税等政策。在此背景下，这些地方燃油汽车的需求会受到一定影响在其他因素不变的条件下，正确反映这些地方汽车需求变化趋势的图示是（   ）</w:t>
      </w:r>
    </w:p>
    <w:p>
      <w:pPr>
        <w:spacing w:line="360" w:lineRule="auto"/>
        <w:ind w:firstLine="420" w:firstLineChars="200"/>
        <w:jc w:val="center"/>
        <w:textAlignment w:val="center"/>
        <w:sectPr>
          <w:headerReference w:type="default" r:id="rId69"/>
          <w:footerReference w:type="even" r:id="rId70"/>
          <w:footerReference w:type="default" r:id="rId71"/>
          <w:footerReference w:type="first" r:id="rId72"/>
          <w:type w:val="nextPage"/>
          <w:pgSz w:w="11906" w:h="16838"/>
          <w:pgMar w:top="1417" w:right="1077" w:bottom="1417" w:left="1077" w:header="850" w:footer="992" w:gutter="0"/>
          <w:pgNumType w:start="14"/>
          <w:cols w:num="1" w:space="708"/>
          <w:titlePg w:val="0"/>
          <w:docGrid w:type="lines" w:linePitch="318" w:charSpace="409"/>
        </w:sectPr>
      </w:pPr>
      <w:r>
        <w:pict>
          <v:shape id="_x0000_i1036" type="#_x0000_t75" alt="学科网(www.zxxk.com)--教育资源门户，提供试卷、教案、课件、论文、素材以及各类教学资源下载，还有大量而丰富的教学相关资讯！" style="width:369pt;height:189pt" coordsize="21600,21600" o:preferrelative="t" filled="f" stroked="f">
            <v:stroke joinstyle="miter"/>
            <v:imagedata r:id="rId73" o:title="学科网(www.zxxk"/>
            <o:lock v:ext="edit" aspectratio="t"/>
            <w10:anchorlock/>
          </v:shape>
        </w:pict>
      </w:r>
    </w:p>
    <w:p>
      <w:pPr>
        <w:tabs>
          <w:tab w:val="left" w:pos="2436"/>
          <w:tab w:val="left" w:pos="4873"/>
          <w:tab w:val="left" w:pos="7309"/>
        </w:tabs>
        <w:spacing w:line="360" w:lineRule="auto"/>
        <w:ind w:firstLine="420" w:firstLineChars="200"/>
        <w:jc w:val="left"/>
        <w:textAlignment w:val="center"/>
        <w:rPr>
          <w:rFonts w:ascii="宋体" w:hAnsi="宋体"/>
          <w:color w:val="000000"/>
        </w:rPr>
      </w:pPr>
      <w:r>
        <w:rPr>
          <w:rFonts w:hint="eastAsia"/>
        </w:rPr>
        <w:t>A．</w:t>
      </w:r>
      <w:r>
        <w:rPr>
          <w:rFonts w:ascii="宋体" w:hAnsi="宋体"/>
        </w:rPr>
        <w:t>①③</w:t>
      </w:r>
      <w:r>
        <w:rPr>
          <w:rFonts w:hint="eastAsia"/>
        </w:rPr>
        <w:tab/>
      </w:r>
      <w:r>
        <w:rPr>
          <w:rFonts w:hint="eastAsia"/>
        </w:rPr>
        <w:t>B．</w:t>
      </w:r>
      <w:r>
        <w:rPr>
          <w:rFonts w:ascii="宋体" w:hAnsi="宋体"/>
        </w:rPr>
        <w:t>①④</w:t>
      </w:r>
      <w:r>
        <w:rPr>
          <w:rFonts w:hint="eastAsia"/>
        </w:rPr>
        <w:tab/>
      </w:r>
      <w:r>
        <w:rPr>
          <w:rFonts w:hint="eastAsia"/>
        </w:rPr>
        <w:t>C．</w:t>
      </w:r>
      <w:r>
        <w:rPr>
          <w:rFonts w:ascii="宋体" w:hAnsi="宋体"/>
        </w:rPr>
        <w:t>②③</w:t>
      </w:r>
      <w:r>
        <w:rPr>
          <w:rFonts w:hint="eastAsia"/>
        </w:rPr>
        <w:tab/>
      </w:r>
      <w:r>
        <w:rPr>
          <w:rFonts w:hint="eastAsia"/>
        </w:rPr>
        <w:t>D．</w:t>
      </w:r>
      <w:r>
        <w:rPr>
          <w:rFonts w:ascii="宋体" w:hAnsi="宋体"/>
        </w:rPr>
        <w:t>②④</w:t>
      </w:r>
    </w:p>
    <w:p>
      <w:pPr>
        <w:spacing w:line="360" w:lineRule="auto"/>
        <w:ind w:firstLine="420" w:firstLineChars="200"/>
        <w:textAlignment w:val="center"/>
        <w:rPr>
          <w:color w:val="FF0000"/>
        </w:rPr>
      </w:pPr>
      <w:r>
        <w:rPr>
          <w:color w:val="FF0000"/>
        </w:rPr>
        <w:t>【答案】D</w:t>
      </w:r>
    </w:p>
    <w:p>
      <w:pPr>
        <w:spacing w:line="360" w:lineRule="auto"/>
        <w:ind w:firstLine="420" w:firstLineChars="200"/>
        <w:textAlignment w:val="center"/>
        <w:rPr>
          <w:color w:val="FF0000"/>
        </w:rPr>
      </w:pPr>
      <w:r>
        <w:rPr>
          <w:color w:val="FF0000"/>
        </w:rPr>
        <w:t>【解析】材料反映的是在新能源汽车和传统燃油汽车价格不变的情况下，由于国家实施新能源汽车购置补贴和免征购置税等政策，导致新能源汽车和传统燃油汽车需求量的变化情况。</w:t>
      </w:r>
    </w:p>
    <w:p>
      <w:pPr>
        <w:spacing w:line="360" w:lineRule="auto"/>
        <w:ind w:firstLine="420" w:firstLineChars="200"/>
        <w:jc w:val="left"/>
        <w:textAlignment w:val="center"/>
        <w:rPr>
          <w:color w:val="FF0000"/>
        </w:rPr>
      </w:pPr>
      <w:r>
        <w:rPr>
          <w:color w:val="FF0000"/>
        </w:rPr>
        <w:t>①：此图反映的是新能汽车价格下降，引起新能源汽车需求增加，①与材料不符，排除。</w:t>
      </w:r>
    </w:p>
    <w:p>
      <w:pPr>
        <w:spacing w:line="360" w:lineRule="auto"/>
        <w:ind w:firstLine="420" w:firstLineChars="200"/>
        <w:jc w:val="left"/>
        <w:textAlignment w:val="center"/>
        <w:rPr>
          <w:color w:val="FF0000"/>
        </w:rPr>
      </w:pPr>
      <w:r>
        <w:rPr>
          <w:color w:val="FF0000"/>
        </w:rPr>
        <w:t>②：一些地方采取购置补贴和免征购置税等政策，使新能源汽车购置成本下降，在新能源汽车价格不变的情况下，人们对新能源汽车的需求量增加，其需求曲线整体向右侧移动，②符合题意。</w:t>
      </w:r>
    </w:p>
    <w:p>
      <w:pPr>
        <w:spacing w:line="360" w:lineRule="auto"/>
        <w:ind w:firstLine="420" w:firstLineChars="200"/>
        <w:jc w:val="left"/>
        <w:textAlignment w:val="center"/>
        <w:rPr>
          <w:color w:val="FF0000"/>
        </w:rPr>
      </w:pPr>
      <w:r>
        <w:rPr>
          <w:color w:val="FF0000"/>
        </w:rPr>
        <w:t>③：此图反映的是传统燃油汽车价格上涨，引起传统燃油汽车需求减少，③与材料不符，排除。</w:t>
      </w:r>
    </w:p>
    <w:p>
      <w:pPr>
        <w:spacing w:line="360" w:lineRule="auto"/>
        <w:ind w:firstLine="420" w:firstLineChars="200"/>
        <w:jc w:val="left"/>
        <w:textAlignment w:val="center"/>
        <w:rPr>
          <w:color w:val="FF0000"/>
        </w:rPr>
      </w:pPr>
      <w:r>
        <w:rPr>
          <w:color w:val="FF0000"/>
        </w:rPr>
        <w:t>④：新能源汽车与传统燃油汽车互为替代品，新能源汽车的优惠政策导致人们对新能源汽车需求增加，人们对传统燃油汽车需求相对减少，在传统燃油汽车价格不变的情况下，其需求曲线向左侧移动，④符合题意。</w:t>
      </w:r>
    </w:p>
    <w:p>
      <w:pPr>
        <w:spacing w:line="360" w:lineRule="auto"/>
        <w:ind w:firstLine="420" w:firstLineChars="200"/>
        <w:jc w:val="left"/>
        <w:textAlignment w:val="center"/>
        <w:rPr>
          <w:color w:val="FF0000"/>
        </w:rPr>
      </w:pPr>
      <w:r>
        <w:rPr>
          <w:color w:val="FF0000"/>
        </w:rPr>
        <w:t>故本题选D。</w:t>
      </w:r>
    </w:p>
    <w:p>
      <w:pPr>
        <w:spacing w:line="360" w:lineRule="auto"/>
        <w:ind w:firstLine="420" w:firstLineChars="200"/>
        <w:jc w:val="left"/>
        <w:textAlignment w:val="center"/>
        <w:rPr>
          <w:rFonts w:ascii="宋体" w:hAnsi="宋体" w:cs="宋体"/>
        </w:rPr>
      </w:pPr>
      <w:r>
        <w:t>2．</w:t>
      </w:r>
      <w:r>
        <w:rPr>
          <w:rFonts w:hint="eastAsia"/>
        </w:rPr>
        <w:t>（</w:t>
      </w:r>
      <w:r>
        <w:t>2021</w:t>
      </w:r>
      <w:r>
        <w:rPr>
          <w:rFonts w:hint="eastAsia"/>
        </w:rPr>
        <w:t>全国乙卷）</w:t>
      </w:r>
      <w:r>
        <w:rPr>
          <w:rFonts w:ascii="宋体" w:hAnsi="宋体" w:cs="宋体"/>
        </w:rPr>
        <w:t>甲国经济对外贸的依存度高，其进出口贸易以美元结算。在开放市场条件下，当甲国发生通货膨胀时，若不考虑其他因素，甲国货币对美元的汇率会下降。关于这一作用过程的描述，正确的是（</w:t>
      </w:r>
      <w:r>
        <w:rPr>
          <w:rFonts w:eastAsia="Times New Roman"/>
        </w:rPr>
        <w:t xml:space="preserve">    </w:t>
      </w:r>
      <w:r>
        <w:rPr>
          <w:rFonts w:ascii="宋体" w:hAnsi="宋体" w:cs="宋体"/>
        </w:rPr>
        <w:t>）</w:t>
      </w:r>
    </w:p>
    <w:tbl>
      <w:tblPr>
        <w:tblStyle w:val="TableNormal"/>
        <w:tblW w:w="9639" w:type="dxa"/>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778"/>
        <w:gridCol w:w="771"/>
        <w:gridCol w:w="4008"/>
        <w:gridCol w:w="771"/>
        <w:gridCol w:w="2311"/>
      </w:tblGrid>
      <w:tr>
        <w:tblPrEx>
          <w:tblW w:w="9639" w:type="dxa"/>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trHeight w:val="1155"/>
        </w:trPr>
        <w:tc>
          <w:tcPr>
            <w:tcW w:w="1778"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ind w:firstLine="200"/>
              <w:jc w:val="center"/>
              <w:textAlignment w:val="center"/>
              <w:rPr>
                <w:rFonts w:ascii="宋体" w:hAnsi="宋体" w:cs="宋体"/>
                <w:szCs w:val="24"/>
              </w:rPr>
            </w:pPr>
            <w:r>
              <w:rPr>
                <w:rFonts w:ascii="宋体" w:hAnsi="宋体" w:cs="宋体"/>
                <w:szCs w:val="24"/>
              </w:rPr>
              <w:t>甲国通货膨胀</w:t>
            </w:r>
          </w:p>
        </w:tc>
        <w:tc>
          <w:tcPr>
            <w:tcW w:w="0" w:type="auto"/>
            <w:tcBorders>
              <w:top w:val="nil"/>
              <w:left w:val="single" w:sz="6" w:space="0" w:color="000000"/>
              <w:bottom w:val="nil"/>
              <w:right w:val="single" w:sz="6" w:space="0" w:color="000000"/>
            </w:tcBorders>
            <w:tcMar>
              <w:top w:w="75" w:type="dxa"/>
              <w:bottom w:w="75" w:type="dxa"/>
            </w:tcMar>
            <w:vAlign w:val="center"/>
          </w:tcPr>
          <w:p>
            <w:pPr>
              <w:spacing w:line="360" w:lineRule="auto"/>
              <w:ind w:firstLine="200"/>
              <w:jc w:val="center"/>
              <w:textAlignment w:val="center"/>
              <w:rPr>
                <w:rFonts w:ascii="宋体" w:hAnsi="宋体" w:cs="宋体"/>
                <w:szCs w:val="24"/>
              </w:rPr>
            </w:pPr>
            <w:r>
              <w:rPr>
                <w:rFonts w:ascii="宋体" w:hAnsi="宋体" w:cs="宋体"/>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ind w:firstLine="200"/>
              <w:jc w:val="center"/>
              <w:textAlignment w:val="center"/>
              <w:rPr>
                <w:rFonts w:ascii="宋体" w:hAnsi="宋体" w:cs="宋体"/>
                <w:szCs w:val="24"/>
              </w:rPr>
            </w:pPr>
            <w:r>
              <w:rPr>
                <w:rFonts w:ascii="宋体" w:hAnsi="宋体" w:cs="宋体"/>
                <w:szCs w:val="24"/>
              </w:rPr>
              <w:t>①进口商品增加→美元需求增加</w:t>
            </w:r>
          </w:p>
          <w:p>
            <w:pPr>
              <w:spacing w:line="360" w:lineRule="auto"/>
              <w:ind w:firstLine="200"/>
              <w:jc w:val="center"/>
              <w:textAlignment w:val="center"/>
              <w:rPr>
                <w:rFonts w:ascii="宋体" w:hAnsi="宋体" w:cs="宋体"/>
                <w:szCs w:val="24"/>
              </w:rPr>
            </w:pPr>
            <w:r>
              <w:rPr>
                <w:rFonts w:ascii="宋体" w:hAnsi="宋体" w:cs="宋体"/>
                <w:szCs w:val="24"/>
              </w:rPr>
              <w:t>②进口商品减少→美元需求减少</w:t>
            </w:r>
          </w:p>
          <w:p>
            <w:pPr>
              <w:spacing w:line="360" w:lineRule="auto"/>
              <w:ind w:firstLine="200"/>
              <w:jc w:val="center"/>
              <w:textAlignment w:val="center"/>
              <w:rPr>
                <w:rFonts w:ascii="宋体" w:hAnsi="宋体" w:cs="宋体"/>
                <w:szCs w:val="24"/>
              </w:rPr>
            </w:pPr>
            <w:r>
              <w:rPr>
                <w:rFonts w:ascii="宋体" w:hAnsi="宋体" w:cs="宋体"/>
                <w:szCs w:val="24"/>
              </w:rPr>
              <w:t>③出口商品增加→美元供给增加</w:t>
            </w:r>
          </w:p>
          <w:p>
            <w:pPr>
              <w:spacing w:line="360" w:lineRule="auto"/>
              <w:ind w:firstLine="200"/>
              <w:jc w:val="center"/>
              <w:textAlignment w:val="center"/>
              <w:rPr>
                <w:rFonts w:ascii="宋体" w:hAnsi="宋体" w:cs="宋体"/>
                <w:szCs w:val="24"/>
              </w:rPr>
            </w:pPr>
            <w:r>
              <w:rPr>
                <w:rFonts w:ascii="宋体" w:hAnsi="宋体" w:cs="宋体"/>
                <w:szCs w:val="24"/>
              </w:rPr>
              <w:t>④出口商品减少→美元供给减少</w:t>
            </w:r>
          </w:p>
        </w:tc>
        <w:tc>
          <w:tcPr>
            <w:tcW w:w="0" w:type="auto"/>
            <w:tcBorders>
              <w:top w:val="nil"/>
              <w:left w:val="single" w:sz="6" w:space="0" w:color="000000"/>
              <w:bottom w:val="nil"/>
              <w:right w:val="single" w:sz="6" w:space="0" w:color="000000"/>
            </w:tcBorders>
            <w:tcMar>
              <w:top w:w="75" w:type="dxa"/>
              <w:bottom w:w="75" w:type="dxa"/>
            </w:tcMar>
            <w:vAlign w:val="center"/>
          </w:tcPr>
          <w:p>
            <w:pPr>
              <w:spacing w:line="360" w:lineRule="auto"/>
              <w:ind w:firstLine="200"/>
              <w:jc w:val="center"/>
              <w:textAlignment w:val="center"/>
              <w:rPr>
                <w:rFonts w:ascii="宋体" w:hAnsi="宋体" w:cs="宋体"/>
                <w:szCs w:val="24"/>
              </w:rPr>
            </w:pPr>
            <w:r>
              <w:rPr>
                <w:rFonts w:ascii="宋体" w:hAnsi="宋体" w:cs="宋体"/>
                <w:szCs w:val="24"/>
              </w:rPr>
              <w:t>→</w:t>
            </w:r>
          </w:p>
        </w:tc>
        <w:tc>
          <w:tcPr>
            <w:tcW w:w="2312"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ind w:firstLine="200"/>
              <w:jc w:val="center"/>
              <w:textAlignment w:val="center"/>
              <w:rPr>
                <w:rFonts w:ascii="宋体" w:hAnsi="宋体" w:cs="宋体"/>
                <w:szCs w:val="24"/>
              </w:rPr>
            </w:pPr>
            <w:r>
              <w:rPr>
                <w:rFonts w:ascii="宋体" w:hAnsi="宋体" w:cs="宋体"/>
                <w:szCs w:val="24"/>
              </w:rPr>
              <w:t>甲国货币汇率下降</w:t>
            </w:r>
          </w:p>
        </w:tc>
      </w:tr>
    </w:tbl>
    <w:p>
      <w:pPr>
        <w:spacing w:line="360" w:lineRule="auto"/>
        <w:ind w:firstLine="420" w:firstLineChars="200"/>
        <w:jc w:val="left"/>
        <w:textAlignment w:val="center"/>
      </w:pPr>
    </w:p>
    <w:p>
      <w:pPr>
        <w:tabs>
          <w:tab w:val="left" w:pos="2436"/>
          <w:tab w:val="left" w:pos="4873"/>
          <w:tab w:val="left" w:pos="7309"/>
        </w:tabs>
        <w:spacing w:line="360" w:lineRule="auto"/>
        <w:ind w:firstLine="420" w:firstLineChars="200"/>
        <w:jc w:val="left"/>
        <w:textAlignment w:val="center"/>
        <w:rPr>
          <w:rFonts w:ascii="宋体" w:hAnsi="宋体" w:cs="宋体"/>
          <w:color w:val="000000"/>
        </w:rPr>
      </w:pPr>
      <w:r>
        <w:rPr>
          <w:rFonts w:hint="eastAsia"/>
        </w:rPr>
        <w:t>A．</w:t>
      </w:r>
      <w:r>
        <w:rPr>
          <w:rFonts w:ascii="宋体" w:hAnsi="宋体" w:cs="宋体"/>
        </w:rPr>
        <w:t>①③</w:t>
      </w:r>
      <w:r>
        <w:rPr>
          <w:rFonts w:hint="eastAsia"/>
        </w:rPr>
        <w:tab/>
      </w:r>
      <w:r>
        <w:rPr>
          <w:rFonts w:hint="eastAsia"/>
        </w:rPr>
        <w:t>B．</w:t>
      </w:r>
      <w:r>
        <w:rPr>
          <w:rFonts w:ascii="宋体" w:hAnsi="宋体" w:cs="宋体"/>
        </w:rPr>
        <w:t>①④</w:t>
      </w:r>
      <w:r>
        <w:rPr>
          <w:rFonts w:hint="eastAsia"/>
        </w:rPr>
        <w:tab/>
      </w:r>
      <w:r>
        <w:rPr>
          <w:rFonts w:hint="eastAsia"/>
        </w:rPr>
        <w:t>C．</w:t>
      </w:r>
      <w:r>
        <w:rPr>
          <w:rFonts w:ascii="宋体" w:hAnsi="宋体" w:cs="宋体"/>
        </w:rPr>
        <w:t>②③</w:t>
      </w:r>
      <w:r>
        <w:rPr>
          <w:rFonts w:hint="eastAsia"/>
        </w:rPr>
        <w:tab/>
      </w:r>
      <w:r>
        <w:rPr>
          <w:rFonts w:hint="eastAsia"/>
        </w:rPr>
        <w:t>D．</w:t>
      </w:r>
      <w:r>
        <w:rPr>
          <w:rFonts w:ascii="宋体" w:hAnsi="宋体" w:cs="宋体"/>
        </w:rPr>
        <w:t>②④</w:t>
      </w:r>
    </w:p>
    <w:p>
      <w:pPr>
        <w:spacing w:line="360" w:lineRule="auto"/>
        <w:ind w:firstLine="420" w:firstLineChars="200"/>
        <w:textAlignment w:val="center"/>
        <w:rPr>
          <w:color w:val="FF0000"/>
        </w:rPr>
      </w:pPr>
      <w:r>
        <w:rPr>
          <w:color w:val="FF0000"/>
        </w:rPr>
        <w:t>【答案】B</w:t>
      </w:r>
    </w:p>
    <w:p>
      <w:pPr>
        <w:spacing w:line="360" w:lineRule="auto"/>
        <w:ind w:firstLine="420" w:firstLineChars="200"/>
        <w:textAlignment w:val="center"/>
        <w:rPr>
          <w:color w:val="FF0000"/>
        </w:rPr>
        <w:sectPr>
          <w:headerReference w:type="default" r:id="rId74"/>
          <w:footerReference w:type="even" r:id="rId75"/>
          <w:footerReference w:type="default" r:id="rId76"/>
          <w:footerReference w:type="first" r:id="rId77"/>
          <w:type w:val="nextPage"/>
          <w:pgSz w:w="11906" w:h="16838"/>
          <w:pgMar w:top="1417" w:right="1077" w:bottom="1417" w:left="1077" w:header="850" w:footer="992" w:gutter="0"/>
          <w:pgNumType w:start="15"/>
          <w:cols w:num="1" w:space="708"/>
          <w:titlePg w:val="0"/>
          <w:docGrid w:type="lines" w:linePitch="318" w:charSpace="409"/>
        </w:sectPr>
      </w:pPr>
      <w:r>
        <w:rPr>
          <w:color w:val="FF0000"/>
        </w:rPr>
        <w:t>【解析】</w:t>
      </w:r>
      <w:r>
        <w:rPr>
          <w:rFonts w:ascii="宋体" w:hAnsi="宋体" w:cs="宋体"/>
          <w:color w:val="FF0000"/>
        </w:rPr>
        <w:t>①②：甲国发生通货膨胀，物价上涨，进口增加，美元需求增加，①正确，②错误。</w:t>
      </w:r>
    </w:p>
    <w:p>
      <w:pPr>
        <w:spacing w:line="360" w:lineRule="auto"/>
        <w:ind w:firstLine="420" w:firstLineChars="200"/>
        <w:jc w:val="left"/>
        <w:textAlignment w:val="center"/>
        <w:rPr>
          <w:rFonts w:ascii="宋体" w:hAnsi="宋体" w:cs="宋体"/>
          <w:color w:val="FF0000"/>
        </w:rPr>
      </w:pPr>
      <w:r>
        <w:rPr>
          <w:rFonts w:ascii="宋体" w:hAnsi="宋体" w:cs="宋体"/>
          <w:color w:val="FF0000"/>
        </w:rPr>
        <w:t>③④：甲国发生通货膨胀，物价上涨，出口商品减少，美元供给减少，④正确，③错误。</w:t>
      </w:r>
    </w:p>
    <w:p>
      <w:pPr>
        <w:spacing w:line="360" w:lineRule="auto"/>
        <w:ind w:firstLine="420" w:firstLineChars="200"/>
        <w:jc w:val="left"/>
        <w:textAlignment w:val="center"/>
        <w:rPr>
          <w:rFonts w:ascii="宋体" w:hAnsi="宋体" w:cs="宋体"/>
          <w:color w:val="FF0000"/>
        </w:rPr>
      </w:pPr>
      <w:r>
        <w:rPr>
          <w:rFonts w:ascii="宋体" w:hAnsi="宋体" w:cs="宋体"/>
          <w:color w:val="FF0000"/>
        </w:rPr>
        <w:t>故本题选B。</w:t>
      </w:r>
    </w:p>
    <w:p>
      <w:pPr>
        <w:spacing w:line="360" w:lineRule="auto"/>
        <w:ind w:firstLine="420" w:firstLineChars="200"/>
        <w:jc w:val="left"/>
        <w:textAlignment w:val="center"/>
        <w:rPr>
          <w:rFonts w:ascii="宋体" w:hAnsi="宋体" w:cs="宋体"/>
          <w:color w:val="000000"/>
        </w:rPr>
      </w:pPr>
      <w:r>
        <w:t>3．</w:t>
      </w:r>
      <w:r>
        <w:rPr>
          <w:rFonts w:hint="eastAsia"/>
        </w:rPr>
        <w:t>（2</w:t>
      </w:r>
      <w:r>
        <w:t>021浙江卷</w:t>
      </w:r>
      <w:r>
        <w:rPr>
          <w:rFonts w:hint="eastAsia"/>
        </w:rPr>
        <w:t>）</w:t>
      </w:r>
      <w:r>
        <w:rPr>
          <w:rFonts w:ascii="宋体" w:hAnsi="宋体" w:cs="宋体"/>
        </w:rPr>
        <w:t>下表系</w:t>
      </w:r>
      <w:r>
        <w:rPr>
          <w:rFonts w:ascii="宋体" w:hAnsi="宋体" w:cs="宋体"/>
          <w:color w:val="000000"/>
        </w:rPr>
        <w:t>2019、2020年我国猪肉产量，生猪存栏数据</w:t>
      </w:r>
    </w:p>
    <w:tbl>
      <w:tblPr>
        <w:tblStyle w:val="TableNormal"/>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725"/>
        <w:gridCol w:w="1725"/>
        <w:gridCol w:w="1725"/>
        <w:gridCol w:w="1725"/>
        <w:gridCol w:w="1740"/>
      </w:tblGrid>
      <w:tr>
        <w:tblPrEx>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trHeight w:val="405"/>
          <w:jc w:val="center"/>
        </w:trPr>
        <w:tc>
          <w:tcPr>
            <w:tcW w:w="1725" w:type="dxa"/>
            <w:tcBorders>
              <w:top w:val="single" w:sz="6" w:space="0" w:color="000000"/>
              <w:left w:val="single" w:sz="6" w:space="0" w:color="000000"/>
              <w:bottom w:val="nil"/>
              <w:right w:val="nil"/>
            </w:tcBorders>
            <w:tcMar>
              <w:top w:w="75" w:type="dxa"/>
              <w:bottom w:w="75" w:type="dxa"/>
            </w:tcMar>
            <w:vAlign w:val="center"/>
          </w:tcPr>
          <w:p>
            <w:pPr>
              <w:spacing w:line="360" w:lineRule="auto"/>
              <w:ind w:firstLine="200"/>
              <w:jc w:val="left"/>
              <w:textAlignment w:val="center"/>
              <w:rPr>
                <w:rFonts w:ascii="Time New Romans" w:hAnsi="Time New Romans" w:cs="宋体"/>
                <w:color w:val="000000"/>
                <w:szCs w:val="24"/>
              </w:rPr>
            </w:pPr>
          </w:p>
        </w:tc>
        <w:tc>
          <w:tcPr>
            <w:tcW w:w="1725" w:type="dxa"/>
            <w:tcBorders>
              <w:top w:val="single" w:sz="6" w:space="0" w:color="000000"/>
              <w:left w:val="single" w:sz="6" w:space="0" w:color="000000"/>
              <w:bottom w:val="nil"/>
              <w:right w:val="nil"/>
            </w:tcBorders>
            <w:tcMar>
              <w:top w:w="75" w:type="dxa"/>
              <w:bottom w:w="75" w:type="dxa"/>
            </w:tcMar>
            <w:vAlign w:val="bottom"/>
          </w:tcPr>
          <w:p>
            <w:pPr>
              <w:spacing w:line="360" w:lineRule="auto"/>
              <w:ind w:firstLine="200"/>
              <w:jc w:val="center"/>
              <w:textAlignment w:val="center"/>
              <w:rPr>
                <w:rFonts w:ascii="宋体" w:hAnsi="宋体" w:cs="宋体"/>
                <w:color w:val="000000"/>
                <w:szCs w:val="24"/>
              </w:rPr>
            </w:pPr>
            <w:r>
              <w:rPr>
                <w:rFonts w:ascii="宋体" w:hAnsi="宋体" w:cs="宋体"/>
                <w:color w:val="000000"/>
                <w:szCs w:val="24"/>
              </w:rPr>
              <w:t>猪肉产量</w:t>
            </w:r>
          </w:p>
        </w:tc>
        <w:tc>
          <w:tcPr>
            <w:tcW w:w="1725" w:type="dxa"/>
            <w:tcBorders>
              <w:top w:val="single" w:sz="6" w:space="0" w:color="000000"/>
              <w:left w:val="single" w:sz="6" w:space="0" w:color="000000"/>
              <w:bottom w:val="nil"/>
              <w:right w:val="nil"/>
            </w:tcBorders>
            <w:tcMar>
              <w:top w:w="75" w:type="dxa"/>
              <w:bottom w:w="75" w:type="dxa"/>
            </w:tcMar>
            <w:vAlign w:val="bottom"/>
          </w:tcPr>
          <w:p>
            <w:pPr>
              <w:spacing w:line="360" w:lineRule="auto"/>
              <w:ind w:firstLine="200"/>
              <w:jc w:val="center"/>
              <w:textAlignment w:val="center"/>
              <w:rPr>
                <w:rFonts w:ascii="宋体" w:hAnsi="宋体" w:cs="宋体"/>
                <w:color w:val="000000"/>
                <w:szCs w:val="24"/>
              </w:rPr>
            </w:pPr>
            <w:r>
              <w:rPr>
                <w:rFonts w:ascii="宋体" w:hAnsi="宋体" w:cs="宋体"/>
                <w:color w:val="000000"/>
                <w:szCs w:val="24"/>
              </w:rPr>
              <w:t>同比增长</w:t>
            </w:r>
          </w:p>
        </w:tc>
        <w:tc>
          <w:tcPr>
            <w:tcW w:w="1725" w:type="dxa"/>
            <w:tcBorders>
              <w:top w:val="single" w:sz="6" w:space="0" w:color="000000"/>
              <w:left w:val="single" w:sz="6" w:space="0" w:color="000000"/>
              <w:bottom w:val="nil"/>
              <w:right w:val="nil"/>
            </w:tcBorders>
            <w:tcMar>
              <w:top w:w="75" w:type="dxa"/>
              <w:bottom w:w="75" w:type="dxa"/>
            </w:tcMar>
            <w:vAlign w:val="bottom"/>
          </w:tcPr>
          <w:p>
            <w:pPr>
              <w:spacing w:line="360" w:lineRule="auto"/>
              <w:ind w:firstLine="200"/>
              <w:jc w:val="center"/>
              <w:textAlignment w:val="center"/>
              <w:rPr>
                <w:rFonts w:ascii="宋体" w:hAnsi="宋体" w:cs="宋体"/>
                <w:color w:val="000000"/>
                <w:szCs w:val="24"/>
              </w:rPr>
            </w:pPr>
            <w:r>
              <w:rPr>
                <w:rFonts w:ascii="宋体" w:hAnsi="宋体" w:cs="宋体"/>
                <w:color w:val="000000"/>
                <w:szCs w:val="24"/>
              </w:rPr>
              <w:t>年末生猪存栏</w:t>
            </w:r>
          </w:p>
        </w:tc>
        <w:tc>
          <w:tcPr>
            <w:tcW w:w="1740" w:type="dxa"/>
            <w:tcBorders>
              <w:top w:val="single" w:sz="6" w:space="0" w:color="000000"/>
              <w:left w:val="single" w:sz="6" w:space="0" w:color="000000"/>
              <w:bottom w:val="nil"/>
              <w:right w:val="single" w:sz="6" w:space="0" w:color="000000"/>
            </w:tcBorders>
            <w:tcMar>
              <w:top w:w="75" w:type="dxa"/>
              <w:bottom w:w="75" w:type="dxa"/>
            </w:tcMar>
            <w:vAlign w:val="bottom"/>
          </w:tcPr>
          <w:p>
            <w:pPr>
              <w:spacing w:line="360" w:lineRule="auto"/>
              <w:ind w:firstLine="200"/>
              <w:jc w:val="center"/>
              <w:textAlignment w:val="center"/>
              <w:rPr>
                <w:rFonts w:ascii="宋体" w:hAnsi="宋体" w:cs="宋体"/>
                <w:color w:val="000000"/>
                <w:szCs w:val="24"/>
              </w:rPr>
            </w:pPr>
            <w:r>
              <w:rPr>
                <w:rFonts w:ascii="宋体" w:hAnsi="宋体" w:cs="宋体"/>
                <w:color w:val="000000"/>
                <w:szCs w:val="24"/>
              </w:rPr>
              <w:t>同比增长</w:t>
            </w:r>
          </w:p>
        </w:tc>
      </w:tr>
      <w:tr>
        <w:tblPrEx>
          <w:tblW w:w="8640" w:type="dxa"/>
          <w:jc w:val="center"/>
          <w:tblCellMar>
            <w:top w:w="120" w:type="dxa"/>
            <w:left w:w="120" w:type="dxa"/>
            <w:bottom w:w="120" w:type="dxa"/>
            <w:right w:w="120" w:type="dxa"/>
          </w:tblCellMar>
        </w:tblPrEx>
        <w:trPr>
          <w:trHeight w:val="330"/>
          <w:jc w:val="center"/>
        </w:trPr>
        <w:tc>
          <w:tcPr>
            <w:tcW w:w="1725" w:type="dxa"/>
            <w:tcBorders>
              <w:top w:val="single" w:sz="6" w:space="0" w:color="000000"/>
              <w:left w:val="single" w:sz="6" w:space="0" w:color="000000"/>
              <w:bottom w:val="nil"/>
              <w:right w:val="nil"/>
            </w:tcBorders>
            <w:tcMar>
              <w:top w:w="75" w:type="dxa"/>
              <w:bottom w:w="75" w:type="dxa"/>
            </w:tcMar>
            <w:vAlign w:val="bottom"/>
          </w:tcPr>
          <w:p>
            <w:pPr>
              <w:spacing w:line="360" w:lineRule="auto"/>
              <w:ind w:firstLine="200"/>
              <w:jc w:val="center"/>
              <w:textAlignment w:val="center"/>
              <w:rPr>
                <w:rFonts w:ascii="宋体" w:hAnsi="宋体" w:cs="宋体"/>
                <w:color w:val="000000"/>
                <w:szCs w:val="24"/>
              </w:rPr>
            </w:pPr>
            <w:r>
              <w:rPr>
                <w:rFonts w:ascii="宋体" w:hAnsi="宋体" w:cs="宋体"/>
                <w:color w:val="000000"/>
                <w:szCs w:val="24"/>
              </w:rPr>
              <w:t>2019年</w:t>
            </w:r>
          </w:p>
        </w:tc>
        <w:tc>
          <w:tcPr>
            <w:tcW w:w="1725" w:type="dxa"/>
            <w:tcBorders>
              <w:top w:val="single" w:sz="6" w:space="0" w:color="000000"/>
              <w:left w:val="single" w:sz="6" w:space="0" w:color="000000"/>
              <w:bottom w:val="nil"/>
              <w:right w:val="nil"/>
            </w:tcBorders>
            <w:tcMar>
              <w:top w:w="75" w:type="dxa"/>
              <w:bottom w:w="75" w:type="dxa"/>
            </w:tcMar>
            <w:vAlign w:val="bottom"/>
          </w:tcPr>
          <w:p>
            <w:pPr>
              <w:spacing w:line="360" w:lineRule="auto"/>
              <w:ind w:firstLine="200"/>
              <w:jc w:val="center"/>
              <w:textAlignment w:val="center"/>
              <w:rPr>
                <w:rFonts w:ascii="宋体" w:hAnsi="宋体" w:cs="宋体"/>
                <w:color w:val="000000"/>
                <w:szCs w:val="24"/>
              </w:rPr>
            </w:pPr>
            <w:r>
              <w:rPr>
                <w:rFonts w:ascii="宋体" w:hAnsi="宋体" w:cs="宋体"/>
                <w:color w:val="000000"/>
                <w:szCs w:val="24"/>
              </w:rPr>
              <w:t>4255万吨</w:t>
            </w:r>
          </w:p>
        </w:tc>
        <w:tc>
          <w:tcPr>
            <w:tcW w:w="1725" w:type="dxa"/>
            <w:tcBorders>
              <w:top w:val="single" w:sz="6" w:space="0" w:color="000000"/>
              <w:left w:val="single" w:sz="6" w:space="0" w:color="000000"/>
              <w:bottom w:val="nil"/>
              <w:right w:val="nil"/>
            </w:tcBorders>
            <w:tcMar>
              <w:top w:w="75" w:type="dxa"/>
              <w:bottom w:w="75" w:type="dxa"/>
            </w:tcMar>
            <w:vAlign w:val="bottom"/>
          </w:tcPr>
          <w:p>
            <w:pPr>
              <w:spacing w:line="360" w:lineRule="auto"/>
              <w:ind w:firstLine="200"/>
              <w:jc w:val="center"/>
              <w:textAlignment w:val="center"/>
              <w:rPr>
                <w:rFonts w:ascii="宋体" w:hAnsi="宋体" w:cs="宋体"/>
                <w:color w:val="000000"/>
                <w:szCs w:val="24"/>
              </w:rPr>
            </w:pPr>
            <w:r>
              <w:rPr>
                <w:rFonts w:ascii="宋体" w:hAnsi="宋体" w:cs="宋体"/>
                <w:color w:val="000000"/>
                <w:szCs w:val="24"/>
              </w:rPr>
              <w:t>-21．3%</w:t>
            </w:r>
          </w:p>
        </w:tc>
        <w:tc>
          <w:tcPr>
            <w:tcW w:w="1725" w:type="dxa"/>
            <w:tcBorders>
              <w:top w:val="single" w:sz="6" w:space="0" w:color="000000"/>
              <w:left w:val="single" w:sz="6" w:space="0" w:color="000000"/>
              <w:bottom w:val="nil"/>
              <w:right w:val="nil"/>
            </w:tcBorders>
            <w:tcMar>
              <w:top w:w="75" w:type="dxa"/>
              <w:bottom w:w="75" w:type="dxa"/>
            </w:tcMar>
            <w:vAlign w:val="bottom"/>
          </w:tcPr>
          <w:p>
            <w:pPr>
              <w:spacing w:line="360" w:lineRule="auto"/>
              <w:ind w:firstLine="200"/>
              <w:jc w:val="center"/>
              <w:textAlignment w:val="center"/>
              <w:rPr>
                <w:rFonts w:ascii="宋体" w:hAnsi="宋体" w:cs="宋体"/>
                <w:color w:val="000000"/>
                <w:szCs w:val="24"/>
              </w:rPr>
            </w:pPr>
            <w:r>
              <w:rPr>
                <w:rFonts w:ascii="宋体" w:hAnsi="宋体" w:cs="宋体"/>
                <w:color w:val="000000"/>
                <w:szCs w:val="24"/>
              </w:rPr>
              <w:t>31041万头</w:t>
            </w:r>
          </w:p>
        </w:tc>
        <w:tc>
          <w:tcPr>
            <w:tcW w:w="1740" w:type="dxa"/>
            <w:tcBorders>
              <w:top w:val="single" w:sz="6" w:space="0" w:color="000000"/>
              <w:left w:val="single" w:sz="6" w:space="0" w:color="000000"/>
              <w:bottom w:val="nil"/>
              <w:right w:val="single" w:sz="6" w:space="0" w:color="000000"/>
            </w:tcBorders>
            <w:tcMar>
              <w:top w:w="75" w:type="dxa"/>
              <w:bottom w:w="75" w:type="dxa"/>
            </w:tcMar>
            <w:vAlign w:val="bottom"/>
          </w:tcPr>
          <w:p>
            <w:pPr>
              <w:spacing w:line="360" w:lineRule="auto"/>
              <w:ind w:firstLine="200"/>
              <w:jc w:val="center"/>
              <w:textAlignment w:val="center"/>
              <w:rPr>
                <w:rFonts w:ascii="宋体" w:hAnsi="宋体" w:cs="宋体"/>
                <w:color w:val="000000"/>
                <w:szCs w:val="24"/>
              </w:rPr>
            </w:pPr>
            <w:r>
              <w:rPr>
                <w:rFonts w:ascii="宋体" w:hAnsi="宋体" w:cs="宋体"/>
                <w:color w:val="000000"/>
                <w:szCs w:val="24"/>
              </w:rPr>
              <w:t>-27．5%</w:t>
            </w:r>
          </w:p>
        </w:tc>
      </w:tr>
      <w:tr>
        <w:tblPrEx>
          <w:tblW w:w="8640" w:type="dxa"/>
          <w:jc w:val="center"/>
          <w:tblCellMar>
            <w:top w:w="120" w:type="dxa"/>
            <w:left w:w="120" w:type="dxa"/>
            <w:bottom w:w="120" w:type="dxa"/>
            <w:right w:w="120" w:type="dxa"/>
          </w:tblCellMar>
        </w:tblPrEx>
        <w:trPr>
          <w:trHeight w:val="345"/>
          <w:jc w:val="center"/>
        </w:trPr>
        <w:tc>
          <w:tcPr>
            <w:tcW w:w="1725" w:type="dxa"/>
            <w:tcBorders>
              <w:top w:val="single" w:sz="6" w:space="0" w:color="000000"/>
              <w:left w:val="single" w:sz="6" w:space="0" w:color="000000"/>
              <w:bottom w:val="single" w:sz="6" w:space="0" w:color="000000"/>
              <w:right w:val="nil"/>
            </w:tcBorders>
            <w:tcMar>
              <w:top w:w="75" w:type="dxa"/>
              <w:bottom w:w="75" w:type="dxa"/>
            </w:tcMar>
            <w:vAlign w:val="bottom"/>
          </w:tcPr>
          <w:p>
            <w:pPr>
              <w:spacing w:line="360" w:lineRule="auto"/>
              <w:ind w:firstLine="200"/>
              <w:jc w:val="center"/>
              <w:textAlignment w:val="center"/>
              <w:rPr>
                <w:rFonts w:ascii="宋体" w:hAnsi="宋体" w:cs="宋体"/>
                <w:color w:val="000000"/>
                <w:szCs w:val="24"/>
              </w:rPr>
            </w:pPr>
            <w:r>
              <w:rPr>
                <w:rFonts w:ascii="宋体" w:hAnsi="宋体" w:cs="宋体"/>
                <w:color w:val="000000"/>
                <w:szCs w:val="24"/>
              </w:rPr>
              <w:t>2020年</w:t>
            </w:r>
          </w:p>
        </w:tc>
        <w:tc>
          <w:tcPr>
            <w:tcW w:w="1725" w:type="dxa"/>
            <w:tcBorders>
              <w:top w:val="single" w:sz="6" w:space="0" w:color="000000"/>
              <w:left w:val="single" w:sz="6" w:space="0" w:color="000000"/>
              <w:bottom w:val="single" w:sz="6" w:space="0" w:color="000000"/>
              <w:right w:val="nil"/>
            </w:tcBorders>
            <w:tcMar>
              <w:top w:w="75" w:type="dxa"/>
              <w:bottom w:w="75" w:type="dxa"/>
            </w:tcMar>
            <w:vAlign w:val="bottom"/>
          </w:tcPr>
          <w:p>
            <w:pPr>
              <w:spacing w:line="360" w:lineRule="auto"/>
              <w:ind w:firstLine="200"/>
              <w:jc w:val="left"/>
              <w:textAlignment w:val="center"/>
              <w:rPr>
                <w:rFonts w:ascii="宋体" w:hAnsi="宋体" w:cs="宋体"/>
                <w:color w:val="000000"/>
                <w:szCs w:val="24"/>
              </w:rPr>
            </w:pPr>
            <w:r>
              <w:rPr>
                <w:rFonts w:ascii="宋体" w:hAnsi="宋体" w:cs="宋体"/>
                <w:color w:val="000000"/>
                <w:szCs w:val="24"/>
              </w:rPr>
              <w:t>4113万吨</w:t>
            </w:r>
          </w:p>
        </w:tc>
        <w:tc>
          <w:tcPr>
            <w:tcW w:w="1725" w:type="dxa"/>
            <w:tcBorders>
              <w:top w:val="single" w:sz="6" w:space="0" w:color="000000"/>
              <w:left w:val="single" w:sz="6" w:space="0" w:color="000000"/>
              <w:bottom w:val="single" w:sz="6" w:space="0" w:color="000000"/>
              <w:right w:val="nil"/>
            </w:tcBorders>
            <w:tcMar>
              <w:top w:w="75" w:type="dxa"/>
              <w:bottom w:w="75" w:type="dxa"/>
            </w:tcMar>
            <w:vAlign w:val="bottom"/>
          </w:tcPr>
          <w:p>
            <w:pPr>
              <w:spacing w:line="360" w:lineRule="auto"/>
              <w:ind w:firstLine="200"/>
              <w:jc w:val="center"/>
              <w:textAlignment w:val="center"/>
              <w:rPr>
                <w:rFonts w:ascii="宋体" w:hAnsi="宋体" w:cs="宋体"/>
                <w:color w:val="000000"/>
                <w:szCs w:val="24"/>
              </w:rPr>
            </w:pPr>
            <w:r>
              <w:rPr>
                <w:rFonts w:ascii="宋体" w:hAnsi="宋体" w:cs="宋体"/>
                <w:color w:val="000000"/>
                <w:szCs w:val="24"/>
              </w:rPr>
              <w:t>-3．3%</w:t>
            </w:r>
          </w:p>
        </w:tc>
        <w:tc>
          <w:tcPr>
            <w:tcW w:w="1725" w:type="dxa"/>
            <w:tcBorders>
              <w:top w:val="single" w:sz="6" w:space="0" w:color="000000"/>
              <w:left w:val="single" w:sz="6" w:space="0" w:color="000000"/>
              <w:bottom w:val="single" w:sz="6" w:space="0" w:color="000000"/>
              <w:right w:val="nil"/>
            </w:tcBorders>
            <w:tcMar>
              <w:top w:w="75" w:type="dxa"/>
              <w:bottom w:w="75" w:type="dxa"/>
            </w:tcMar>
            <w:vAlign w:val="bottom"/>
          </w:tcPr>
          <w:p>
            <w:pPr>
              <w:spacing w:line="360" w:lineRule="auto"/>
              <w:ind w:firstLine="200"/>
              <w:jc w:val="center"/>
              <w:textAlignment w:val="center"/>
              <w:rPr>
                <w:rFonts w:ascii="宋体" w:hAnsi="宋体" w:cs="宋体"/>
                <w:color w:val="000000"/>
                <w:szCs w:val="24"/>
              </w:rPr>
            </w:pPr>
            <w:r>
              <w:rPr>
                <w:rFonts w:ascii="宋体" w:hAnsi="宋体" w:cs="宋体"/>
                <w:color w:val="000000"/>
                <w:szCs w:val="24"/>
              </w:rPr>
              <w:t>40650万头</w:t>
            </w:r>
          </w:p>
        </w:tc>
        <w:tc>
          <w:tcPr>
            <w:tcW w:w="1740" w:type="dxa"/>
            <w:tcBorders>
              <w:top w:val="single" w:sz="6" w:space="0" w:color="000000"/>
              <w:left w:val="single" w:sz="6" w:space="0" w:color="000000"/>
              <w:bottom w:val="single" w:sz="6" w:space="0" w:color="000000"/>
              <w:right w:val="single" w:sz="6" w:space="0" w:color="000000"/>
            </w:tcBorders>
            <w:tcMar>
              <w:top w:w="75" w:type="dxa"/>
              <w:bottom w:w="75" w:type="dxa"/>
            </w:tcMar>
            <w:vAlign w:val="bottom"/>
          </w:tcPr>
          <w:p>
            <w:pPr>
              <w:spacing w:line="360" w:lineRule="auto"/>
              <w:ind w:firstLine="200"/>
              <w:jc w:val="center"/>
              <w:textAlignment w:val="center"/>
              <w:rPr>
                <w:rFonts w:ascii="宋体" w:hAnsi="宋体" w:cs="宋体"/>
                <w:color w:val="000000"/>
                <w:szCs w:val="24"/>
              </w:rPr>
            </w:pPr>
            <w:r>
              <w:rPr>
                <w:rFonts w:ascii="宋体" w:hAnsi="宋体" w:cs="宋体"/>
                <w:color w:val="000000"/>
                <w:szCs w:val="24"/>
              </w:rPr>
              <w:t>31．0%</w:t>
            </w:r>
          </w:p>
        </w:tc>
      </w:tr>
    </w:tbl>
    <w:p>
      <w:pPr>
        <w:spacing w:line="360" w:lineRule="auto"/>
        <w:ind w:firstLine="420" w:firstLineChars="200"/>
        <w:jc w:val="left"/>
        <w:textAlignment w:val="center"/>
        <w:rPr>
          <w:rFonts w:ascii="宋体" w:hAnsi="宋体" w:cs="宋体"/>
          <w:color w:val="000000"/>
        </w:rPr>
      </w:pPr>
      <w:r>
        <w:rPr>
          <w:rFonts w:ascii="宋体" w:hAnsi="宋体" w:cs="宋体"/>
          <w:color w:val="000000"/>
        </w:rPr>
        <w:t>注：“同比”是指与上一年同一时间相比。</w:t>
      </w:r>
    </w:p>
    <w:p>
      <w:pPr>
        <w:spacing w:line="360" w:lineRule="auto"/>
        <w:ind w:firstLine="420" w:firstLineChars="200"/>
        <w:jc w:val="left"/>
        <w:textAlignment w:val="center"/>
        <w:rPr>
          <w:rFonts w:ascii="宋体" w:hAnsi="宋体" w:cs="宋体"/>
          <w:color w:val="000000"/>
        </w:rPr>
      </w:pPr>
      <w:r>
        <w:rPr>
          <w:rFonts w:ascii="宋体" w:hAnsi="宋体" w:cs="宋体"/>
          <w:color w:val="000000"/>
        </w:rPr>
        <w:t>资料来源：《中华人民共和国2019年国民经济和社会发展统计公报》《中华人民共和国2020年国民经济和社会发展统计公报》</w:t>
      </w:r>
    </w:p>
    <w:p>
      <w:pPr>
        <w:spacing w:line="360" w:lineRule="auto"/>
        <w:ind w:firstLine="420" w:firstLineChars="200"/>
        <w:jc w:val="left"/>
        <w:textAlignment w:val="center"/>
        <w:rPr>
          <w:rFonts w:ascii="宋体" w:hAnsi="宋体" w:cs="宋体"/>
          <w:color w:val="000000"/>
        </w:rPr>
      </w:pPr>
      <w:r>
        <w:rPr>
          <w:rFonts w:ascii="宋体" w:hAnsi="宋体" w:cs="宋体"/>
          <w:color w:val="000000"/>
        </w:rPr>
        <w:t>不考虑其他因素，从上表可以推知(     )</w:t>
      </w:r>
    </w:p>
    <w:p>
      <w:pPr>
        <w:spacing w:line="360" w:lineRule="auto"/>
        <w:ind w:firstLine="420" w:firstLineChars="200"/>
        <w:jc w:val="left"/>
        <w:textAlignment w:val="center"/>
        <w:rPr>
          <w:rFonts w:ascii="宋体" w:hAnsi="宋体" w:cs="宋体"/>
          <w:color w:val="000000"/>
        </w:rPr>
      </w:pPr>
      <w:r>
        <w:rPr>
          <w:rFonts w:ascii="宋体" w:hAnsi="宋体" w:cs="宋体"/>
          <w:color w:val="000000"/>
        </w:rPr>
        <w:t>①2019年，猪肉价格有较大幅度提高</w:t>
      </w:r>
    </w:p>
    <w:p>
      <w:pPr>
        <w:spacing w:line="360" w:lineRule="auto"/>
        <w:ind w:firstLine="420" w:firstLineChars="200"/>
        <w:jc w:val="left"/>
        <w:textAlignment w:val="center"/>
        <w:rPr>
          <w:rFonts w:ascii="宋体" w:hAnsi="宋体" w:cs="宋体"/>
          <w:color w:val="000000"/>
        </w:rPr>
      </w:pPr>
      <w:r>
        <w:rPr>
          <w:rFonts w:ascii="宋体" w:hAnsi="宋体" w:cs="宋体"/>
          <w:color w:val="000000"/>
        </w:rPr>
        <w:t>②2019年，牛肉需求量有所降低</w:t>
      </w:r>
    </w:p>
    <w:p>
      <w:pPr>
        <w:spacing w:line="360" w:lineRule="auto"/>
        <w:ind w:firstLine="420" w:firstLineChars="200"/>
        <w:jc w:val="left"/>
        <w:textAlignment w:val="center"/>
        <w:rPr>
          <w:rFonts w:ascii="宋体" w:hAnsi="宋体" w:cs="宋体"/>
          <w:color w:val="000000"/>
        </w:rPr>
      </w:pPr>
      <w:r>
        <w:rPr>
          <w:rFonts w:ascii="宋体" w:hAnsi="宋体" w:cs="宋体"/>
          <w:color w:val="000000"/>
        </w:rPr>
        <w:t>③2020年，猪肉饲料生产厂家的利润略有下降</w:t>
      </w:r>
    </w:p>
    <w:p>
      <w:pPr>
        <w:spacing w:line="360" w:lineRule="auto"/>
        <w:ind w:firstLine="420" w:firstLineChars="200"/>
        <w:jc w:val="left"/>
        <w:textAlignment w:val="center"/>
        <w:rPr>
          <w:rFonts w:ascii="宋体" w:hAnsi="宋体" w:cs="宋体"/>
          <w:color w:val="000000"/>
        </w:rPr>
      </w:pPr>
      <w:r>
        <w:rPr>
          <w:rFonts w:ascii="宋体" w:hAnsi="宋体" w:cs="宋体"/>
          <w:color w:val="000000"/>
        </w:rPr>
        <w:t>④2021年，猪肉价格有望下降</w:t>
      </w:r>
    </w:p>
    <w:p>
      <w:pPr>
        <w:tabs>
          <w:tab w:val="left" w:pos="2436"/>
          <w:tab w:val="left" w:pos="4873"/>
          <w:tab w:val="left" w:pos="7309"/>
        </w:tabs>
        <w:spacing w:line="360" w:lineRule="auto"/>
        <w:ind w:firstLine="420" w:firstLineChars="200"/>
        <w:jc w:val="left"/>
        <w:textAlignment w:val="center"/>
        <w:rPr>
          <w:rFonts w:ascii="宋体" w:hAnsi="宋体" w:cs="宋体"/>
          <w:color w:val="000000"/>
        </w:rPr>
      </w:pPr>
      <w:r>
        <w:rPr>
          <w:color w:val="000000"/>
        </w:rPr>
        <w:t>A．</w:t>
      </w:r>
      <w:r>
        <w:rPr>
          <w:rFonts w:ascii="宋体" w:hAnsi="宋体" w:cs="宋体"/>
          <w:color w:val="000000"/>
        </w:rPr>
        <w:t>①②</w:t>
      </w:r>
      <w:r>
        <w:rPr>
          <w:color w:val="000000"/>
        </w:rPr>
        <w:tab/>
      </w:r>
      <w:r>
        <w:rPr>
          <w:color w:val="000000"/>
        </w:rPr>
        <w:t>B．</w:t>
      </w:r>
      <w:r>
        <w:rPr>
          <w:rFonts w:ascii="宋体" w:hAnsi="宋体" w:cs="宋体"/>
          <w:color w:val="000000"/>
        </w:rPr>
        <w:t>②③</w:t>
      </w:r>
      <w:r>
        <w:rPr>
          <w:color w:val="000000"/>
        </w:rPr>
        <w:tab/>
      </w:r>
      <w:r>
        <w:rPr>
          <w:color w:val="000000"/>
        </w:rPr>
        <w:t>C．</w:t>
      </w:r>
      <w:r>
        <w:rPr>
          <w:rFonts w:ascii="宋体" w:hAnsi="宋体" w:cs="宋体"/>
          <w:color w:val="000000"/>
        </w:rPr>
        <w:t>①④</w:t>
      </w:r>
      <w:r>
        <w:rPr>
          <w:color w:val="000000"/>
        </w:rPr>
        <w:tab/>
      </w:r>
      <w:r>
        <w:rPr>
          <w:color w:val="000000"/>
        </w:rPr>
        <w:t>D．</w:t>
      </w:r>
      <w:r>
        <w:rPr>
          <w:rFonts w:ascii="宋体" w:hAnsi="宋体" w:cs="宋体"/>
          <w:color w:val="000000"/>
        </w:rPr>
        <w:t>③④</w:t>
      </w:r>
    </w:p>
    <w:p>
      <w:pPr>
        <w:spacing w:line="360" w:lineRule="auto"/>
        <w:ind w:firstLine="420" w:firstLineChars="200"/>
        <w:textAlignment w:val="center"/>
        <w:rPr>
          <w:color w:val="FF0000"/>
        </w:rPr>
      </w:pPr>
      <w:r>
        <w:rPr>
          <w:color w:val="FF0000"/>
        </w:rPr>
        <w:t>【答案】C</w:t>
      </w:r>
    </w:p>
    <w:p>
      <w:pPr>
        <w:spacing w:line="360" w:lineRule="auto"/>
        <w:ind w:firstLine="420" w:firstLineChars="200"/>
        <w:textAlignment w:val="center"/>
        <w:rPr>
          <w:color w:val="FF0000"/>
        </w:rPr>
      </w:pPr>
      <w:r>
        <w:rPr>
          <w:color w:val="FF0000"/>
        </w:rPr>
        <w:t>【解析】</w:t>
      </w:r>
      <w:r>
        <w:rPr>
          <w:rFonts w:ascii="宋体" w:hAnsi="宋体" w:cs="宋体" w:hint="eastAsia"/>
          <w:color w:val="FF0000"/>
        </w:rPr>
        <w:t>①</w:t>
      </w:r>
      <w:r>
        <w:rPr>
          <w:color w:val="FF0000"/>
        </w:rPr>
        <w:t>：供求影响价格，当供给小于需求时，卖方在交易上处于有利地位，商品价格有上升趋势。由表格可知，2019年猪肉产量同比呈现负增长，产量大幅下跌，供给减少，猪肉价格可能会大幅上升。故</w:t>
      </w:r>
      <w:r>
        <w:rPr>
          <w:rFonts w:ascii="宋体" w:hAnsi="宋体" w:cs="宋体" w:hint="eastAsia"/>
          <w:color w:val="FF0000"/>
        </w:rPr>
        <w:t>①</w:t>
      </w:r>
      <w:r>
        <w:rPr>
          <w:color w:val="FF0000"/>
        </w:rPr>
        <w:t>符合题意。</w:t>
      </w:r>
    </w:p>
    <w:p>
      <w:pPr>
        <w:spacing w:line="360" w:lineRule="auto"/>
        <w:ind w:firstLine="420" w:firstLineChars="200"/>
        <w:jc w:val="left"/>
        <w:textAlignment w:val="center"/>
        <w:rPr>
          <w:color w:val="FF0000"/>
        </w:rPr>
      </w:pPr>
      <w:r>
        <w:rPr>
          <w:rFonts w:ascii="宋体" w:hAnsi="宋体" w:cs="宋体" w:hint="eastAsia"/>
          <w:color w:val="FF0000"/>
        </w:rPr>
        <w:t>④</w:t>
      </w:r>
      <w:r>
        <w:rPr>
          <w:color w:val="FF0000"/>
        </w:rPr>
        <w:t>：供求影响价格，当供给大于需求时，买方在交易上处于有利地位，商品价格有下降趋势。由表格可知，2020年末生猪存栏同比呈现正增长，产量将增加，供给将增加，因此2021年猪肉价格有望下降。故</w:t>
      </w:r>
      <w:r>
        <w:rPr>
          <w:rFonts w:ascii="宋体" w:hAnsi="宋体" w:cs="宋体" w:hint="eastAsia"/>
          <w:color w:val="FF0000"/>
        </w:rPr>
        <w:t>④</w:t>
      </w:r>
      <w:r>
        <w:rPr>
          <w:color w:val="FF0000"/>
        </w:rPr>
        <w:t>符合题意。</w:t>
      </w:r>
      <w:r>
        <w:rPr>
          <w:color w:val="FF0000"/>
        </w:rPr>
        <w:br/>
      </w:r>
      <w:r>
        <w:rPr>
          <w:color w:val="FF0000"/>
        </w:rPr>
        <w:br/>
      </w:r>
    </w:p>
    <w:p>
      <w:pPr>
        <w:widowControl/>
        <w:spacing w:after="0" w:line="240" w:lineRule="auto"/>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78" w:history="1">
        <w:r>
          <w:rPr>
            <w:rFonts w:ascii="SimSun" w:eastAsia="SimSun" w:hAnsi="SimSun" w:cs="SimSun"/>
            <w:b/>
            <w:bCs/>
            <w:color w:val="0000EE"/>
            <w:kern w:val="0"/>
            <w:sz w:val="30"/>
            <w:szCs w:val="30"/>
            <w:u w:val="single" w:color="0000EE"/>
          </w:rPr>
          <w:t>https://d.book118.com/838003032027006042</w:t>
        </w:r>
      </w:hyperlink>
    </w:p>
    <w:p>
      <w:pPr>
        <w:spacing w:line="360" w:lineRule="auto"/>
        <w:ind w:firstLine="420" w:firstLineChars="200"/>
        <w:jc w:val="left"/>
        <w:textAlignment w:val="center"/>
        <w:rPr>
          <w:color w:val="FF0000"/>
        </w:rPr>
      </w:pPr>
    </w:p>
    <w:sectPr>
      <w:headerReference w:type="default" r:id="rId79"/>
      <w:footerReference w:type="even" r:id="rId80"/>
      <w:footerReference w:type="default" r:id="rId81"/>
      <w:footerReference w:type="first" r:id="rId82"/>
      <w:type w:val="nextPage"/>
      <w:pgSz w:w="11906" w:h="16838"/>
      <w:pgMar w:top="1417" w:right="1077" w:bottom="1417" w:left="1077" w:header="850" w:footer="992" w:gutter="0"/>
      <w:pgNumType w:start="16"/>
      <w:cols w:num="1" w:space="708"/>
      <w:titlePg w:val="0"/>
      <w:docGrid w:type="lines" w:linePitch="318"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ime New Romans">
    <w:altName w:val="Calibri"/>
    <w:panose1 w:val="00000000000000000000"/>
    <w:charset w:val="00"/>
    <w:family w:val="auto"/>
    <w:pitch w:val="default"/>
    <w:sig w:usb0="00000000" w:usb1="00000000" w:usb2="00000000" w:usb3="00000000" w:csb0="00040001" w:csb1="00000000"/>
  </w:font>
  <w:font w:name="Arial Unicode MS">
    <w:altName w:val="宋体"/>
    <w:panose1 w:val="020B0604020202020204"/>
    <w:charset w:val="86"/>
    <w:family w:val="auto"/>
    <w:pitch w:val="default"/>
    <w:sig w:usb0="00000000" w:usb1="00000000" w:usb2="0000003F" w:usb3="00000000" w:csb0="603F01FF" w:csb1="FFFF0000"/>
  </w:font>
  <w:font w:name="华文行楷">
    <w:panose1 w:val="02010800040101010101"/>
    <w:charset w:val="86"/>
    <w:family w:val="auto"/>
    <w:pitch w:val="default"/>
    <w:sig w:usb0="00000001" w:usb1="080F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imes New Roman'">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removePersonalInformation/>
  <w:displayBackgroundShape/>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2310"/>
  <w:drawingGridHorizontalSpacing w:val="106"/>
  <w:drawingGridVerticalSpacing w:val="159"/>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24408"/>
    <w:rsid w:val="00172A27"/>
    <w:rsid w:val="00181432"/>
    <w:rsid w:val="001877B0"/>
    <w:rsid w:val="001A5117"/>
    <w:rsid w:val="001C1077"/>
    <w:rsid w:val="001D6503"/>
    <w:rsid w:val="001E10F6"/>
    <w:rsid w:val="002042CF"/>
    <w:rsid w:val="002217E4"/>
    <w:rsid w:val="00230467"/>
    <w:rsid w:val="0025493F"/>
    <w:rsid w:val="00257692"/>
    <w:rsid w:val="002C458F"/>
    <w:rsid w:val="002E2D7D"/>
    <w:rsid w:val="003C1B23"/>
    <w:rsid w:val="003D4081"/>
    <w:rsid w:val="003E0161"/>
    <w:rsid w:val="003E57E1"/>
    <w:rsid w:val="00412033"/>
    <w:rsid w:val="004141CA"/>
    <w:rsid w:val="004151FC"/>
    <w:rsid w:val="004343A0"/>
    <w:rsid w:val="004443E7"/>
    <w:rsid w:val="00455F26"/>
    <w:rsid w:val="0049161A"/>
    <w:rsid w:val="004C6E18"/>
    <w:rsid w:val="004D5255"/>
    <w:rsid w:val="004E60ED"/>
    <w:rsid w:val="00542570"/>
    <w:rsid w:val="00565F32"/>
    <w:rsid w:val="005C3199"/>
    <w:rsid w:val="005D52B4"/>
    <w:rsid w:val="00621578"/>
    <w:rsid w:val="006364EE"/>
    <w:rsid w:val="006B083F"/>
    <w:rsid w:val="006B11B4"/>
    <w:rsid w:val="00706C56"/>
    <w:rsid w:val="007C58BB"/>
    <w:rsid w:val="00894AFB"/>
    <w:rsid w:val="008B7F93"/>
    <w:rsid w:val="0092760D"/>
    <w:rsid w:val="0094272A"/>
    <w:rsid w:val="00953953"/>
    <w:rsid w:val="00961EF3"/>
    <w:rsid w:val="009A3F85"/>
    <w:rsid w:val="009A6231"/>
    <w:rsid w:val="009A794A"/>
    <w:rsid w:val="009B0D0C"/>
    <w:rsid w:val="00A34F8F"/>
    <w:rsid w:val="00A50E56"/>
    <w:rsid w:val="00AA687F"/>
    <w:rsid w:val="00AE32A4"/>
    <w:rsid w:val="00B0377B"/>
    <w:rsid w:val="00B57D86"/>
    <w:rsid w:val="00BE0018"/>
    <w:rsid w:val="00BE1BCD"/>
    <w:rsid w:val="00C02FC6"/>
    <w:rsid w:val="00C14245"/>
    <w:rsid w:val="00D0582E"/>
    <w:rsid w:val="00D10814"/>
    <w:rsid w:val="00D936EE"/>
    <w:rsid w:val="00DA4DBD"/>
    <w:rsid w:val="00DC6A41"/>
    <w:rsid w:val="00DE60EF"/>
    <w:rsid w:val="00E31907"/>
    <w:rsid w:val="00E73838"/>
    <w:rsid w:val="00E86C58"/>
    <w:rsid w:val="00EC3DDD"/>
    <w:rsid w:val="00EE6A35"/>
    <w:rsid w:val="00F03BC8"/>
    <w:rsid w:val="00F31767"/>
    <w:rsid w:val="00F9669E"/>
    <w:rsid w:val="00FE7C0E"/>
    <w:rsid w:val="01466464"/>
    <w:rsid w:val="02650D6B"/>
    <w:rsid w:val="04C756D1"/>
    <w:rsid w:val="07B315B6"/>
    <w:rsid w:val="07C06A4E"/>
    <w:rsid w:val="09572241"/>
    <w:rsid w:val="0AD2612E"/>
    <w:rsid w:val="0BED3ADF"/>
    <w:rsid w:val="0C014856"/>
    <w:rsid w:val="0DD0231B"/>
    <w:rsid w:val="0E3534AB"/>
    <w:rsid w:val="0E5D7CEC"/>
    <w:rsid w:val="17B95B6C"/>
    <w:rsid w:val="1E236FF9"/>
    <w:rsid w:val="21B85B75"/>
    <w:rsid w:val="22FC492F"/>
    <w:rsid w:val="23616BB8"/>
    <w:rsid w:val="24142159"/>
    <w:rsid w:val="259C5D5D"/>
    <w:rsid w:val="260019D8"/>
    <w:rsid w:val="27535857"/>
    <w:rsid w:val="27B07040"/>
    <w:rsid w:val="28C73DA1"/>
    <w:rsid w:val="2AF77223"/>
    <w:rsid w:val="2EE23B79"/>
    <w:rsid w:val="33ED215F"/>
    <w:rsid w:val="365D2D84"/>
    <w:rsid w:val="393B4C79"/>
    <w:rsid w:val="39920E39"/>
    <w:rsid w:val="39EF76C8"/>
    <w:rsid w:val="3E550FB3"/>
    <w:rsid w:val="3F6E3B5B"/>
    <w:rsid w:val="409008D9"/>
    <w:rsid w:val="41210883"/>
    <w:rsid w:val="43FA3F24"/>
    <w:rsid w:val="465E247B"/>
    <w:rsid w:val="4886702D"/>
    <w:rsid w:val="4DE5372A"/>
    <w:rsid w:val="4DFB5701"/>
    <w:rsid w:val="50483BF0"/>
    <w:rsid w:val="549C2E84"/>
    <w:rsid w:val="54E4698D"/>
    <w:rsid w:val="568E0457"/>
    <w:rsid w:val="57B80F34"/>
    <w:rsid w:val="58ED57F5"/>
    <w:rsid w:val="5A9D17C8"/>
    <w:rsid w:val="644751B2"/>
    <w:rsid w:val="66294E6D"/>
    <w:rsid w:val="68A60EA9"/>
    <w:rsid w:val="71B94371"/>
    <w:rsid w:val="71D142E4"/>
    <w:rsid w:val="730F3B63"/>
    <w:rsid w:val="744F7998"/>
    <w:rsid w:val="7FC93E6B"/>
  </w:rsids>
  <w:docVars>
    <w:docVar w:name="commondata" w:val="eyJoZGlkIjoiNmY1Y2QxZThjMmNiMzBhOGY3MTA3OWU1ZWJmZTFmNT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pPr>
        <w:spacing w:after="160" w:line="259"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qFormat="1"/>
    <w:lsdException w:name="header" w:semiHidden="0" w:unhideWhenUsed="0" w:qFormat="1"/>
    <w:lsdException w:name="footer" w:semiHidden="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qFormat="1"/>
    <w:lsdException w:name="line number" w:semiHidden="0" w:uiPriority="0" w:unhideWhenUsed="0"/>
    <w:lsdException w:name="page number" w:semiHidden="0" w:uiPriority="0" w:unhideWhenUsed="0" w:qFormat="1"/>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qFormat="1"/>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nhideWhenUsed="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qFormat="1"/>
    <w:lsdException w:name="E-mail Signature" w:semiHidden="0" w:uiPriority="0" w:unhideWhenUsed="0"/>
    <w:lsdException w:name="Normal (Web)" w:semiHidden="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uiPriority="0" w:unhideWhenUsed="0" w:qFormat="1"/>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semiHidden="0" w:unhideWhenUsed="0" w:qFormat="1"/>
    <w:lsdException w:name="Table Grid" w:semiHidden="0" w:qFormat="1"/>
    <w:lsdException w:name="Table Theme"/>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宋体" w:hAnsi="Times New Roman" w:cs="Times New Roman"/>
      <w:kern w:val="2"/>
      <w:sz w:val="21"/>
      <w:szCs w:val="22"/>
      <w:lang w:val="en-US" w:eastAsia="zh-CN"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CommentText">
    <w:name w:val="annotation text"/>
    <w:basedOn w:val="Normal"/>
    <w:link w:val="a"/>
    <w:qFormat/>
    <w:pPr>
      <w:jc w:val="left"/>
    </w:pPr>
    <w:rPr>
      <w:szCs w:val="24"/>
    </w:rPr>
  </w:style>
  <w:style w:type="paragraph" w:styleId="BodyText">
    <w:name w:val="Body Text"/>
    <w:qFormat/>
    <w:pPr>
      <w:widowControl w:val="0"/>
      <w:spacing w:line="600" w:lineRule="exact"/>
      <w:jc w:val="both"/>
    </w:pPr>
    <w:rPr>
      <w:rFonts w:ascii="Times New Roman" w:eastAsia="宋体" w:hAnsi="Times New Roman" w:cs="Times New Roman"/>
      <w:kern w:val="2"/>
      <w:sz w:val="18"/>
      <w:szCs w:val="24"/>
      <w:lang w:val="en-US" w:eastAsia="zh-CN" w:bidi="ar-SA"/>
    </w:rPr>
  </w:style>
  <w:style w:type="paragraph" w:styleId="PlainText">
    <w:name w:val="Plain Text"/>
    <w:basedOn w:val="Normal"/>
    <w:link w:val="1"/>
    <w:qFormat/>
    <w:rPr>
      <w:rFonts w:ascii="宋体" w:hAnsi="Courier New"/>
      <w:szCs w:val="21"/>
    </w:rPr>
  </w:style>
  <w:style w:type="paragraph" w:styleId="Date">
    <w:name w:val="Date"/>
    <w:basedOn w:val="Normal"/>
    <w:next w:val="Normal"/>
    <w:link w:val="a0"/>
    <w:uiPriority w:val="99"/>
    <w:unhideWhenUsed/>
    <w:qFormat/>
    <w:pPr>
      <w:ind w:left="100" w:leftChars="2500"/>
    </w:pPr>
  </w:style>
  <w:style w:type="paragraph" w:styleId="BalloonText">
    <w:name w:val="Balloon Text"/>
    <w:basedOn w:val="Normal"/>
    <w:link w:val="10"/>
    <w:uiPriority w:val="99"/>
    <w:qFormat/>
    <w:rPr>
      <w:sz w:val="18"/>
      <w:szCs w:val="18"/>
    </w:rPr>
  </w:style>
  <w:style w:type="paragraph" w:styleId="Footer">
    <w:name w:val="footer"/>
    <w:basedOn w:val="Normal"/>
    <w:link w:val="11"/>
    <w:uiPriority w:val="99"/>
    <w:qFormat/>
    <w:pPr>
      <w:tabs>
        <w:tab w:val="center" w:pos="4153"/>
        <w:tab w:val="right" w:pos="8306"/>
      </w:tabs>
      <w:snapToGrid w:val="0"/>
      <w:jc w:val="left"/>
    </w:pPr>
    <w:rPr>
      <w:sz w:val="18"/>
    </w:rPr>
  </w:style>
  <w:style w:type="paragraph" w:styleId="Header">
    <w:name w:val="header"/>
    <w:basedOn w:val="Normal"/>
    <w:link w:val="12"/>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NormalWeb">
    <w:name w:val="Normal (Web)"/>
    <w:basedOn w:val="Normal"/>
    <w:link w:val="a1"/>
    <w:uiPriority w:val="99"/>
    <w:qFormat/>
    <w:pPr>
      <w:widowControl/>
      <w:spacing w:before="100" w:beforeAutospacing="1" w:after="100" w:afterAutospacing="1"/>
      <w:jc w:val="left"/>
    </w:pPr>
    <w:rPr>
      <w:rFonts w:ascii="宋体" w:hAnsi="宋体"/>
      <w:sz w:val="24"/>
      <w:szCs w:val="24"/>
    </w:rPr>
  </w:style>
  <w:style w:type="paragraph" w:styleId="CommentSubject">
    <w:name w:val="annotation subject"/>
    <w:basedOn w:val="CommentText"/>
    <w:next w:val="CommentText"/>
    <w:link w:val="a2"/>
    <w:semiHidden/>
    <w:qFormat/>
    <w:rPr>
      <w:b/>
      <w:bCs/>
      <w:szCs w:val="22"/>
    </w:rPr>
  </w:style>
  <w:style w:type="table" w:styleId="TableGrid">
    <w:name w:val="Table Grid"/>
    <w:basedOn w:val="TableNormal"/>
    <w:uiPriority w:val="9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PageNumber">
    <w:name w:val="page number"/>
    <w:basedOn w:val="DefaultParagraphFont"/>
    <w:qFormat/>
  </w:style>
  <w:style w:type="character" w:styleId="Hyperlink">
    <w:name w:val="Hyperlink"/>
    <w:uiPriority w:val="99"/>
    <w:qFormat/>
    <w:rPr>
      <w:color w:val="0000FF"/>
      <w:u w:val="single"/>
    </w:rPr>
  </w:style>
  <w:style w:type="character" w:styleId="CommentReference">
    <w:name w:val="annotation reference"/>
    <w:qFormat/>
    <w:rPr>
      <w:sz w:val="21"/>
      <w:szCs w:val="21"/>
    </w:rPr>
  </w:style>
  <w:style w:type="character" w:customStyle="1" w:styleId="a">
    <w:name w:val="批注文字 字符"/>
    <w:link w:val="CommentText"/>
    <w:qFormat/>
    <w:rPr>
      <w:kern w:val="2"/>
      <w:sz w:val="21"/>
      <w:szCs w:val="24"/>
    </w:rPr>
  </w:style>
  <w:style w:type="character" w:customStyle="1" w:styleId="1">
    <w:name w:val="纯文本 字符1"/>
    <w:link w:val="PlainText"/>
    <w:qFormat/>
    <w:locked/>
    <w:rPr>
      <w:rFonts w:ascii="宋体" w:hAnsi="Courier New" w:cs="Courier New"/>
      <w:kern w:val="2"/>
      <w:sz w:val="21"/>
      <w:szCs w:val="21"/>
    </w:rPr>
  </w:style>
  <w:style w:type="character" w:customStyle="1" w:styleId="a0">
    <w:name w:val="日期 字符"/>
    <w:link w:val="Date"/>
    <w:uiPriority w:val="99"/>
    <w:qFormat/>
    <w:rPr>
      <w:rFonts w:ascii="Calibri" w:hAnsi="Calibri"/>
      <w:kern w:val="2"/>
      <w:sz w:val="21"/>
      <w:szCs w:val="22"/>
    </w:rPr>
  </w:style>
  <w:style w:type="character" w:customStyle="1" w:styleId="10">
    <w:name w:val="批注框文本 字符1"/>
    <w:link w:val="BalloonText"/>
    <w:uiPriority w:val="99"/>
    <w:qFormat/>
    <w:rPr>
      <w:rFonts w:eastAsia="宋体"/>
      <w:kern w:val="2"/>
      <w:sz w:val="18"/>
      <w:szCs w:val="18"/>
      <w:lang w:val="en-US" w:eastAsia="zh-CN" w:bidi="ar-SA"/>
    </w:rPr>
  </w:style>
  <w:style w:type="character" w:customStyle="1" w:styleId="11">
    <w:name w:val="页脚 字符1"/>
    <w:link w:val="Footer"/>
    <w:uiPriority w:val="99"/>
    <w:qFormat/>
    <w:rPr>
      <w:rFonts w:eastAsia="宋体"/>
      <w:kern w:val="2"/>
      <w:sz w:val="18"/>
      <w:szCs w:val="22"/>
      <w:lang w:val="en-US" w:eastAsia="zh-CN" w:bidi="ar-SA"/>
    </w:rPr>
  </w:style>
  <w:style w:type="character" w:customStyle="1" w:styleId="12">
    <w:name w:val="页眉 字符1"/>
    <w:link w:val="Header"/>
    <w:uiPriority w:val="99"/>
    <w:qFormat/>
    <w:rPr>
      <w:rFonts w:eastAsia="宋体"/>
      <w:kern w:val="2"/>
      <w:sz w:val="18"/>
      <w:szCs w:val="22"/>
      <w:lang w:val="en-US" w:eastAsia="zh-CN" w:bidi="ar-SA"/>
    </w:rPr>
  </w:style>
  <w:style w:type="character" w:customStyle="1" w:styleId="a1">
    <w:name w:val="普通(网站) 字符"/>
    <w:link w:val="NormalWeb"/>
    <w:uiPriority w:val="99"/>
    <w:qFormat/>
    <w:rPr>
      <w:rFonts w:ascii="宋体" w:hAnsi="宋体" w:cs="宋体"/>
      <w:kern w:val="2"/>
      <w:sz w:val="24"/>
      <w:szCs w:val="24"/>
    </w:rPr>
  </w:style>
  <w:style w:type="character" w:customStyle="1" w:styleId="a2">
    <w:name w:val="批注主题 字符"/>
    <w:link w:val="CommentSubject"/>
    <w:semiHidden/>
    <w:qFormat/>
    <w:rPr>
      <w:b/>
      <w:bCs/>
      <w:kern w:val="2"/>
      <w:sz w:val="21"/>
      <w:szCs w:val="22"/>
    </w:rPr>
  </w:style>
  <w:style w:type="character" w:customStyle="1" w:styleId="13">
    <w:name w:val="无间隔 字符1"/>
    <w:link w:val="NoSpacing"/>
    <w:uiPriority w:val="1"/>
    <w:qFormat/>
    <w:rPr>
      <w:kern w:val="2"/>
      <w:sz w:val="21"/>
      <w:szCs w:val="22"/>
      <w:lang w:val="en-US" w:eastAsia="zh-CN" w:bidi="ar-SA"/>
    </w:rPr>
  </w:style>
  <w:style w:type="paragraph" w:styleId="NoSpacing">
    <w:name w:val="No Spacing"/>
    <w:link w:val="13"/>
    <w:uiPriority w:val="1"/>
    <w:qFormat/>
    <w:pPr>
      <w:widowControl w:val="0"/>
      <w:jc w:val="both"/>
    </w:pPr>
    <w:rPr>
      <w:rFonts w:ascii="Times New Roman" w:eastAsia="宋体" w:hAnsi="Times New Roman" w:cs="Times New Roman"/>
      <w:kern w:val="2"/>
      <w:sz w:val="21"/>
      <w:szCs w:val="22"/>
      <w:lang w:val="en-US" w:eastAsia="zh-CN" w:bidi="ar-SA"/>
    </w:rPr>
  </w:style>
  <w:style w:type="character" w:customStyle="1" w:styleId="DefaultParagraphCharChar">
    <w:name w:val="DefaultParagraph Char Char"/>
    <w:link w:val="DefaultParagraph"/>
    <w:qFormat/>
    <w:locked/>
    <w:rPr>
      <w:kern w:val="2"/>
      <w:sz w:val="21"/>
      <w:szCs w:val="22"/>
      <w:lang w:val="en-US" w:eastAsia="zh-CN" w:bidi="ar-SA"/>
    </w:rPr>
  </w:style>
  <w:style w:type="paragraph" w:customStyle="1" w:styleId="DefaultParagraph">
    <w:name w:val="DefaultParagraph"/>
    <w:link w:val="DefaultParagraphCharChar"/>
    <w:qFormat/>
    <w:rPr>
      <w:rFonts w:ascii="Times New Roman" w:eastAsia="宋体" w:hAnsi="Times New Roman" w:cs="Times New Roman"/>
      <w:kern w:val="2"/>
      <w:sz w:val="21"/>
      <w:szCs w:val="22"/>
      <w:lang w:val="en-US" w:eastAsia="zh-CN" w:bidi="ar-SA"/>
    </w:rPr>
  </w:style>
  <w:style w:type="character" w:customStyle="1" w:styleId="a3">
    <w:name w:val="批注框文本 字符"/>
    <w:uiPriority w:val="99"/>
    <w:semiHidden/>
    <w:qFormat/>
    <w:rPr>
      <w:kern w:val="2"/>
      <w:sz w:val="18"/>
      <w:szCs w:val="18"/>
    </w:rPr>
  </w:style>
  <w:style w:type="character" w:customStyle="1" w:styleId="Char">
    <w:name w:val="无间隔 Char"/>
    <w:link w:val="NoSpacing0"/>
    <w:uiPriority w:val="1"/>
    <w:qFormat/>
    <w:rPr>
      <w:sz w:val="22"/>
      <w:szCs w:val="22"/>
      <w:lang w:val="en-US" w:eastAsia="zh-CN" w:bidi="ar-SA"/>
    </w:rPr>
  </w:style>
  <w:style w:type="paragraph" w:customStyle="1" w:styleId="NoSpacing0">
    <w:name w:val="No Spacing_0"/>
    <w:link w:val="Char"/>
    <w:uiPriority w:val="1"/>
    <w:qFormat/>
    <w:rPr>
      <w:rFonts w:ascii="Times New Roman" w:eastAsia="宋体" w:hAnsi="Times New Roman" w:cs="Times New Roman"/>
      <w:sz w:val="22"/>
      <w:szCs w:val="22"/>
      <w:lang w:val="en-US" w:eastAsia="zh-CN" w:bidi="ar-SA"/>
    </w:rPr>
  </w:style>
  <w:style w:type="character" w:customStyle="1" w:styleId="subtitles0">
    <w:name w:val="sub_title s0"/>
    <w:basedOn w:val="DefaultParagraphFont"/>
    <w:qFormat/>
  </w:style>
  <w:style w:type="character" w:customStyle="1" w:styleId="14">
    <w:name w:val="页码1"/>
    <w:basedOn w:val="DefaultParagraphFont"/>
    <w:qFormat/>
  </w:style>
  <w:style w:type="character" w:customStyle="1" w:styleId="a4">
    <w:name w:val="纯文本 字符"/>
    <w:uiPriority w:val="99"/>
    <w:semiHidden/>
    <w:qFormat/>
    <w:rPr>
      <w:rFonts w:ascii="等线" w:eastAsia="等线" w:hAnsi="Courier New" w:cs="Courier New"/>
      <w:kern w:val="2"/>
      <w:sz w:val="21"/>
      <w:szCs w:val="22"/>
    </w:rPr>
  </w:style>
  <w:style w:type="character" w:customStyle="1" w:styleId="a5">
    <w:name w:val="无间隔 字符"/>
    <w:uiPriority w:val="1"/>
    <w:qFormat/>
    <w:rPr>
      <w:kern w:val="0"/>
      <w:sz w:val="22"/>
    </w:rPr>
  </w:style>
  <w:style w:type="character" w:customStyle="1" w:styleId="a6">
    <w:name w:val="页脚 字符"/>
    <w:uiPriority w:val="99"/>
    <w:qFormat/>
    <w:rPr>
      <w:kern w:val="2"/>
      <w:sz w:val="18"/>
      <w:szCs w:val="18"/>
    </w:rPr>
  </w:style>
  <w:style w:type="character" w:customStyle="1" w:styleId="a7">
    <w:name w:val="页眉 字符"/>
    <w:uiPriority w:val="99"/>
    <w:semiHidden/>
    <w:qFormat/>
    <w:rPr>
      <w:kern w:val="2"/>
      <w:sz w:val="18"/>
      <w:szCs w:val="18"/>
    </w:rPr>
  </w:style>
  <w:style w:type="paragraph" w:customStyle="1" w:styleId="Char3">
    <w:name w:val="Char3"/>
    <w:basedOn w:val="Normal"/>
    <w:qFormat/>
    <w:pPr>
      <w:widowControl/>
      <w:spacing w:line="300" w:lineRule="auto"/>
      <w:ind w:firstLine="200" w:firstLineChars="200"/>
    </w:pPr>
    <w:rPr>
      <w:szCs w:val="20"/>
    </w:rPr>
  </w:style>
  <w:style w:type="paragraph" w:customStyle="1" w:styleId="p0">
    <w:name w:val="p0"/>
    <w:basedOn w:val="Normal"/>
    <w:qFormat/>
    <w:pPr>
      <w:widowControl/>
    </w:pPr>
    <w:rPr>
      <w:rFonts w:ascii="Calibri" w:hAnsi="Calibri"/>
      <w:kern w:val="0"/>
      <w:szCs w:val="21"/>
    </w:rPr>
  </w:style>
  <w:style w:type="paragraph" w:customStyle="1" w:styleId="Normal0">
    <w:name w:val="Normal_0"/>
    <w:qFormat/>
    <w:rPr>
      <w:rFonts w:ascii="Times New Roman" w:eastAsia="宋体" w:hAnsi="Times New Roman" w:cs="Times New Roman"/>
      <w:sz w:val="24"/>
      <w:szCs w:val="24"/>
      <w:lang w:val="en-US" w:eastAsia="zh-CN" w:bidi="ar-SA"/>
    </w:rPr>
  </w:style>
  <w:style w:type="paragraph" w:customStyle="1" w:styleId="CharCharCharCharCharCharCharCharChar">
    <w:name w:val="Char Char Char Char Char Char Char Char Char"/>
    <w:basedOn w:val="Normal"/>
    <w:pPr>
      <w:widowControl/>
      <w:spacing w:line="300" w:lineRule="auto"/>
      <w:ind w:firstLine="200" w:firstLineChars="200"/>
    </w:pPr>
    <w:rPr>
      <w:kern w:val="0"/>
      <w:szCs w:val="20"/>
    </w:rPr>
  </w:style>
  <w:style w:type="paragraph" w:customStyle="1" w:styleId="Style22">
    <w:name w:val="_Style 22"/>
    <w:basedOn w:val="Normal"/>
    <w:next w:val="ListParagraph"/>
    <w:qFormat/>
    <w:pPr>
      <w:ind w:firstLine="420" w:firstLineChars="200"/>
    </w:pPr>
    <w:rPr>
      <w:rFonts w:ascii="Calibri" w:hAnsi="Calibri"/>
    </w:rPr>
  </w:style>
  <w:style w:type="paragraph" w:styleId="ListParagraph">
    <w:name w:val="List Paragraph"/>
    <w:basedOn w:val="Normal"/>
    <w:uiPriority w:val="34"/>
    <w:qFormat/>
    <w:pPr>
      <w:ind w:firstLine="420" w:firstLineChars="200"/>
    </w:pPr>
    <w:rPr>
      <w:rFonts w:ascii="Calibri" w:hAnsi="Calibri"/>
    </w:rPr>
  </w:style>
  <w:style w:type="paragraph" w:customStyle="1" w:styleId="Char3Char">
    <w:name w:val="Char3 Char"/>
    <w:basedOn w:val="Normal"/>
    <w:pPr>
      <w:widowControl/>
      <w:spacing w:line="300" w:lineRule="auto"/>
      <w:ind w:firstLine="200" w:firstLineChars="200"/>
    </w:pPr>
  </w:style>
  <w:style w:type="paragraph" w:customStyle="1" w:styleId="CharCharCharCharCharCharCharCharCharCharCharCharCharCharCharCharCharCharChar">
    <w:name w:val="Char Char Char Char Char Char Char Char Char Char Char Char Char Char Char Char Char Char Char"/>
    <w:basedOn w:val="Normal"/>
    <w:pPr>
      <w:widowControl/>
      <w:spacing w:line="300" w:lineRule="auto"/>
      <w:ind w:firstLine="200" w:firstLineChars="200"/>
    </w:pPr>
  </w:style>
  <w:style w:type="paragraph" w:customStyle="1" w:styleId="Char3CharCharChar">
    <w:name w:val="Char3 Char Char Char"/>
    <w:basedOn w:val="Normal"/>
    <w:pPr>
      <w:widowControl/>
      <w:spacing w:line="300" w:lineRule="auto"/>
      <w:ind w:firstLine="200" w:firstLineChars="200"/>
    </w:pPr>
    <w:rPr>
      <w:rFonts w:ascii="Calibri" w:hAnsi="Calibri"/>
    </w:rPr>
  </w:style>
  <w:style w:type="paragraph" w:customStyle="1" w:styleId="Normal1">
    <w:name w:val="Normal_1"/>
    <w:qFormat/>
    <w:pPr>
      <w:widowControl w:val="0"/>
      <w:jc w:val="both"/>
    </w:pPr>
    <w:rPr>
      <w:rFonts w:ascii="Time New Romans" w:eastAsia="宋体" w:hAnsi="Time New Romans" w:cs="宋体"/>
      <w:kern w:val="2"/>
      <w:sz w:val="21"/>
      <w:szCs w:val="22"/>
      <w:lang w:val="en-US" w:eastAsia="zh-CN" w:bidi="ar-SA"/>
    </w:rPr>
  </w:style>
  <w:style w:type="paragraph" w:customStyle="1" w:styleId="0">
    <w:name w:val="正文_0"/>
    <w:qFormat/>
    <w:pPr>
      <w:widowControl w:val="0"/>
      <w:jc w:val="both"/>
    </w:pPr>
    <w:rPr>
      <w:rFonts w:ascii="Times New Roman" w:eastAsia="宋体" w:hAnsi="Times New Roman" w:cs="Times New Roman"/>
      <w:kern w:val="2"/>
      <w:sz w:val="21"/>
      <w:szCs w:val="22"/>
      <w:lang w:val="en-US" w:eastAsia="zh-CN" w:bidi="ar-SA"/>
    </w:rPr>
  </w:style>
  <w:style w:type="paragraph" w:customStyle="1" w:styleId="msonormalcxspmiddle">
    <w:name w:val="msonormalcxspmiddle"/>
    <w:basedOn w:val="Normal"/>
    <w:pPr>
      <w:widowControl/>
      <w:spacing w:before="100" w:beforeAutospacing="1" w:after="100" w:afterAutospacing="1"/>
      <w:jc w:val="left"/>
    </w:pPr>
    <w:rPr>
      <w:rFonts w:ascii="Arial Unicode MS" w:eastAsia="Arial Unicode MS" w:hAnsi="Arial Unicode MS"/>
      <w:color w:val="000000"/>
      <w:kern w:val="0"/>
      <w:sz w:val="24"/>
      <w:szCs w:val="24"/>
    </w:rPr>
  </w:style>
  <w:style w:type="paragraph" w:customStyle="1" w:styleId="CharCharCharCharCharCharCharCharChar1">
    <w:name w:val="Char Char Char Char Char Char Char Char Char1"/>
    <w:basedOn w:val="Normal"/>
    <w:pPr>
      <w:widowControl/>
      <w:spacing w:line="300" w:lineRule="auto"/>
      <w:ind w:firstLine="200" w:firstLineChars="200"/>
    </w:pPr>
    <w:rPr>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image" Target="media/image4.png" /><Relationship Id="rId13" Type="http://schemas.openxmlformats.org/officeDocument/2006/relationships/image" Target="media/image5.png" /><Relationship Id="rId14" Type="http://schemas.openxmlformats.org/officeDocument/2006/relationships/header" Target="header2.xml" /><Relationship Id="rId15" Type="http://schemas.openxmlformats.org/officeDocument/2006/relationships/footer" Target="footer4.xml" /><Relationship Id="rId16" Type="http://schemas.openxmlformats.org/officeDocument/2006/relationships/footer" Target="footer5.xml" /><Relationship Id="rId17" Type="http://schemas.openxmlformats.org/officeDocument/2006/relationships/footer" Target="footer6.xml" /><Relationship Id="rId18" Type="http://schemas.openxmlformats.org/officeDocument/2006/relationships/header" Target="header3.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footer" Target="footer9.xml" /><Relationship Id="rId22" Type="http://schemas.openxmlformats.org/officeDocument/2006/relationships/image" Target="media/image6.png" /><Relationship Id="rId23" Type="http://schemas.openxmlformats.org/officeDocument/2006/relationships/header" Target="header4.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footer" Target="footer12.xml" /><Relationship Id="rId27" Type="http://schemas.openxmlformats.org/officeDocument/2006/relationships/header" Target="header5.xml" /><Relationship Id="rId28" Type="http://schemas.openxmlformats.org/officeDocument/2006/relationships/footer" Target="footer13.xml" /><Relationship Id="rId29" Type="http://schemas.openxmlformats.org/officeDocument/2006/relationships/footer" Target="footer14.xml" /><Relationship Id="rId3" Type="http://schemas.openxmlformats.org/officeDocument/2006/relationships/fontTable" Target="fontTable.xml" /><Relationship Id="rId30" Type="http://schemas.openxmlformats.org/officeDocument/2006/relationships/footer" Target="footer15.xml" /><Relationship Id="rId31" Type="http://schemas.openxmlformats.org/officeDocument/2006/relationships/header" Target="header6.xml" /><Relationship Id="rId32" Type="http://schemas.openxmlformats.org/officeDocument/2006/relationships/footer" Target="footer16.xml" /><Relationship Id="rId33" Type="http://schemas.openxmlformats.org/officeDocument/2006/relationships/footer" Target="footer17.xml" /><Relationship Id="rId34" Type="http://schemas.openxmlformats.org/officeDocument/2006/relationships/footer" Target="footer18.xml" /><Relationship Id="rId35" Type="http://schemas.openxmlformats.org/officeDocument/2006/relationships/header" Target="header7.xml" /><Relationship Id="rId36" Type="http://schemas.openxmlformats.org/officeDocument/2006/relationships/footer" Target="footer19.xml" /><Relationship Id="rId37" Type="http://schemas.openxmlformats.org/officeDocument/2006/relationships/footer" Target="footer20.xml" /><Relationship Id="rId38" Type="http://schemas.openxmlformats.org/officeDocument/2006/relationships/footer" Target="footer21.xml" /><Relationship Id="rId39" Type="http://schemas.openxmlformats.org/officeDocument/2006/relationships/image" Target="media/image7.png" /><Relationship Id="rId4" Type="http://schemas.openxmlformats.org/officeDocument/2006/relationships/customXml" Target="../customXml/item1.xml" /><Relationship Id="rId40" Type="http://schemas.openxmlformats.org/officeDocument/2006/relationships/image" Target="media/image8.png" /><Relationship Id="rId41" Type="http://schemas.openxmlformats.org/officeDocument/2006/relationships/image" Target="media/image9.png" /><Relationship Id="rId42" Type="http://schemas.openxmlformats.org/officeDocument/2006/relationships/image" Target="media/image10.png" /><Relationship Id="rId43" Type="http://schemas.openxmlformats.org/officeDocument/2006/relationships/header" Target="header8.xml" /><Relationship Id="rId44" Type="http://schemas.openxmlformats.org/officeDocument/2006/relationships/footer" Target="footer22.xml" /><Relationship Id="rId45" Type="http://schemas.openxmlformats.org/officeDocument/2006/relationships/footer" Target="footer23.xml" /><Relationship Id="rId46" Type="http://schemas.openxmlformats.org/officeDocument/2006/relationships/footer" Target="footer24.xml" /><Relationship Id="rId47" Type="http://schemas.openxmlformats.org/officeDocument/2006/relationships/header" Target="header9.xml" /><Relationship Id="rId48" Type="http://schemas.openxmlformats.org/officeDocument/2006/relationships/footer" Target="footer25.xml" /><Relationship Id="rId49" Type="http://schemas.openxmlformats.org/officeDocument/2006/relationships/footer" Target="footer26.xml" /><Relationship Id="rId5" Type="http://schemas.openxmlformats.org/officeDocument/2006/relationships/image" Target="media/image1.png" /><Relationship Id="rId50" Type="http://schemas.openxmlformats.org/officeDocument/2006/relationships/footer" Target="footer27.xml" /><Relationship Id="rId51" Type="http://schemas.openxmlformats.org/officeDocument/2006/relationships/header" Target="header10.xml" /><Relationship Id="rId52" Type="http://schemas.openxmlformats.org/officeDocument/2006/relationships/footer" Target="footer28.xml" /><Relationship Id="rId53" Type="http://schemas.openxmlformats.org/officeDocument/2006/relationships/footer" Target="footer29.xml" /><Relationship Id="rId54" Type="http://schemas.openxmlformats.org/officeDocument/2006/relationships/footer" Target="footer30.xml" /><Relationship Id="rId55" Type="http://schemas.openxmlformats.org/officeDocument/2006/relationships/image" Target="media/image11.png" /><Relationship Id="rId56" Type="http://schemas.openxmlformats.org/officeDocument/2006/relationships/header" Target="header11.xml" /><Relationship Id="rId57" Type="http://schemas.openxmlformats.org/officeDocument/2006/relationships/footer" Target="footer31.xml" /><Relationship Id="rId58" Type="http://schemas.openxmlformats.org/officeDocument/2006/relationships/footer" Target="footer32.xml" /><Relationship Id="rId59" Type="http://schemas.openxmlformats.org/officeDocument/2006/relationships/footer" Target="footer33.xml" /><Relationship Id="rId6" Type="http://schemas.openxmlformats.org/officeDocument/2006/relationships/image" Target="media/image2.png" /><Relationship Id="rId60" Type="http://schemas.openxmlformats.org/officeDocument/2006/relationships/header" Target="header12.xml" /><Relationship Id="rId61" Type="http://schemas.openxmlformats.org/officeDocument/2006/relationships/footer" Target="footer34.xml" /><Relationship Id="rId62" Type="http://schemas.openxmlformats.org/officeDocument/2006/relationships/footer" Target="footer35.xml" /><Relationship Id="rId63" Type="http://schemas.openxmlformats.org/officeDocument/2006/relationships/footer" Target="footer36.xml" /><Relationship Id="rId64" Type="http://schemas.openxmlformats.org/officeDocument/2006/relationships/header" Target="header13.xml" /><Relationship Id="rId65" Type="http://schemas.openxmlformats.org/officeDocument/2006/relationships/footer" Target="footer37.xml" /><Relationship Id="rId66" Type="http://schemas.openxmlformats.org/officeDocument/2006/relationships/footer" Target="footer38.xml" /><Relationship Id="rId67" Type="http://schemas.openxmlformats.org/officeDocument/2006/relationships/footer" Target="footer39.xml" /><Relationship Id="rId68" Type="http://schemas.openxmlformats.org/officeDocument/2006/relationships/image" Target="media/image12.png" /><Relationship Id="rId69" Type="http://schemas.openxmlformats.org/officeDocument/2006/relationships/header" Target="header14.xml" /><Relationship Id="rId7" Type="http://schemas.openxmlformats.org/officeDocument/2006/relationships/image" Target="media/image3.png" /><Relationship Id="rId70" Type="http://schemas.openxmlformats.org/officeDocument/2006/relationships/footer" Target="footer40.xml" /><Relationship Id="rId71" Type="http://schemas.openxmlformats.org/officeDocument/2006/relationships/footer" Target="footer41.xml" /><Relationship Id="rId72" Type="http://schemas.openxmlformats.org/officeDocument/2006/relationships/footer" Target="footer42.xml" /><Relationship Id="rId73" Type="http://schemas.openxmlformats.org/officeDocument/2006/relationships/image" Target="media/image13.png" /><Relationship Id="rId74" Type="http://schemas.openxmlformats.org/officeDocument/2006/relationships/header" Target="header15.xml" /><Relationship Id="rId75" Type="http://schemas.openxmlformats.org/officeDocument/2006/relationships/footer" Target="footer43.xml" /><Relationship Id="rId76" Type="http://schemas.openxmlformats.org/officeDocument/2006/relationships/footer" Target="footer44.xml" /><Relationship Id="rId77" Type="http://schemas.openxmlformats.org/officeDocument/2006/relationships/footer" Target="footer45.xml" /><Relationship Id="rId78" Type="http://schemas.openxmlformats.org/officeDocument/2006/relationships/hyperlink" Target="https://d.book118.com/838003032027006042" TargetMode="External" /><Relationship Id="rId79" Type="http://schemas.openxmlformats.org/officeDocument/2006/relationships/header" Target="header16.xml" /><Relationship Id="rId8" Type="http://schemas.openxmlformats.org/officeDocument/2006/relationships/header" Target="header1.xml" /><Relationship Id="rId80" Type="http://schemas.openxmlformats.org/officeDocument/2006/relationships/footer" Target="footer46.xml" /><Relationship Id="rId81" Type="http://schemas.openxmlformats.org/officeDocument/2006/relationships/footer" Target="footer47.xml" /><Relationship Id="rId82" Type="http://schemas.openxmlformats.org/officeDocument/2006/relationships/footer" Target="footer48.xml" /><Relationship Id="rId83" Type="http://schemas.openxmlformats.org/officeDocument/2006/relationships/theme" Target="theme/theme1.xml" /><Relationship Id="rId84" Type="http://schemas.openxmlformats.org/officeDocument/2006/relationships/styles" Target="style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3248</Words>
  <Characters>18516</Characters>
  <Application>Microsoft Office Word</Application>
  <DocSecurity>0</DocSecurity>
  <Lines>154</Lines>
  <Paragraphs>43</Paragraphs>
  <ScaleCrop>false</ScaleCrop>
  <Company/>
  <LinksUpToDate>false</LinksUpToDate>
  <CharactersWithSpaces>21721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2020年模拟试题</dc:title>
  <dc:subject>2020年模拟试题</dc:subject>
  <cp:keywords>试卷、教案、课件、论文、素材</cp:keywords>
  <dc:description>学科网(www.zxxk.com)--教育资源门户，提供试卷、教案、课件、论文、素材及各类教学资源下载，还有大量而丰富的教学相关资讯！</dc:description>
  <cp:revision>1</cp:revision>
  <dcterms:created xsi:type="dcterms:W3CDTF">2019-10-08T02:12:00Z</dcterms:created>
  <dcterms:modified xsi:type="dcterms:W3CDTF">2024-03-03T03:00:14Z</dcterms:modified>
  <cp:category>学科网WORD文档</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ICV">
    <vt:lpwstr>F3DE23D32EEE4109BE07168A419B1AB5_12</vt:lpwstr>
  </property>
  <property fmtid="{D5CDD505-2E9C-101B-9397-08002B2CF9AE}" pid="7" name="KSOProductBuildVer">
    <vt:lpwstr>2052-11.8.2.9022</vt:lpwstr>
  </property>
</Properties>
</file>