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106" w:line="211" w:lineRule="auto"/>
        <w:ind w:left="86"/>
        <w:rPr>
          <w:rFonts w:ascii="SimSun" w:eastAsia="SimSun" w:hAnsi="SimSun" w:cs="SimSun"/>
          <w:sz w:val="56"/>
          <w:szCs w:val="56"/>
        </w:rPr>
      </w:pPr>
      <w:r>
        <w:rPr>
          <w:rFonts w:ascii="SimSun" w:eastAsia="SimSun" w:hAnsi="SimSun" w:cs="SimSun"/>
          <w:color w:val="231F20"/>
          <w:spacing w:val="-24"/>
          <w:sz w:val="56"/>
          <w:szCs w:val="56"/>
          <w14:textOutline w14:w="9525">
            <w14:solidFill>
              <w14:srgbClr w14:val="231F20"/>
            </w14:solidFill>
            <w14:prstDash w14:val="solid"/>
            <w14:miter w14:lim="0"/>
          </w14:textOutline>
        </w:rPr>
        <w:t>目录</w:t>
      </w: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sdt>
      <w:sdtPr>
        <w:rPr>
          <w:rFonts w:ascii="Microsoft YaHei" w:eastAsia="Microsoft YaHei" w:hAnsi="Microsoft YaHei" w:cs="Microsoft YaHei"/>
          <w:sz w:val="23"/>
          <w:szCs w:val="23"/>
        </w:rPr>
        <w:id w:val="725854828"/>
        <w:docPartObj>
          <w:docPartGallery w:val="Table of Contents"/>
          <w:docPartUnique/>
        </w:docPartObj>
      </w:sdtPr>
      <w:sdtEndPr>
        <w:rPr>
          <w:rFonts w:ascii="Georgia" w:eastAsia="Georgia" w:hAnsi="Georgia" w:cs="Georgia"/>
          <w:sz w:val="23"/>
          <w:szCs w:val="23"/>
        </w:rPr>
      </w:sdtEndPr>
      <w:sdtContent>
        <w:p>
          <w:pPr>
            <w:spacing w:before="99" w:line="202" w:lineRule="auto"/>
            <w:jc w:val="right"/>
            <w:rPr>
              <w:rFonts w:ascii="Georgia" w:eastAsia="Georgia" w:hAnsi="Georgia" w:cs="Georgia"/>
              <w:sz w:val="23"/>
              <w:szCs w:val="23"/>
            </w:rPr>
          </w:pPr>
          <w:hyperlink w:anchor="bookmark1" w:history="1">
            <w:r>
              <w:rPr>
                <w:rFonts w:ascii="Microsoft YaHei" w:eastAsia="Microsoft YaHei" w:hAnsi="Microsoft YaHei" w:cs="Microsoft YaHei"/>
                <w:color w:val="007859"/>
                <w:sz w:val="23"/>
                <w:szCs w:val="23"/>
              </w:rPr>
              <w:t xml:space="preserve">前言                                       </w:t>
            </w:r>
            <w:r>
              <w:rPr>
                <w:rFonts w:ascii="Microsoft YaHei" w:eastAsia="Microsoft YaHei" w:hAnsi="Microsoft YaHei" w:cs="Microsoft YaHei"/>
                <w:color w:val="007859"/>
                <w:spacing w:val="-1"/>
                <w:sz w:val="23"/>
                <w:szCs w:val="23"/>
              </w:rPr>
              <w:t xml:space="preserve">                                                                                       </w:t>
            </w:r>
            <w:r>
              <w:rPr>
                <w:rFonts w:ascii="Georgia" w:eastAsia="Georgia" w:hAnsi="Georgia" w:cs="Georgia"/>
                <w:b/>
                <w:bCs/>
                <w:color w:val="007859"/>
                <w:spacing w:val="-1"/>
                <w:sz w:val="23"/>
                <w:szCs w:val="23"/>
              </w:rPr>
              <w:t>1</w:t>
            </w:r>
          </w:hyperlink>
        </w:p>
        <w:p>
          <w:pPr>
            <w:pStyle w:val="BodyText"/>
            <w:spacing w:line="284" w:lineRule="auto"/>
          </w:pPr>
        </w:p>
        <w:p>
          <w:pPr>
            <w:spacing w:before="99" w:line="195" w:lineRule="auto"/>
            <w:jc w:val="right"/>
            <w:rPr>
              <w:rFonts w:ascii="Georgia" w:eastAsia="Georgia" w:hAnsi="Georgia" w:cs="Georgia"/>
              <w:sz w:val="23"/>
              <w:szCs w:val="23"/>
            </w:rPr>
          </w:pPr>
          <w:hyperlink w:anchor="bookmark1" w:history="1">
            <w:r>
              <w:rPr>
                <w:rFonts w:ascii="Microsoft Tai Le" w:eastAsia="Microsoft Tai Le" w:hAnsi="Microsoft Tai Le" w:cs="Microsoft Tai Le"/>
                <w:color w:val="007859"/>
                <w:spacing w:val="-1"/>
                <w:sz w:val="23"/>
                <w:szCs w:val="23"/>
              </w:rPr>
              <w:t xml:space="preserve">1. </w:t>
            </w:r>
            <w:r>
              <w:rPr>
                <w:rFonts w:ascii="Microsoft YaHei" w:eastAsia="Microsoft YaHei" w:hAnsi="Microsoft YaHei" w:cs="Microsoft YaHei"/>
                <w:color w:val="007859"/>
                <w:spacing w:val="-1"/>
                <w:sz w:val="23"/>
                <w:szCs w:val="23"/>
              </w:rPr>
              <w:t xml:space="preserve">数据价值网络概述                                      </w:t>
            </w:r>
            <w:r>
              <w:rPr>
                <w:rFonts w:ascii="Microsoft YaHei" w:eastAsia="Microsoft YaHei" w:hAnsi="Microsoft YaHei" w:cs="Microsoft YaHei"/>
                <w:color w:val="007859"/>
                <w:spacing w:val="-2"/>
                <w:sz w:val="23"/>
                <w:szCs w:val="23"/>
              </w:rPr>
              <w:t xml:space="preserve">                                                                 </w:t>
            </w:r>
            <w:r>
              <w:rPr>
                <w:rFonts w:ascii="Georgia" w:eastAsia="Georgia" w:hAnsi="Georgia" w:cs="Georgia"/>
                <w:b/>
                <w:bCs/>
                <w:color w:val="007859"/>
                <w:spacing w:val="-2"/>
                <w:sz w:val="23"/>
                <w:szCs w:val="23"/>
              </w:rPr>
              <w:t>4</w:t>
            </w:r>
          </w:hyperlink>
        </w:p>
        <w:p>
          <w:pPr>
            <w:pStyle w:val="BodyText"/>
            <w:spacing w:line="295" w:lineRule="auto"/>
          </w:pPr>
        </w:p>
        <w:p>
          <w:pPr>
            <w:spacing w:before="99" w:line="195" w:lineRule="auto"/>
            <w:jc w:val="right"/>
            <w:rPr>
              <w:rFonts w:ascii="Georgia" w:eastAsia="Georgia" w:hAnsi="Georgia" w:cs="Georgia"/>
              <w:sz w:val="23"/>
              <w:szCs w:val="23"/>
            </w:rPr>
          </w:pPr>
          <w:hyperlink w:anchor="bookmark1" w:history="1">
            <w:r>
              <w:rPr>
                <w:rFonts w:ascii="Microsoft Tai Le" w:eastAsia="Microsoft Tai Le" w:hAnsi="Microsoft Tai Le" w:cs="Microsoft Tai Le"/>
                <w:color w:val="007859"/>
                <w:spacing w:val="-2"/>
                <w:sz w:val="23"/>
                <w:szCs w:val="23"/>
              </w:rPr>
              <w:t>2.</w:t>
            </w:r>
            <w:r>
              <w:rPr>
                <w:rFonts w:ascii="Microsoft Tai Le" w:eastAsia="Microsoft Tai Le" w:hAnsi="Microsoft Tai Le" w:cs="Microsoft Tai Le"/>
                <w:color w:val="007859"/>
                <w:spacing w:val="-1"/>
                <w:sz w:val="23"/>
                <w:szCs w:val="23"/>
              </w:rPr>
              <w:t xml:space="preserve"> </w:t>
            </w:r>
            <w:r>
              <w:rPr>
                <w:rFonts w:ascii="Microsoft YaHei" w:eastAsia="Microsoft YaHei" w:hAnsi="Microsoft YaHei" w:cs="Microsoft YaHei"/>
                <w:color w:val="007859"/>
                <w:spacing w:val="-1"/>
                <w:sz w:val="23"/>
                <w:szCs w:val="23"/>
              </w:rPr>
              <w:t xml:space="preserve">市场已形成“四加一”的专业化分工                                                                           </w:t>
            </w:r>
            <w:r>
              <w:rPr>
                <w:rFonts w:ascii="Georgia" w:eastAsia="Georgia" w:hAnsi="Georgia" w:cs="Georgia"/>
                <w:b/>
                <w:bCs/>
                <w:color w:val="007859"/>
                <w:spacing w:val="1"/>
                <w:sz w:val="23"/>
                <w:szCs w:val="23"/>
              </w:rPr>
              <w:t>7</w:t>
            </w:r>
          </w:hyperlink>
        </w:p>
        <w:p>
          <w:pPr>
            <w:pStyle w:val="BodyText"/>
            <w:spacing w:line="295" w:lineRule="auto"/>
          </w:pPr>
        </w:p>
        <w:p>
          <w:pPr>
            <w:spacing w:before="99" w:line="195" w:lineRule="auto"/>
            <w:jc w:val="right"/>
            <w:rPr>
              <w:rFonts w:ascii="Georgia" w:eastAsia="Georgia" w:hAnsi="Georgia" w:cs="Georgia"/>
              <w:sz w:val="23"/>
              <w:szCs w:val="23"/>
            </w:rPr>
          </w:pPr>
          <w:hyperlink w:anchor="bookmark1" w:history="1">
            <w:r>
              <w:rPr>
                <w:rFonts w:ascii="Microsoft Tai Le" w:eastAsia="Microsoft Tai Le" w:hAnsi="Microsoft Tai Le" w:cs="Microsoft Tai Le"/>
                <w:color w:val="007859"/>
                <w:spacing w:val="-1"/>
                <w:sz w:val="23"/>
                <w:szCs w:val="23"/>
              </w:rPr>
              <w:t xml:space="preserve">3. </w:t>
            </w:r>
            <w:r>
              <w:rPr>
                <w:rFonts w:ascii="Microsoft YaHei" w:eastAsia="Microsoft YaHei" w:hAnsi="Microsoft YaHei" w:cs="Microsoft YaHei"/>
                <w:color w:val="007859"/>
                <w:spacing w:val="-1"/>
                <w:sz w:val="23"/>
                <w:szCs w:val="23"/>
              </w:rPr>
              <w:t xml:space="preserve">未来市场核心趋势推演                                                                      </w:t>
            </w:r>
            <w:r>
              <w:rPr>
                <w:rFonts w:ascii="Microsoft YaHei" w:eastAsia="Microsoft YaHei" w:hAnsi="Microsoft YaHei" w:cs="Microsoft YaHei"/>
                <w:color w:val="007859"/>
                <w:spacing w:val="-2"/>
                <w:sz w:val="23"/>
                <w:szCs w:val="23"/>
              </w:rPr>
              <w:t xml:space="preserve">                        </w:t>
            </w:r>
            <w:r>
              <w:rPr>
                <w:rFonts w:ascii="Georgia" w:eastAsia="Georgia" w:hAnsi="Georgia" w:cs="Georgia"/>
                <w:b/>
                <w:bCs/>
                <w:color w:val="007859"/>
                <w:spacing w:val="-2"/>
                <w:sz w:val="23"/>
                <w:szCs w:val="23"/>
              </w:rPr>
              <w:t>14</w:t>
            </w:r>
          </w:hyperlink>
        </w:p>
        <w:p>
          <w:pPr>
            <w:pStyle w:val="BodyText"/>
            <w:spacing w:line="295" w:lineRule="auto"/>
          </w:pPr>
        </w:p>
        <w:p>
          <w:pPr>
            <w:spacing w:before="99" w:line="195" w:lineRule="auto"/>
            <w:jc w:val="right"/>
            <w:rPr>
              <w:rFonts w:ascii="Georgia" w:eastAsia="Georgia" w:hAnsi="Georgia" w:cs="Georgia"/>
              <w:sz w:val="23"/>
              <w:szCs w:val="23"/>
            </w:rPr>
          </w:pPr>
          <w:hyperlink w:anchor="bookmark1" w:history="1">
            <w:r>
              <w:rPr>
                <w:rFonts w:ascii="Microsoft Tai Le" w:eastAsia="Microsoft Tai Le" w:hAnsi="Microsoft Tai Le" w:cs="Microsoft Tai Le"/>
                <w:color w:val="007859"/>
                <w:spacing w:val="-8"/>
                <w:sz w:val="23"/>
                <w:szCs w:val="23"/>
              </w:rPr>
              <w:t xml:space="preserve">4. </w:t>
            </w:r>
            <w:r>
              <w:rPr>
                <w:rFonts w:ascii="Microsoft YaHei" w:eastAsia="Microsoft YaHei" w:hAnsi="Microsoft YaHei" w:cs="Microsoft YaHei"/>
                <w:color w:val="007859"/>
                <w:spacing w:val="-8"/>
                <w:sz w:val="23"/>
                <w:szCs w:val="23"/>
              </w:rPr>
              <w:t>当前行业痛点</w:t>
            </w:r>
            <w:r>
              <w:rPr>
                <w:rFonts w:ascii="Microsoft YaHei" w:eastAsia="Microsoft YaHei" w:hAnsi="Microsoft YaHei" w:cs="Microsoft YaHei"/>
                <w:color w:val="007859"/>
                <w:spacing w:val="1"/>
                <w:sz w:val="23"/>
                <w:szCs w:val="23"/>
              </w:rPr>
              <w:t xml:space="preserve">                         </w:t>
            </w:r>
            <w:r>
              <w:rPr>
                <w:rFonts w:ascii="Microsoft YaHei" w:eastAsia="Microsoft YaHei" w:hAnsi="Microsoft YaHei" w:cs="Microsoft YaHei"/>
                <w:color w:val="007859"/>
                <w:sz w:val="23"/>
                <w:szCs w:val="23"/>
              </w:rPr>
              <w:t xml:space="preserve">                                                                                 </w:t>
            </w:r>
            <w:r>
              <w:rPr>
                <w:rFonts w:ascii="Georgia" w:eastAsia="Georgia" w:hAnsi="Georgia" w:cs="Georgia"/>
                <w:b/>
                <w:bCs/>
                <w:color w:val="007859"/>
                <w:spacing w:val="-8"/>
                <w:sz w:val="23"/>
                <w:szCs w:val="23"/>
              </w:rPr>
              <w:t>24</w:t>
            </w:r>
          </w:hyperlink>
        </w:p>
        <w:p>
          <w:pPr>
            <w:pStyle w:val="BodyText"/>
            <w:spacing w:line="295" w:lineRule="auto"/>
          </w:pPr>
        </w:p>
        <w:p>
          <w:pPr>
            <w:spacing w:before="100" w:line="195" w:lineRule="auto"/>
            <w:jc w:val="right"/>
            <w:rPr>
              <w:rFonts w:ascii="Georgia" w:eastAsia="Georgia" w:hAnsi="Georgia" w:cs="Georgia"/>
              <w:sz w:val="23"/>
              <w:szCs w:val="23"/>
            </w:rPr>
          </w:pPr>
          <w:hyperlink w:anchor="bookmark1" w:history="1">
            <w:r>
              <w:rPr>
                <w:rFonts w:ascii="Microsoft Tai Le" w:eastAsia="Microsoft Tai Le" w:hAnsi="Microsoft Tai Le" w:cs="Microsoft Tai Le"/>
                <w:color w:val="007859"/>
                <w:spacing w:val="-1"/>
                <w:sz w:val="23"/>
                <w:szCs w:val="23"/>
              </w:rPr>
              <w:t xml:space="preserve">5. </w:t>
            </w:r>
            <w:r>
              <w:rPr>
                <w:rFonts w:ascii="Microsoft YaHei" w:eastAsia="Microsoft YaHei" w:hAnsi="Microsoft YaHei" w:cs="Microsoft YaHei"/>
                <w:color w:val="007859"/>
                <w:spacing w:val="-1"/>
                <w:sz w:val="23"/>
                <w:szCs w:val="23"/>
              </w:rPr>
              <w:t xml:space="preserve">未来数据价值网络主要机会点                       </w:t>
            </w:r>
            <w:r>
              <w:rPr>
                <w:rFonts w:ascii="Microsoft YaHei" w:eastAsia="Microsoft YaHei" w:hAnsi="Microsoft YaHei" w:cs="Microsoft YaHei"/>
                <w:color w:val="007859"/>
                <w:spacing w:val="-2"/>
                <w:sz w:val="23"/>
                <w:szCs w:val="23"/>
              </w:rPr>
              <w:t xml:space="preserve">                                                             </w:t>
            </w:r>
            <w:r>
              <w:rPr>
                <w:rFonts w:ascii="Georgia" w:eastAsia="Georgia" w:hAnsi="Georgia" w:cs="Georgia"/>
                <w:b/>
                <w:bCs/>
                <w:color w:val="007859"/>
                <w:spacing w:val="-2"/>
                <w:sz w:val="23"/>
                <w:szCs w:val="23"/>
              </w:rPr>
              <w:t>25</w:t>
            </w:r>
          </w:hyperlink>
        </w:p>
        <w:p>
          <w:pPr>
            <w:pStyle w:val="BodyText"/>
            <w:spacing w:line="295" w:lineRule="auto"/>
          </w:pPr>
        </w:p>
        <w:p>
          <w:pPr>
            <w:spacing w:before="99" w:line="195" w:lineRule="auto"/>
            <w:jc w:val="right"/>
            <w:rPr>
              <w:rFonts w:ascii="Georgia" w:eastAsia="Georgia" w:hAnsi="Georgia" w:cs="Georgia"/>
              <w:sz w:val="23"/>
              <w:szCs w:val="23"/>
            </w:rPr>
          </w:pPr>
          <w:hyperlink w:anchor="bookmark1" w:history="1">
            <w:r>
              <w:rPr>
                <w:rFonts w:ascii="Microsoft Tai Le" w:eastAsia="Microsoft Tai Le" w:hAnsi="Microsoft Tai Le" w:cs="Microsoft Tai Le"/>
                <w:color w:val="007859"/>
                <w:spacing w:val="-7"/>
                <w:sz w:val="23"/>
                <w:szCs w:val="23"/>
              </w:rPr>
              <w:t>6.</w:t>
            </w:r>
            <w:r>
              <w:rPr>
                <w:rFonts w:ascii="Microsoft Tai Le" w:eastAsia="Microsoft Tai Le" w:hAnsi="Microsoft Tai Le" w:cs="Microsoft Tai Le"/>
                <w:color w:val="007859"/>
                <w:spacing w:val="-11"/>
                <w:sz w:val="23"/>
                <w:szCs w:val="23"/>
              </w:rPr>
              <w:t xml:space="preserve"> </w:t>
            </w:r>
            <w:r>
              <w:rPr>
                <w:rFonts w:ascii="Microsoft YaHei" w:eastAsia="Microsoft YaHei" w:hAnsi="Microsoft YaHei" w:cs="Microsoft YaHei"/>
                <w:color w:val="007859"/>
                <w:spacing w:val="-7"/>
                <w:sz w:val="23"/>
                <w:szCs w:val="23"/>
              </w:rPr>
              <w:t>倡议与呼吁</w:t>
            </w:r>
            <w:r>
              <w:rPr>
                <w:rFonts w:ascii="Microsoft YaHei" w:eastAsia="Microsoft YaHei" w:hAnsi="Microsoft YaHei" w:cs="Microsoft YaHei"/>
                <w:color w:val="007859"/>
                <w:spacing w:val="1"/>
                <w:sz w:val="23"/>
                <w:szCs w:val="23"/>
              </w:rPr>
              <w:t xml:space="preserve">                                         </w:t>
            </w:r>
            <w:r>
              <w:rPr>
                <w:rFonts w:ascii="Microsoft YaHei" w:eastAsia="Microsoft YaHei" w:hAnsi="Microsoft YaHei" w:cs="Microsoft YaHei"/>
                <w:color w:val="007859"/>
                <w:sz w:val="23"/>
                <w:szCs w:val="23"/>
              </w:rPr>
              <w:t xml:space="preserve">                                                                    </w:t>
            </w:r>
            <w:r>
              <w:rPr>
                <w:rFonts w:ascii="Georgia" w:eastAsia="Georgia" w:hAnsi="Georgia" w:cs="Georgia"/>
                <w:b/>
                <w:bCs/>
                <w:color w:val="007859"/>
                <w:spacing w:val="-7"/>
                <w:sz w:val="23"/>
                <w:szCs w:val="23"/>
              </w:rPr>
              <w:t>33</w:t>
            </w:r>
          </w:hyperlink>
        </w:p>
        <w:p>
          <w:pPr>
            <w:pStyle w:val="BodyText"/>
            <w:spacing w:line="295" w:lineRule="auto"/>
          </w:pPr>
        </w:p>
        <w:p>
          <w:pPr>
            <w:spacing w:before="100" w:line="195" w:lineRule="auto"/>
            <w:jc w:val="right"/>
            <w:rPr>
              <w:rFonts w:ascii="Georgia" w:eastAsia="Georgia" w:hAnsi="Georgia" w:cs="Georgia"/>
              <w:sz w:val="23"/>
              <w:szCs w:val="23"/>
            </w:rPr>
          </w:pPr>
          <w:r>
            <w:rPr>
              <w:rFonts w:ascii="Microsoft YaHei" w:eastAsia="Microsoft YaHei" w:hAnsi="Microsoft YaHei" w:cs="Microsoft YaHei"/>
              <w:color w:val="007859"/>
              <w:spacing w:val="-8"/>
              <w:w w:val="94"/>
              <w:sz w:val="23"/>
              <w:szCs w:val="23"/>
            </w:rPr>
            <w:t>结语</w:t>
          </w:r>
          <w:r>
            <w:rPr>
              <w:rFonts w:ascii="Microsoft YaHei" w:eastAsia="Microsoft YaHei" w:hAnsi="Microsoft YaHei" w:cs="Microsoft YaHei"/>
              <w:color w:val="007859"/>
              <w:sz w:val="23"/>
              <w:szCs w:val="23"/>
            </w:rPr>
            <w:t xml:space="preserve">                                                                                                                           </w:t>
          </w:r>
          <w:r>
            <w:rPr>
              <w:rFonts w:ascii="Georgia" w:eastAsia="Georgia" w:hAnsi="Georgia" w:cs="Georgia"/>
              <w:b/>
              <w:bCs/>
              <w:color w:val="007859"/>
              <w:spacing w:val="-8"/>
              <w:w w:val="94"/>
              <w:sz w:val="23"/>
              <w:szCs w:val="23"/>
            </w:rPr>
            <w:t>34</w:t>
          </w:r>
        </w:p>
      </w:sdtContent>
    </w:sdt>
    <w:p>
      <w:pPr>
        <w:spacing w:line="195" w:lineRule="auto"/>
        <w:rPr>
          <w:rFonts w:ascii="Georgia" w:eastAsia="Georgia" w:hAnsi="Georgia" w:cs="Georgia"/>
          <w:sz w:val="23"/>
          <w:szCs w:val="23"/>
        </w:rPr>
        <w:sectPr>
          <w:pgSz w:w="11906" w:h="16158"/>
          <w:pgMar w:top="1326" w:right="1417" w:bottom="0" w:left="1424" w:header="0" w:footer="0" w:gutter="0"/>
          <w:cols w:space="708"/>
        </w:sectPr>
      </w:pPr>
    </w:p>
    <w:p>
      <w:pPr>
        <w:spacing w:before="130" w:line="216" w:lineRule="auto"/>
        <w:ind w:left="10"/>
        <w:outlineLvl w:val="0"/>
        <w:rPr>
          <w:rFonts w:ascii="SimSun" w:eastAsia="SimSun" w:hAnsi="SimSun" w:cs="SimSun"/>
          <w:sz w:val="66"/>
          <w:szCs w:val="66"/>
        </w:rPr>
      </w:pPr>
      <w:r>
        <w:pict>
          <v:shape id="_x0000_s1025" style="width:113.4pt;height:0.5pt;margin-top:459.84pt;margin-left:411.02pt;mso-position-horizontal-relative:page;mso-position-vertical-relative:page;position:absolute;z-index:251659264" coordorigin="0,0" coordsize="2268,10" o:allowincell="f" path="m,5l2267,5e" filled="f" strokecolor="#007859" strokeweight="0.5pt">
            <v:stroke joinstyle="miter"/>
          </v:shape>
        </w:pict>
      </w:r>
      <w:r>
        <w:pict>
          <v:shape id="_x0000_s1026" style="width:113.4pt;height:0.5pt;margin-top:698.71pt;margin-left:411.02pt;mso-position-horizontal-relative:page;mso-position-vertical-relative:page;position:absolute;z-index:251660288" coordorigin="0,0" coordsize="2268,10" o:allowincell="f" path="m,5l2267,5e" filled="f" strokecolor="#007859" strokeweight="0.5pt">
            <v:stroke joinstyle="miter"/>
          </v:shape>
        </w:pict>
      </w:r>
      <w:r>
        <w:drawing>
          <wp:anchor distT="0" distB="0" distL="0" distR="0" simplePos="0" relativeHeight="251658240" behindDoc="0" locked="0" layoutInCell="0" allowOverlap="1">
            <wp:simplePos x="0" y="0"/>
            <wp:positionH relativeFrom="page">
              <wp:posOffset>899998</wp:posOffset>
            </wp:positionH>
            <wp:positionV relativeFrom="page">
              <wp:posOffset>3786594</wp:posOffset>
            </wp:positionV>
            <wp:extent cx="71996" cy="4675199"/>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71996" cy="4675199"/>
                    </a:xfrm>
                    <a:prstGeom prst="rect">
                      <a:avLst/>
                    </a:prstGeom>
                  </pic:spPr>
                </pic:pic>
              </a:graphicData>
            </a:graphic>
          </wp:anchor>
        </w:drawing>
      </w:r>
      <w:r>
        <w:rPr>
          <w:rFonts w:ascii="SimSun" w:eastAsia="SimSun" w:hAnsi="SimSun" w:cs="SimSun"/>
          <w:color w:val="231F20"/>
          <w:spacing w:val="-3"/>
          <w:sz w:val="66"/>
          <w:szCs w:val="66"/>
          <w14:textOutline w14:w="9525">
            <w14:solidFill>
              <w14:srgbClr w14:val="231F20"/>
            </w14:solidFill>
            <w14:prstDash w14:val="solid"/>
            <w14:miter w14:lim="0"/>
          </w14:textOutline>
        </w:rPr>
        <w:t>数据价值网络</w:t>
      </w: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6" w:lineRule="auto"/>
      </w:pPr>
    </w:p>
    <w:p>
      <w:pPr>
        <w:pStyle w:val="BodyText"/>
        <w:spacing w:line="256" w:lineRule="auto"/>
      </w:pPr>
    </w:p>
    <w:p>
      <w:pPr>
        <w:pStyle w:val="BodyText"/>
        <w:spacing w:line="256" w:lineRule="auto"/>
      </w:pPr>
    </w:p>
    <w:p>
      <w:pPr>
        <w:spacing w:before="104" w:line="218" w:lineRule="auto"/>
        <w:ind w:left="7"/>
        <w:rPr>
          <w:rFonts w:ascii="SimSun" w:eastAsia="SimSun" w:hAnsi="SimSun" w:cs="SimSun"/>
          <w:sz w:val="32"/>
          <w:szCs w:val="32"/>
        </w:rPr>
      </w:pPr>
      <w:r>
        <w:rPr>
          <w:rFonts w:ascii="SimSun" w:eastAsia="SimSun" w:hAnsi="SimSun" w:cs="SimSun"/>
          <w:color w:val="007859"/>
          <w:spacing w:val="-2"/>
          <w:sz w:val="32"/>
          <w:szCs w:val="32"/>
          <w14:textOutline w14:w="3175">
            <w14:solidFill>
              <w14:srgbClr w14:val="007859"/>
            </w14:solidFill>
            <w14:prstDash w14:val="solid"/>
            <w14:miter w14:lim="0"/>
          </w14:textOutline>
        </w:rPr>
        <w:t>前言</w:t>
      </w:r>
    </w:p>
    <w:p>
      <w:pPr>
        <w:pStyle w:val="BodyText"/>
        <w:spacing w:line="312" w:lineRule="auto"/>
      </w:pPr>
    </w:p>
    <w:p>
      <w:pPr>
        <w:pStyle w:val="BodyText"/>
        <w:spacing w:line="312" w:lineRule="auto"/>
      </w:pPr>
    </w:p>
    <w:p>
      <w:pPr>
        <w:spacing w:before="86" w:line="194" w:lineRule="auto"/>
        <w:ind w:left="290" w:right="76" w:firstLine="406"/>
        <w:rPr>
          <w:rFonts w:ascii="Microsoft YaHei" w:eastAsia="Microsoft YaHei" w:hAnsi="Microsoft YaHei" w:cs="Microsoft YaHei"/>
          <w:sz w:val="20"/>
          <w:szCs w:val="20"/>
        </w:rPr>
      </w:pPr>
      <w:r>
        <w:rPr>
          <w:rFonts w:ascii="Microsoft YaHei" w:eastAsia="Microsoft YaHei" w:hAnsi="Microsoft YaHei" w:cs="Microsoft YaHei"/>
          <w:color w:val="231F20"/>
          <w:spacing w:val="-1"/>
          <w:sz w:val="20"/>
          <w:szCs w:val="20"/>
        </w:rPr>
        <w:t>长久以来，土地、劳动力、资本、技术被视为商品和劳务必备的基本资源。今天，随着数字技术</w:t>
      </w:r>
      <w:r>
        <w:rPr>
          <w:rFonts w:ascii="Microsoft YaHei" w:eastAsia="Microsoft YaHei" w:hAnsi="Microsoft YaHei" w:cs="Microsoft YaHei"/>
          <w:color w:val="231F20"/>
          <w:spacing w:val="16"/>
          <w:w w:val="101"/>
          <w:sz w:val="20"/>
          <w:szCs w:val="20"/>
        </w:rPr>
        <w:t xml:space="preserve"> </w:t>
      </w:r>
      <w:r>
        <w:rPr>
          <w:rFonts w:ascii="Microsoft YaHei" w:eastAsia="Microsoft YaHei" w:hAnsi="Microsoft YaHei" w:cs="Microsoft YaHei"/>
          <w:color w:val="231F20"/>
          <w:sz w:val="20"/>
          <w:szCs w:val="20"/>
        </w:rPr>
        <w:t>和人类生产生活的深度融合，数据已经成为优化资源配置</w:t>
      </w:r>
      <w:r>
        <w:rPr>
          <w:rFonts w:ascii="Microsoft YaHei" w:eastAsia="Microsoft YaHei" w:hAnsi="Microsoft YaHei" w:cs="Microsoft YaHei"/>
          <w:color w:val="231F20"/>
          <w:spacing w:val="-1"/>
          <w:sz w:val="20"/>
          <w:szCs w:val="20"/>
        </w:rPr>
        <w:t>、提高生产效率的关键，被列为第五大生产</w:t>
      </w:r>
      <w:r>
        <w:rPr>
          <w:rFonts w:ascii="Microsoft YaHei" w:eastAsia="Microsoft YaHei" w:hAnsi="Microsoft YaHei" w:cs="Microsoft YaHei"/>
          <w:color w:val="231F20"/>
          <w:sz w:val="20"/>
          <w:szCs w:val="20"/>
        </w:rPr>
        <w:t xml:space="preserve"> </w:t>
      </w:r>
      <w:r>
        <w:rPr>
          <w:rFonts w:ascii="Microsoft YaHei" w:eastAsia="Microsoft YaHei" w:hAnsi="Microsoft YaHei" w:cs="Microsoft YaHei"/>
          <w:color w:val="231F20"/>
          <w:sz w:val="20"/>
          <w:szCs w:val="20"/>
        </w:rPr>
        <w:t>要素。随着政府政策端的积极推动和人工智能技术的不断</w:t>
      </w:r>
      <w:r>
        <w:rPr>
          <w:rFonts w:ascii="Microsoft YaHei" w:eastAsia="Microsoft YaHei" w:hAnsi="Microsoft YaHei" w:cs="Microsoft YaHei"/>
          <w:color w:val="231F20"/>
          <w:spacing w:val="-1"/>
          <w:sz w:val="20"/>
          <w:szCs w:val="20"/>
        </w:rPr>
        <w:t>进步，中国企业越来越重视数据资产，对数</w:t>
      </w:r>
      <w:r>
        <w:rPr>
          <w:rFonts w:ascii="Microsoft YaHei" w:eastAsia="Microsoft YaHei" w:hAnsi="Microsoft YaHei" w:cs="Microsoft YaHei"/>
          <w:color w:val="231F20"/>
          <w:sz w:val="20"/>
          <w:szCs w:val="20"/>
        </w:rPr>
        <w:t xml:space="preserve"> </w:t>
      </w:r>
      <w:r>
        <w:rPr>
          <w:rFonts w:ascii="Microsoft YaHei" w:eastAsia="Microsoft YaHei" w:hAnsi="Microsoft YaHei" w:cs="Microsoft YaHei"/>
          <w:color w:val="231F20"/>
          <w:spacing w:val="-1"/>
          <w:sz w:val="20"/>
          <w:szCs w:val="20"/>
        </w:rPr>
        <w:t>据的充分开发和高效利用，尤其是通过发掘数据价值，产生新的应用和服务，</w:t>
      </w:r>
      <w:r>
        <w:rPr>
          <w:rFonts w:ascii="Microsoft YaHei" w:eastAsia="Microsoft YaHei" w:hAnsi="Microsoft YaHei" w:cs="Microsoft YaHei"/>
          <w:color w:val="231F20"/>
          <w:spacing w:val="-30"/>
          <w:sz w:val="20"/>
          <w:szCs w:val="20"/>
        </w:rPr>
        <w:t xml:space="preserve"> </w:t>
      </w:r>
      <w:r>
        <w:rPr>
          <w:rFonts w:ascii="Microsoft YaHei" w:eastAsia="Microsoft YaHei" w:hAnsi="Microsoft YaHei" w:cs="Microsoft YaHei"/>
          <w:color w:val="231F20"/>
          <w:spacing w:val="-1"/>
          <w:sz w:val="20"/>
          <w:szCs w:val="20"/>
        </w:rPr>
        <w:t>已成为企业</w:t>
      </w:r>
      <w:r>
        <w:rPr>
          <w:rFonts w:ascii="Microsoft YaHei" w:eastAsia="Microsoft YaHei" w:hAnsi="Microsoft YaHei" w:cs="Microsoft YaHei"/>
          <w:color w:val="231F20"/>
          <w:spacing w:val="-2"/>
          <w:sz w:val="20"/>
          <w:szCs w:val="20"/>
        </w:rPr>
        <w:t>竞争力的重</w:t>
      </w:r>
      <w:r>
        <w:rPr>
          <w:rFonts w:ascii="Microsoft YaHei" w:eastAsia="Microsoft YaHei" w:hAnsi="Microsoft YaHei" w:cs="Microsoft YaHei"/>
          <w:color w:val="231F20"/>
          <w:sz w:val="20"/>
          <w:szCs w:val="20"/>
        </w:rPr>
        <w:t xml:space="preserve"> </w:t>
      </w:r>
      <w:r>
        <w:rPr>
          <w:rFonts w:ascii="Microsoft YaHei" w:eastAsia="Microsoft YaHei" w:hAnsi="Microsoft YaHei" w:cs="Microsoft YaHei"/>
          <w:color w:val="231F20"/>
          <w:sz w:val="20"/>
          <w:szCs w:val="20"/>
        </w:rPr>
        <w:t>要体现。数据要素的生产、供应、传输、交易和应</w:t>
      </w:r>
      <w:r>
        <w:rPr>
          <w:rFonts w:ascii="Microsoft YaHei" w:eastAsia="Microsoft YaHei" w:hAnsi="Microsoft YaHei" w:cs="Microsoft YaHei"/>
          <w:color w:val="231F20"/>
          <w:spacing w:val="-1"/>
          <w:sz w:val="20"/>
          <w:szCs w:val="20"/>
        </w:rPr>
        <w:t>用促进了整个数据行业的繁荣发展，同时也推动了</w:t>
      </w:r>
      <w:r>
        <w:rPr>
          <w:rFonts w:ascii="Microsoft YaHei" w:eastAsia="Microsoft YaHei" w:hAnsi="Microsoft YaHei" w:cs="Microsoft YaHei"/>
          <w:color w:val="231F20"/>
          <w:sz w:val="20"/>
          <w:szCs w:val="20"/>
        </w:rPr>
        <w:t xml:space="preserve"> </w:t>
      </w:r>
      <w:r>
        <w:rPr>
          <w:rFonts w:ascii="Microsoft YaHei" w:eastAsia="Microsoft YaHei" w:hAnsi="Microsoft YaHei" w:cs="Microsoft YaHei"/>
          <w:color w:val="231F20"/>
          <w:spacing w:val="-1"/>
          <w:sz w:val="20"/>
          <w:szCs w:val="20"/>
        </w:rPr>
        <w:t>众多数据生态伙伴基础设施技术工具提供商的进步，为整体社会经济的数字化转型注入了新的活力。</w:t>
      </w:r>
      <w:r>
        <w:rPr>
          <w:rFonts w:ascii="Microsoft YaHei" w:eastAsia="Microsoft YaHei" w:hAnsi="Microsoft YaHei" w:cs="Microsoft YaHei"/>
          <w:color w:val="231F20"/>
          <w:spacing w:val="6"/>
          <w:sz w:val="20"/>
          <w:szCs w:val="20"/>
        </w:rPr>
        <w:t xml:space="preserve"> </w:t>
      </w:r>
      <w:r>
        <w:rPr>
          <w:rFonts w:ascii="Microsoft Tai Le" w:eastAsia="Microsoft Tai Le" w:hAnsi="Microsoft Tai Le" w:cs="Microsoft Tai Le"/>
          <w:color w:val="231F20"/>
          <w:sz w:val="20"/>
          <w:szCs w:val="20"/>
        </w:rPr>
        <w:t>BCG</w:t>
      </w:r>
      <w:r>
        <w:rPr>
          <w:rFonts w:ascii="Microsoft Tai Le" w:eastAsia="Microsoft Tai Le" w:hAnsi="Microsoft Tai Le" w:cs="Microsoft Tai Le"/>
          <w:color w:val="231F20"/>
          <w:spacing w:val="-15"/>
          <w:sz w:val="20"/>
          <w:szCs w:val="20"/>
        </w:rPr>
        <w:t xml:space="preserve"> </w:t>
      </w:r>
      <w:r>
        <w:rPr>
          <w:rFonts w:ascii="Microsoft YaHei" w:eastAsia="Microsoft YaHei" w:hAnsi="Microsoft YaHei" w:cs="Microsoft YaHei"/>
          <w:color w:val="231F20"/>
          <w:spacing w:val="4"/>
          <w:sz w:val="20"/>
          <w:szCs w:val="20"/>
        </w:rPr>
        <w:t>希望通过本次研究帮助企业更好地了解数据要素市场的发展趋势和潜在机会，从而把握住当前</w:t>
      </w:r>
      <w:r>
        <w:rPr>
          <w:rFonts w:ascii="Microsoft YaHei" w:eastAsia="Microsoft YaHei" w:hAnsi="Microsoft YaHei" w:cs="Microsoft YaHei"/>
          <w:color w:val="231F20"/>
          <w:sz w:val="20"/>
          <w:szCs w:val="20"/>
        </w:rPr>
        <w:t xml:space="preserve"> </w:t>
      </w:r>
      <w:r>
        <w:rPr>
          <w:rFonts w:ascii="Microsoft YaHei" w:eastAsia="Microsoft YaHei" w:hAnsi="Microsoft YaHei" w:cs="Microsoft YaHei"/>
          <w:color w:val="231F20"/>
          <w:spacing w:val="-2"/>
          <w:sz w:val="20"/>
          <w:szCs w:val="20"/>
        </w:rPr>
        <w:t>的发展机遇。</w:t>
      </w:r>
    </w:p>
    <w:p>
      <w:pPr>
        <w:spacing w:before="321" w:line="236" w:lineRule="auto"/>
        <w:ind w:left="1643"/>
        <w:rPr>
          <w:rFonts w:ascii="Microsoft YaHei" w:eastAsia="Microsoft YaHei" w:hAnsi="Microsoft YaHei" w:cs="Microsoft YaHei"/>
          <w:sz w:val="20"/>
          <w:szCs w:val="20"/>
        </w:rPr>
      </w:pPr>
      <w:r>
        <w:rPr>
          <w:rFonts w:ascii="SimHei" w:eastAsia="SimHei" w:hAnsi="SimHei" w:cs="SimHei"/>
          <w:color w:val="231F20"/>
          <w:spacing w:val="-1"/>
          <w:position w:val="-1"/>
          <w:sz w:val="26"/>
          <w:szCs w:val="26"/>
          <w14:textOutline w14:w="3175">
            <w14:solidFill>
              <w14:srgbClr w14:val="231F20"/>
            </w14:solidFill>
            <w14:prstDash w14:val="solid"/>
            <w14:miter w14:lim="0"/>
          </w14:textOutline>
        </w:rPr>
        <w:t>—於晨，</w:t>
      </w:r>
      <w:r>
        <w:rPr>
          <w:rFonts w:ascii="Microsoft Tai Le" w:eastAsia="Microsoft Tai Le" w:hAnsi="Microsoft Tai Le" w:cs="Microsoft Tai Le"/>
          <w:color w:val="231F20"/>
          <w:spacing w:val="-1"/>
          <w:sz w:val="20"/>
          <w:szCs w:val="20"/>
        </w:rPr>
        <w:t>BCG</w:t>
      </w:r>
      <w:r>
        <w:rPr>
          <w:rFonts w:ascii="Microsoft Tai Le" w:eastAsia="Microsoft Tai Le" w:hAnsi="Microsoft Tai Le" w:cs="Microsoft Tai Le"/>
          <w:color w:val="231F20"/>
          <w:spacing w:val="-14"/>
          <w:sz w:val="20"/>
          <w:szCs w:val="20"/>
        </w:rPr>
        <w:t xml:space="preserve"> </w:t>
      </w:r>
      <w:r>
        <w:rPr>
          <w:rFonts w:ascii="Microsoft YaHei" w:eastAsia="Microsoft YaHei" w:hAnsi="Microsoft YaHei" w:cs="Microsoft YaHei"/>
          <w:color w:val="231F20"/>
          <w:spacing w:val="-1"/>
          <w:sz w:val="20"/>
          <w:szCs w:val="20"/>
        </w:rPr>
        <w:t>董事总经理、全球合伙人，</w:t>
      </w:r>
      <w:r>
        <w:rPr>
          <w:rFonts w:ascii="Microsoft Tai Le" w:eastAsia="Microsoft Tai Le" w:hAnsi="Microsoft Tai Le" w:cs="Microsoft Tai Le"/>
          <w:color w:val="231F20"/>
          <w:spacing w:val="-1"/>
          <w:sz w:val="20"/>
          <w:szCs w:val="20"/>
        </w:rPr>
        <w:t>BCG</w:t>
      </w:r>
      <w:r>
        <w:rPr>
          <w:rFonts w:ascii="Microsoft Tai Le" w:eastAsia="Microsoft Tai Le" w:hAnsi="Microsoft Tai Le" w:cs="Microsoft Tai Le"/>
          <w:color w:val="231F20"/>
          <w:spacing w:val="-21"/>
          <w:sz w:val="20"/>
          <w:szCs w:val="20"/>
        </w:rPr>
        <w:t xml:space="preserve"> </w:t>
      </w:r>
      <w:r>
        <w:rPr>
          <w:rFonts w:ascii="Microsoft YaHei" w:eastAsia="Microsoft YaHei" w:hAnsi="Microsoft YaHei" w:cs="Microsoft YaHei"/>
          <w:color w:val="231F20"/>
          <w:spacing w:val="-1"/>
          <w:sz w:val="20"/>
          <w:szCs w:val="20"/>
        </w:rPr>
        <w:t>科技、媒体和通信专项中国区负</w:t>
      </w:r>
      <w:r>
        <w:rPr>
          <w:rFonts w:ascii="Microsoft YaHei" w:eastAsia="Microsoft YaHei" w:hAnsi="Microsoft YaHei" w:cs="Microsoft YaHei"/>
          <w:color w:val="231F20"/>
          <w:spacing w:val="-2"/>
          <w:sz w:val="20"/>
          <w:szCs w:val="20"/>
        </w:rPr>
        <w:t>责人</w:t>
      </w:r>
    </w:p>
    <w:p>
      <w:pPr>
        <w:pStyle w:val="BodyText"/>
        <w:spacing w:line="319" w:lineRule="auto"/>
      </w:pPr>
    </w:p>
    <w:p>
      <w:pPr>
        <w:pStyle w:val="BodyText"/>
        <w:spacing w:line="320" w:lineRule="auto"/>
      </w:pPr>
    </w:p>
    <w:p>
      <w:pPr>
        <w:spacing w:before="86" w:line="193" w:lineRule="auto"/>
        <w:ind w:left="293" w:firstLine="403"/>
        <w:jc w:val="both"/>
        <w:rPr>
          <w:rFonts w:ascii="Microsoft YaHei" w:eastAsia="Microsoft YaHei" w:hAnsi="Microsoft YaHei" w:cs="Microsoft YaHei"/>
          <w:sz w:val="20"/>
          <w:szCs w:val="20"/>
        </w:rPr>
      </w:pPr>
      <w:r>
        <w:rPr>
          <w:rFonts w:ascii="Microsoft YaHei" w:eastAsia="Microsoft YaHei" w:hAnsi="Microsoft YaHei" w:cs="Microsoft YaHei"/>
          <w:color w:val="231F20"/>
          <w:spacing w:val="-1"/>
          <w:sz w:val="20"/>
          <w:szCs w:val="20"/>
        </w:rPr>
        <w:t>数据具有非竞争性、非排他性的特殊性质，这决定了这种新型生产要素与其他类别要素有很大不</w:t>
      </w:r>
      <w:r>
        <w:rPr>
          <w:rFonts w:ascii="Microsoft YaHei" w:eastAsia="Microsoft YaHei" w:hAnsi="Microsoft YaHei" w:cs="Microsoft YaHei"/>
          <w:color w:val="231F20"/>
          <w:spacing w:val="8"/>
          <w:sz w:val="20"/>
          <w:szCs w:val="20"/>
        </w:rPr>
        <w:t xml:space="preserve">  </w:t>
      </w:r>
      <w:r>
        <w:rPr>
          <w:rFonts w:ascii="Microsoft YaHei" w:eastAsia="Microsoft YaHei" w:hAnsi="Microsoft YaHei" w:cs="Microsoft YaHei"/>
          <w:color w:val="231F20"/>
          <w:sz w:val="20"/>
          <w:szCs w:val="20"/>
        </w:rPr>
        <w:t>同。数字经济的核心是数据，虽然各数据主体随</w:t>
      </w:r>
      <w:r>
        <w:rPr>
          <w:rFonts w:ascii="Microsoft YaHei" w:eastAsia="Microsoft YaHei" w:hAnsi="Microsoft YaHei" w:cs="Microsoft YaHei"/>
          <w:color w:val="231F20"/>
          <w:spacing w:val="-1"/>
          <w:sz w:val="20"/>
          <w:szCs w:val="20"/>
        </w:rPr>
        <w:t>着服务应用的深入积累了大量数据，但对于应用端来</w:t>
      </w:r>
      <w:r>
        <w:rPr>
          <w:rFonts w:ascii="Microsoft YaHei" w:eastAsia="Microsoft YaHei" w:hAnsi="Microsoft YaHei" w:cs="Microsoft YaHei"/>
          <w:color w:val="231F20"/>
          <w:sz w:val="20"/>
          <w:szCs w:val="20"/>
        </w:rPr>
        <w:t xml:space="preserve">  </w:t>
      </w:r>
      <w:r>
        <w:rPr>
          <w:rFonts w:ascii="Microsoft YaHei" w:eastAsia="Microsoft YaHei" w:hAnsi="Microsoft YaHei" w:cs="Microsoft YaHei"/>
          <w:color w:val="231F20"/>
          <w:spacing w:val="3"/>
          <w:sz w:val="20"/>
          <w:szCs w:val="20"/>
        </w:rPr>
        <w:t>说还是不够的，特别是对当前</w:t>
      </w:r>
      <w:r>
        <w:rPr>
          <w:rFonts w:ascii="Microsoft YaHei" w:eastAsia="Microsoft YaHei" w:hAnsi="Microsoft YaHei" w:cs="Microsoft YaHei"/>
          <w:color w:val="231F20"/>
          <w:spacing w:val="-34"/>
          <w:sz w:val="20"/>
          <w:szCs w:val="20"/>
        </w:rPr>
        <w:t xml:space="preserve"> </w:t>
      </w:r>
      <w:r>
        <w:rPr>
          <w:rFonts w:ascii="Microsoft Tai Le" w:eastAsia="Microsoft Tai Le" w:hAnsi="Microsoft Tai Le" w:cs="Microsoft Tai Le"/>
          <w:color w:val="231F20"/>
          <w:sz w:val="20"/>
          <w:szCs w:val="20"/>
        </w:rPr>
        <w:t>AI</w:t>
      </w:r>
      <w:r>
        <w:rPr>
          <w:rFonts w:ascii="Microsoft Tai Le" w:eastAsia="Microsoft Tai Le" w:hAnsi="Microsoft Tai Le" w:cs="Microsoft Tai Le"/>
          <w:color w:val="231F20"/>
          <w:spacing w:val="-14"/>
          <w:sz w:val="20"/>
          <w:szCs w:val="20"/>
        </w:rPr>
        <w:t xml:space="preserve"> </w:t>
      </w:r>
      <w:r>
        <w:rPr>
          <w:rFonts w:ascii="Microsoft YaHei" w:eastAsia="Microsoft YaHei" w:hAnsi="Microsoft YaHei" w:cs="Microsoft YaHei"/>
          <w:color w:val="231F20"/>
          <w:spacing w:val="3"/>
          <w:sz w:val="20"/>
          <w:szCs w:val="20"/>
        </w:rPr>
        <w:t>大模型海量训</w:t>
      </w:r>
      <w:r>
        <w:rPr>
          <w:rFonts w:ascii="Microsoft YaHei" w:eastAsia="Microsoft YaHei" w:hAnsi="Microsoft YaHei" w:cs="Microsoft YaHei"/>
          <w:color w:val="231F20"/>
          <w:spacing w:val="2"/>
          <w:sz w:val="20"/>
          <w:szCs w:val="20"/>
        </w:rPr>
        <w:t>练数据需求来说更是如此。另外，</w:t>
      </w:r>
      <w:r>
        <w:rPr>
          <w:rFonts w:ascii="Microsoft YaHei" w:eastAsia="Microsoft YaHei" w:hAnsi="Microsoft YaHei" w:cs="Microsoft YaHei"/>
          <w:color w:val="231F20"/>
          <w:spacing w:val="-33"/>
          <w:sz w:val="20"/>
          <w:szCs w:val="20"/>
        </w:rPr>
        <w:t xml:space="preserve"> </w:t>
      </w:r>
      <w:r>
        <w:rPr>
          <w:rFonts w:ascii="Microsoft YaHei" w:eastAsia="Microsoft YaHei" w:hAnsi="Microsoft YaHei" w:cs="Microsoft YaHei"/>
          <w:color w:val="231F20"/>
          <w:spacing w:val="2"/>
          <w:sz w:val="20"/>
          <w:szCs w:val="20"/>
        </w:rPr>
        <w:t>当前数据市场也是</w:t>
      </w:r>
      <w:r>
        <w:rPr>
          <w:rFonts w:ascii="Microsoft YaHei" w:eastAsia="Microsoft YaHei" w:hAnsi="Microsoft YaHei" w:cs="Microsoft YaHei"/>
          <w:color w:val="231F20"/>
          <w:sz w:val="20"/>
          <w:szCs w:val="20"/>
        </w:rPr>
        <w:t xml:space="preserve">  </w:t>
      </w:r>
      <w:r>
        <w:rPr>
          <w:rFonts w:ascii="Microsoft YaHei" w:eastAsia="Microsoft YaHei" w:hAnsi="Microsoft YaHei" w:cs="Microsoft YaHei"/>
          <w:color w:val="231F20"/>
          <w:spacing w:val="-1"/>
          <w:sz w:val="20"/>
          <w:szCs w:val="20"/>
        </w:rPr>
        <w:t>分割的，</w:t>
      </w:r>
      <w:r>
        <w:rPr>
          <w:rFonts w:ascii="Microsoft YaHei" w:eastAsia="Microsoft YaHei" w:hAnsi="Microsoft YaHei" w:cs="Microsoft YaHei"/>
          <w:color w:val="231F20"/>
          <w:spacing w:val="-38"/>
          <w:sz w:val="20"/>
          <w:szCs w:val="20"/>
        </w:rPr>
        <w:t xml:space="preserve"> </w:t>
      </w:r>
      <w:r>
        <w:rPr>
          <w:rFonts w:ascii="Microsoft YaHei" w:eastAsia="Microsoft YaHei" w:hAnsi="Microsoft YaHei" w:cs="Microsoft YaHei"/>
          <w:color w:val="231F20"/>
          <w:spacing w:val="-1"/>
          <w:sz w:val="20"/>
          <w:szCs w:val="20"/>
        </w:rPr>
        <w:t>即是通常说的“孤岛效应”，数据只有流通起来才能发挥价值。数据流通的核心是市场需求</w:t>
      </w:r>
      <w:r>
        <w:rPr>
          <w:rFonts w:ascii="Microsoft YaHei" w:eastAsia="Microsoft YaHei" w:hAnsi="Microsoft YaHei" w:cs="Microsoft YaHei"/>
          <w:color w:val="231F20"/>
          <w:sz w:val="20"/>
          <w:szCs w:val="20"/>
        </w:rPr>
        <w:t xml:space="preserve">  </w:t>
      </w:r>
      <w:r>
        <w:rPr>
          <w:rFonts w:ascii="Microsoft YaHei" w:eastAsia="Microsoft YaHei" w:hAnsi="Microsoft YaHei" w:cs="Microsoft YaHei"/>
          <w:color w:val="231F20"/>
          <w:sz w:val="20"/>
          <w:szCs w:val="20"/>
        </w:rPr>
        <w:t>与供给的匹配，数据要素需求多样化以及数据产品</w:t>
      </w:r>
      <w:r>
        <w:rPr>
          <w:rFonts w:ascii="Microsoft YaHei" w:eastAsia="Microsoft YaHei" w:hAnsi="Microsoft YaHei" w:cs="Microsoft YaHei"/>
          <w:color w:val="231F20"/>
          <w:spacing w:val="-1"/>
          <w:sz w:val="20"/>
          <w:szCs w:val="20"/>
        </w:rPr>
        <w:t>和服务供给的类型和属性多样化，决定了数据的流</w:t>
      </w:r>
      <w:r>
        <w:rPr>
          <w:rFonts w:ascii="Microsoft YaHei" w:eastAsia="Microsoft YaHei" w:hAnsi="Microsoft YaHei" w:cs="Microsoft YaHei"/>
          <w:color w:val="231F20"/>
          <w:sz w:val="20"/>
          <w:szCs w:val="20"/>
        </w:rPr>
        <w:t xml:space="preserve">  </w:t>
      </w:r>
      <w:r>
        <w:rPr>
          <w:rFonts w:ascii="Microsoft YaHei" w:eastAsia="Microsoft YaHei" w:hAnsi="Microsoft YaHei" w:cs="Microsoft YaHei"/>
          <w:color w:val="231F20"/>
          <w:spacing w:val="-3"/>
          <w:sz w:val="20"/>
          <w:szCs w:val="20"/>
        </w:rPr>
        <w:t>通路径、服务形态和基础设施建设的高度丰富性，需要形成多方参与主体（供</w:t>
      </w:r>
      <w:r>
        <w:rPr>
          <w:rFonts w:ascii="Microsoft YaHei" w:eastAsia="Microsoft YaHei" w:hAnsi="Microsoft YaHei" w:cs="Microsoft YaHei"/>
          <w:color w:val="231F20"/>
          <w:spacing w:val="-4"/>
          <w:sz w:val="20"/>
          <w:szCs w:val="20"/>
        </w:rPr>
        <w:t>给方、需求方、交易所、</w:t>
      </w:r>
      <w:r>
        <w:rPr>
          <w:rFonts w:ascii="Microsoft YaHei" w:eastAsia="Microsoft YaHei" w:hAnsi="Microsoft YaHei" w:cs="Microsoft YaHei"/>
          <w:color w:val="231F20"/>
          <w:sz w:val="20"/>
          <w:szCs w:val="20"/>
        </w:rPr>
        <w:t xml:space="preserve"> </w:t>
      </w:r>
      <w:r>
        <w:rPr>
          <w:rFonts w:ascii="Microsoft YaHei" w:eastAsia="Microsoft YaHei" w:hAnsi="Microsoft YaHei" w:cs="Microsoft YaHei"/>
          <w:color w:val="231F20"/>
          <w:spacing w:val="-5"/>
          <w:sz w:val="20"/>
          <w:szCs w:val="20"/>
        </w:rPr>
        <w:t>基建提供方、服务商）、场内交易与场外交易、直接价值（数据本身）与间接价值（数</w:t>
      </w:r>
      <w:r>
        <w:rPr>
          <w:rFonts w:ascii="Microsoft YaHei" w:eastAsia="Microsoft YaHei" w:hAnsi="Microsoft YaHei" w:cs="Microsoft YaHei"/>
          <w:color w:val="231F20"/>
          <w:spacing w:val="-6"/>
          <w:sz w:val="20"/>
          <w:szCs w:val="20"/>
        </w:rPr>
        <w:t xml:space="preserve">据服务与产品）  </w:t>
      </w:r>
      <w:r>
        <w:rPr>
          <w:rFonts w:ascii="Microsoft YaHei" w:eastAsia="Microsoft YaHei" w:hAnsi="Microsoft YaHei" w:cs="Microsoft YaHei"/>
          <w:color w:val="231F20"/>
          <w:spacing w:val="-2"/>
          <w:sz w:val="20"/>
          <w:szCs w:val="20"/>
        </w:rPr>
        <w:t>融合的复杂网络。</w:t>
      </w:r>
    </w:p>
    <w:p>
      <w:pPr>
        <w:pStyle w:val="BodyText"/>
        <w:spacing w:line="272" w:lineRule="auto"/>
        <w:sectPr>
          <w:footerReference w:type="default" r:id="rId5"/>
          <w:pgSz w:w="11906" w:h="16158"/>
          <w:pgMar w:top="1177" w:right="1339" w:bottom="1105" w:left="1417" w:header="0" w:footer="746" w:gutter="0"/>
          <w:pgNumType w:start="2"/>
          <w:cols w:space="708"/>
        </w:sectPr>
      </w:pPr>
    </w:p>
    <w:p>
      <w:pPr>
        <w:spacing w:before="86" w:line="191" w:lineRule="auto"/>
        <w:ind w:left="292" w:right="16" w:firstLine="378"/>
        <w:jc w:val="both"/>
        <w:rPr>
          <w:rFonts w:ascii="Microsoft YaHei" w:eastAsia="Microsoft YaHei" w:hAnsi="Microsoft YaHei" w:cs="Microsoft YaHei"/>
          <w:sz w:val="20"/>
          <w:szCs w:val="20"/>
        </w:rPr>
      </w:pPr>
      <w:r>
        <w:rPr>
          <w:rFonts w:ascii="Microsoft YaHei" w:eastAsia="Microsoft YaHei" w:hAnsi="Microsoft YaHei" w:cs="Microsoft YaHei"/>
          <w:color w:val="231F20"/>
          <w:sz w:val="20"/>
          <w:szCs w:val="20"/>
        </w:rPr>
        <w:t xml:space="preserve">《数据价值网络》白皮书从数据价值本身出发，聚焦数据价值实现的不同路径，提出数据价值网  </w:t>
      </w:r>
      <w:r>
        <w:rPr>
          <w:rFonts w:ascii="Microsoft YaHei" w:eastAsia="Microsoft YaHei" w:hAnsi="Microsoft YaHei" w:cs="Microsoft YaHei"/>
          <w:color w:val="231F20"/>
          <w:spacing w:val="-3"/>
          <w:sz w:val="20"/>
          <w:szCs w:val="20"/>
        </w:rPr>
        <w:t>络的概念，并对其进行了应用服务市场、要</w:t>
      </w:r>
      <w:r>
        <w:rPr>
          <w:rFonts w:ascii="Microsoft YaHei" w:eastAsia="Microsoft YaHei" w:hAnsi="Microsoft YaHei" w:cs="Microsoft YaHei"/>
          <w:color w:val="231F20"/>
          <w:spacing w:val="-4"/>
          <w:sz w:val="20"/>
          <w:szCs w:val="20"/>
        </w:rPr>
        <w:t>素流通市场和基础工具市场的具象化拆分，结合行业痛点，</w:t>
      </w:r>
      <w:r>
        <w:rPr>
          <w:rFonts w:ascii="Microsoft YaHei" w:eastAsia="Microsoft YaHei" w:hAnsi="Microsoft YaHei" w:cs="Microsoft YaHei"/>
          <w:color w:val="231F20"/>
          <w:sz w:val="20"/>
          <w:szCs w:val="20"/>
        </w:rPr>
        <w:t xml:space="preserve"> </w:t>
      </w:r>
      <w:r>
        <w:rPr>
          <w:rFonts w:ascii="Microsoft YaHei" w:eastAsia="Microsoft YaHei" w:hAnsi="Microsoft YaHei" w:cs="Microsoft YaHei"/>
          <w:color w:val="231F20"/>
          <w:spacing w:val="-1"/>
          <w:sz w:val="20"/>
          <w:szCs w:val="20"/>
        </w:rPr>
        <w:t>梳理在应用侧、供给侧和基建侧的新机会。</w:t>
      </w:r>
    </w:p>
    <w:p>
      <w:pPr>
        <w:spacing w:before="323" w:line="236" w:lineRule="auto"/>
        <w:ind w:left="5982"/>
        <w:rPr>
          <w:rFonts w:ascii="Microsoft YaHei" w:eastAsia="Microsoft YaHei" w:hAnsi="Microsoft YaHei" w:cs="Microsoft YaHei"/>
          <w:sz w:val="20"/>
          <w:szCs w:val="20"/>
        </w:rPr>
      </w:pPr>
      <w:r>
        <w:rPr>
          <w:rFonts w:ascii="SimHei" w:eastAsia="SimHei" w:hAnsi="SimHei" w:cs="SimHei"/>
          <w:color w:val="231F20"/>
          <w:spacing w:val="-1"/>
          <w:sz w:val="26"/>
          <w:szCs w:val="26"/>
          <w14:textOutline w14:w="3175">
            <w14:solidFill>
              <w14:srgbClr w14:val="231F20"/>
            </w14:solidFill>
            <w14:prstDash w14:val="solid"/>
            <w14:miter w14:lim="0"/>
          </w14:textOutline>
        </w:rPr>
        <w:t>—李振华，</w:t>
      </w:r>
      <w:r>
        <w:rPr>
          <w:rFonts w:ascii="Microsoft YaHei" w:eastAsia="Microsoft YaHei" w:hAnsi="Microsoft YaHei" w:cs="Microsoft YaHei"/>
          <w:color w:val="231F20"/>
          <w:spacing w:val="-1"/>
          <w:sz w:val="20"/>
          <w:szCs w:val="20"/>
        </w:rPr>
        <w:t>蚂蚁集团研究院院长</w:t>
      </w:r>
    </w:p>
    <w:p>
      <w:pPr>
        <w:spacing w:line="236" w:lineRule="auto"/>
        <w:rPr>
          <w:rFonts w:ascii="Microsoft YaHei" w:eastAsia="Microsoft YaHei" w:hAnsi="Microsoft YaHei" w:cs="Microsoft YaHei"/>
          <w:sz w:val="20"/>
          <w:szCs w:val="20"/>
        </w:rPr>
        <w:sectPr>
          <w:footerReference w:type="default" r:id="rId6"/>
          <w:type w:val="nextPage"/>
          <w:pgSz w:w="11906" w:h="16158"/>
          <w:pgMar w:top="1177" w:right="1339" w:bottom="1105" w:left="1417" w:header="0" w:footer="746" w:gutter="0"/>
          <w:pgNumType w:start="3"/>
          <w:cols w:space="708"/>
          <w:titlePg w:val="0"/>
        </w:sectPr>
      </w:pPr>
    </w:p>
    <w:p>
      <w:pPr>
        <w:tabs>
          <w:tab w:val="left" w:pos="241"/>
        </w:tabs>
        <w:spacing w:before="45" w:line="203" w:lineRule="auto"/>
        <w:rPr>
          <w:rFonts w:ascii="Microsoft YaHei" w:eastAsia="Microsoft YaHei" w:hAnsi="Microsoft YaHei" w:cs="Microsoft YaHei"/>
          <w:sz w:val="20"/>
          <w:szCs w:val="20"/>
        </w:rPr>
      </w:pPr>
      <w:r>
        <w:pict>
          <v:rect id="_x0000_s1027" style="width:5.7pt;height:132.3pt;margin-top:103.46pt;margin-left:70.87pt;mso-position-horizontal-relative:page;mso-position-vertical-relative:page;position:absolute;z-index:251661312" o:allowincell="f" filled="t" fillcolor="#1d957e" stroked="f"/>
        </w:pict>
      </w:r>
      <w:r>
        <w:pict>
          <v:shape id="_x0000_s1028" style="width:113.4pt;height:0.5pt;margin-top:268.16pt;margin-left:411.02pt;mso-position-horizontal-relative:page;mso-position-vertical-relative:page;position:absolute;z-index:251662336" coordorigin="0,0" coordsize="2268,10" o:allowincell="f" path="m,5l2267,5e" filled="f" strokecolor="#007859" strokeweight="0.5pt">
            <v:stroke joinstyle="miter"/>
          </v:shape>
        </w:pict>
      </w:r>
      <w:r>
        <w:rPr>
          <w:rFonts w:ascii="Microsoft Tai Le" w:eastAsia="Microsoft Tai Le" w:hAnsi="Microsoft Tai Le" w:cs="Microsoft Tai Le"/>
          <w:color w:val="FFFFFF"/>
          <w:sz w:val="20"/>
          <w:szCs w:val="20"/>
          <w:shd w:val="clear" w:color="auto" w:fill="007859"/>
        </w:rPr>
        <w:tab/>
      </w:r>
      <w:r>
        <w:rPr>
          <w:rFonts w:ascii="Microsoft Tai Le" w:eastAsia="Microsoft Tai Le" w:hAnsi="Microsoft Tai Le" w:cs="Microsoft Tai Le"/>
          <w:color w:val="FFFFFF"/>
          <w:spacing w:val="-4"/>
          <w:sz w:val="20"/>
          <w:szCs w:val="20"/>
          <w:shd w:val="clear" w:color="auto" w:fill="007859"/>
        </w:rPr>
        <w:t>2</w:t>
      </w:r>
      <w:r>
        <w:rPr>
          <w:rFonts w:ascii="Microsoft Tai Le" w:eastAsia="Microsoft Tai Le" w:hAnsi="Microsoft Tai Le" w:cs="Microsoft Tai Le"/>
          <w:color w:val="FFFFFF"/>
          <w:spacing w:val="1"/>
          <w:sz w:val="20"/>
          <w:szCs w:val="20"/>
          <w:shd w:val="clear" w:color="auto" w:fill="007859"/>
        </w:rPr>
        <w:t xml:space="preserve">                                        </w:t>
      </w:r>
      <w:r>
        <w:rPr>
          <w:rFonts w:ascii="Microsoft Tai Le" w:eastAsia="Microsoft Tai Le" w:hAnsi="Microsoft Tai Le" w:cs="Microsoft Tai Le"/>
          <w:color w:val="FFFFFF"/>
          <w:sz w:val="20"/>
          <w:szCs w:val="20"/>
          <w:shd w:val="clear" w:color="auto" w:fill="007859"/>
        </w:rPr>
        <w:t xml:space="preserve">                                                                                             </w:t>
      </w:r>
      <w:r>
        <w:rPr>
          <w:rFonts w:ascii="Microsoft YaHei" w:eastAsia="Microsoft YaHei" w:hAnsi="Microsoft YaHei" w:cs="Microsoft YaHei"/>
          <w:color w:val="FFFFFF"/>
          <w:spacing w:val="-4"/>
          <w:sz w:val="20"/>
          <w:szCs w:val="20"/>
          <w:shd w:val="clear" w:color="auto" w:fill="007859"/>
        </w:rPr>
        <w:t xml:space="preserve">数据价值网络    </w:t>
      </w:r>
    </w:p>
    <w:p>
      <w:pPr>
        <w:pStyle w:val="BodyText"/>
        <w:spacing w:line="328" w:lineRule="auto"/>
      </w:pPr>
    </w:p>
    <w:p>
      <w:pPr>
        <w:pStyle w:val="BodyText"/>
        <w:spacing w:line="328" w:lineRule="auto"/>
      </w:pPr>
    </w:p>
    <w:p>
      <w:pPr>
        <w:spacing w:before="86" w:line="197" w:lineRule="auto"/>
        <w:ind w:left="292" w:right="9" w:firstLine="400"/>
        <w:rPr>
          <w:rFonts w:ascii="Microsoft YaHei" w:eastAsia="Microsoft YaHei" w:hAnsi="Microsoft YaHei" w:cs="Microsoft YaHei"/>
          <w:sz w:val="20"/>
          <w:szCs w:val="20"/>
        </w:rPr>
      </w:pPr>
      <w:r>
        <w:rPr>
          <w:rFonts w:ascii="Microsoft YaHei" w:eastAsia="Microsoft YaHei" w:hAnsi="Microsoft YaHei" w:cs="Microsoft YaHei"/>
          <w:color w:val="231F20"/>
          <w:sz w:val="20"/>
          <w:szCs w:val="20"/>
        </w:rPr>
        <w:t>在数字经济时代，数据已成为促进社会进步和创</w:t>
      </w:r>
      <w:r>
        <w:rPr>
          <w:rFonts w:ascii="Microsoft YaHei" w:eastAsia="Microsoft YaHei" w:hAnsi="Microsoft YaHei" w:cs="Microsoft YaHei"/>
          <w:color w:val="231F20"/>
          <w:spacing w:val="-1"/>
          <w:sz w:val="20"/>
          <w:szCs w:val="20"/>
        </w:rPr>
        <w:t>新发展的关键动力，而其价值的实现有赖于广泛</w:t>
      </w:r>
      <w:r>
        <w:rPr>
          <w:rFonts w:ascii="Microsoft YaHei" w:eastAsia="Microsoft YaHei" w:hAnsi="Microsoft YaHei" w:cs="Microsoft YaHei"/>
          <w:color w:val="231F20"/>
          <w:sz w:val="20"/>
          <w:szCs w:val="20"/>
        </w:rPr>
        <w:t xml:space="preserve"> </w:t>
      </w:r>
      <w:r>
        <w:rPr>
          <w:rFonts w:ascii="Microsoft YaHei" w:eastAsia="Microsoft YaHei" w:hAnsi="Microsoft YaHei" w:cs="Microsoft YaHei"/>
          <w:color w:val="231F20"/>
          <w:spacing w:val="-1"/>
          <w:sz w:val="20"/>
          <w:szCs w:val="20"/>
        </w:rPr>
        <w:t>的应用。尽管如此，</w:t>
      </w:r>
      <w:r>
        <w:rPr>
          <w:rFonts w:ascii="Microsoft YaHei" w:eastAsia="Microsoft YaHei" w:hAnsi="Microsoft YaHei" w:cs="Microsoft YaHei"/>
          <w:color w:val="231F20"/>
          <w:spacing w:val="-39"/>
          <w:sz w:val="20"/>
          <w:szCs w:val="20"/>
        </w:rPr>
        <w:t xml:space="preserve"> </w:t>
      </w:r>
      <w:r>
        <w:rPr>
          <w:rFonts w:ascii="Microsoft YaHei" w:eastAsia="Microsoft YaHei" w:hAnsi="Microsoft YaHei" w:cs="Microsoft YaHei"/>
          <w:color w:val="231F20"/>
          <w:spacing w:val="-1"/>
          <w:sz w:val="20"/>
          <w:szCs w:val="20"/>
        </w:rPr>
        <w:t>当前企业面临合规风险、安全压力、数据治理能力不足、加工及场景挖掘有限等</w:t>
      </w:r>
      <w:r>
        <w:rPr>
          <w:rFonts w:ascii="Microsoft YaHei" w:eastAsia="Microsoft YaHei" w:hAnsi="Microsoft YaHei" w:cs="Microsoft YaHei"/>
          <w:color w:val="231F20"/>
          <w:sz w:val="20"/>
          <w:szCs w:val="20"/>
        </w:rPr>
        <w:t xml:space="preserve"> </w:t>
      </w:r>
      <w:r>
        <w:rPr>
          <w:rFonts w:ascii="Microsoft YaHei" w:eastAsia="Microsoft YaHei" w:hAnsi="Microsoft YaHei" w:cs="Microsoft YaHei"/>
          <w:color w:val="231F20"/>
          <w:spacing w:val="-10"/>
          <w:sz w:val="20"/>
          <w:szCs w:val="20"/>
        </w:rPr>
        <w:t>多重挑战，导致对数据资源的利用心存疑虑，存在“不会用”、“不敢用”、“不能用”等方面的难题。</w:t>
      </w:r>
      <w:r>
        <w:rPr>
          <w:rFonts w:ascii="Microsoft YaHei" w:eastAsia="Microsoft YaHei" w:hAnsi="Microsoft YaHei" w:cs="Microsoft YaHei"/>
          <w:color w:val="231F20"/>
          <w:spacing w:val="18"/>
          <w:w w:val="101"/>
          <w:sz w:val="20"/>
          <w:szCs w:val="20"/>
        </w:rPr>
        <w:t xml:space="preserve"> </w:t>
      </w:r>
      <w:r>
        <w:rPr>
          <w:rFonts w:ascii="Microsoft YaHei" w:eastAsia="Microsoft YaHei" w:hAnsi="Microsoft YaHei" w:cs="Microsoft YaHei"/>
          <w:color w:val="231F20"/>
          <w:spacing w:val="-4"/>
          <w:sz w:val="20"/>
          <w:szCs w:val="20"/>
        </w:rPr>
        <w:t>针对这一现状，“数据要素</w:t>
      </w:r>
      <w:r>
        <w:rPr>
          <w:rFonts w:ascii="Microsoft YaHei" w:eastAsia="Microsoft YaHei" w:hAnsi="Microsoft YaHei" w:cs="Microsoft YaHei"/>
          <w:color w:val="231F20"/>
          <w:spacing w:val="-34"/>
          <w:sz w:val="20"/>
          <w:szCs w:val="20"/>
        </w:rPr>
        <w:t xml:space="preserve"> </w:t>
      </w:r>
      <w:r>
        <w:rPr>
          <w:rFonts w:ascii="Microsoft Tai Le" w:eastAsia="Microsoft Tai Le" w:hAnsi="Microsoft Tai Le" w:cs="Microsoft Tai Le"/>
          <w:color w:val="231F20"/>
          <w:spacing w:val="-4"/>
          <w:sz w:val="20"/>
          <w:szCs w:val="20"/>
        </w:rPr>
        <w:t>x</w:t>
      </w:r>
      <w:r>
        <w:rPr>
          <w:rFonts w:ascii="Microsoft Tai Le" w:eastAsia="Microsoft Tai Le" w:hAnsi="Microsoft Tai Le" w:cs="Microsoft Tai Le"/>
          <w:color w:val="231F20"/>
          <w:spacing w:val="-27"/>
          <w:sz w:val="20"/>
          <w:szCs w:val="20"/>
        </w:rPr>
        <w:t xml:space="preserve"> </w:t>
      </w:r>
      <w:r>
        <w:rPr>
          <w:rFonts w:ascii="Microsoft YaHei" w:eastAsia="Microsoft YaHei" w:hAnsi="Microsoft YaHei" w:cs="Microsoft YaHei"/>
          <w:color w:val="231F20"/>
          <w:spacing w:val="-4"/>
          <w:sz w:val="20"/>
          <w:szCs w:val="20"/>
        </w:rPr>
        <w:t>”行动的研究规划聚焦于行业应用和场景</w:t>
      </w:r>
      <w:r>
        <w:rPr>
          <w:rFonts w:ascii="Microsoft YaHei" w:eastAsia="Microsoft YaHei" w:hAnsi="Microsoft YaHei" w:cs="Microsoft YaHei"/>
          <w:color w:val="231F20"/>
          <w:spacing w:val="-5"/>
          <w:sz w:val="20"/>
          <w:szCs w:val="20"/>
        </w:rPr>
        <w:t>挖掘，</w:t>
      </w:r>
      <w:r>
        <w:rPr>
          <w:rFonts w:ascii="Microsoft YaHei" w:eastAsia="Microsoft YaHei" w:hAnsi="Microsoft YaHei" w:cs="Microsoft YaHei"/>
          <w:color w:val="231F20"/>
          <w:spacing w:val="-33"/>
          <w:sz w:val="20"/>
          <w:szCs w:val="20"/>
        </w:rPr>
        <w:t xml:space="preserve"> </w:t>
      </w:r>
      <w:r>
        <w:rPr>
          <w:rFonts w:ascii="Microsoft YaHei" w:eastAsia="Microsoft YaHei" w:hAnsi="Microsoft YaHei" w:cs="Microsoft YaHei"/>
          <w:color w:val="231F20"/>
          <w:spacing w:val="-5"/>
          <w:sz w:val="20"/>
          <w:szCs w:val="20"/>
        </w:rPr>
        <w:t>旨在释放数据要素的潜在</w:t>
      </w:r>
      <w:r>
        <w:rPr>
          <w:rFonts w:ascii="Microsoft YaHei" w:eastAsia="Microsoft YaHei" w:hAnsi="Microsoft YaHei" w:cs="Microsoft YaHei"/>
          <w:color w:val="231F20"/>
          <w:sz w:val="20"/>
          <w:szCs w:val="20"/>
        </w:rPr>
        <w:t xml:space="preserve"> </w:t>
      </w:r>
      <w:r>
        <w:rPr>
          <w:rFonts w:ascii="Microsoft YaHei" w:eastAsia="Microsoft YaHei" w:hAnsi="Microsoft YaHei" w:cs="Microsoft YaHei"/>
          <w:color w:val="231F20"/>
          <w:spacing w:val="-3"/>
          <w:sz w:val="20"/>
          <w:szCs w:val="20"/>
        </w:rPr>
        <w:t>价值，更好地促进“数实融合”。</w:t>
      </w:r>
    </w:p>
    <w:p>
      <w:pPr>
        <w:pStyle w:val="BodyText"/>
        <w:spacing w:line="243" w:lineRule="auto"/>
      </w:pPr>
    </w:p>
    <w:p>
      <w:pPr>
        <w:spacing w:before="86" w:line="199" w:lineRule="auto"/>
        <w:ind w:left="292" w:right="20" w:firstLine="378"/>
        <w:rPr>
          <w:rFonts w:ascii="Microsoft YaHei" w:eastAsia="Microsoft YaHei" w:hAnsi="Microsoft YaHei" w:cs="Microsoft YaHei"/>
          <w:sz w:val="20"/>
          <w:szCs w:val="20"/>
        </w:rPr>
      </w:pPr>
      <w:r>
        <w:rPr>
          <w:rFonts w:ascii="Microsoft YaHei" w:eastAsia="Microsoft YaHei" w:hAnsi="Microsoft YaHei" w:cs="Microsoft YaHei"/>
          <w:color w:val="231F20"/>
          <w:sz w:val="20"/>
          <w:szCs w:val="20"/>
        </w:rPr>
        <w:t>《数据价值网络》白皮书阐述了以应用为导向的数据价值体系，发布正</w:t>
      </w:r>
      <w:r>
        <w:rPr>
          <w:rFonts w:ascii="Microsoft YaHei" w:eastAsia="Microsoft YaHei" w:hAnsi="Microsoft YaHei" w:cs="Microsoft YaHei"/>
          <w:color w:val="231F20"/>
          <w:spacing w:val="-1"/>
          <w:sz w:val="20"/>
          <w:szCs w:val="20"/>
        </w:rPr>
        <w:t>当其时，有助于市场主体</w:t>
      </w:r>
      <w:r>
        <w:rPr>
          <w:rFonts w:ascii="Microsoft YaHei" w:eastAsia="Microsoft YaHei" w:hAnsi="Microsoft YaHei" w:cs="Microsoft YaHei"/>
          <w:color w:val="231F20"/>
          <w:sz w:val="20"/>
          <w:szCs w:val="20"/>
        </w:rPr>
        <w:t xml:space="preserve"> </w:t>
      </w:r>
      <w:r>
        <w:rPr>
          <w:rFonts w:ascii="Microsoft YaHei" w:eastAsia="Microsoft YaHei" w:hAnsi="Microsoft YaHei" w:cs="Microsoft YaHei"/>
          <w:color w:val="231F20"/>
          <w:spacing w:val="-1"/>
          <w:sz w:val="20"/>
          <w:szCs w:val="20"/>
        </w:rPr>
        <w:t>把握数据价值体系，为以应用为驱动的数据价值释放提供了研究参考。</w:t>
      </w:r>
    </w:p>
    <w:p>
      <w:pPr>
        <w:spacing w:before="291" w:line="236" w:lineRule="auto"/>
        <w:ind w:right="10"/>
        <w:jc w:val="right"/>
        <w:rPr>
          <w:rFonts w:ascii="Microsoft YaHei" w:eastAsia="Microsoft YaHei" w:hAnsi="Microsoft YaHei" w:cs="Microsoft YaHei"/>
          <w:sz w:val="20"/>
          <w:szCs w:val="20"/>
        </w:rPr>
      </w:pPr>
      <w:r>
        <w:rPr>
          <w:rFonts w:ascii="SimHei" w:eastAsia="SimHei" w:hAnsi="SimHei" w:cs="SimHei"/>
          <w:color w:val="231F20"/>
          <w:spacing w:val="-1"/>
          <w:sz w:val="26"/>
          <w:szCs w:val="26"/>
          <w14:textOutline w14:w="3175">
            <w14:solidFill>
              <w14:srgbClr w14:val="231F20"/>
            </w14:solidFill>
            <w14:prstDash w14:val="solid"/>
            <w14:miter w14:lim="0"/>
          </w14:textOutline>
        </w:rPr>
        <w:t>—李红光，</w:t>
      </w:r>
      <w:r>
        <w:rPr>
          <w:rFonts w:ascii="Microsoft YaHei" w:eastAsia="Microsoft YaHei" w:hAnsi="Microsoft YaHei" w:cs="Microsoft YaHei"/>
          <w:color w:val="231F20"/>
          <w:spacing w:val="-1"/>
          <w:sz w:val="20"/>
          <w:szCs w:val="20"/>
        </w:rPr>
        <w:t>深圳数据交易所董事长</w:t>
      </w:r>
    </w:p>
    <w:p>
      <w:pPr>
        <w:pStyle w:val="BodyText"/>
        <w:spacing w:line="247" w:lineRule="auto"/>
      </w:pPr>
    </w:p>
    <w:p>
      <w:pPr>
        <w:pStyle w:val="BodyText"/>
        <w:spacing w:line="248" w:lineRule="auto"/>
      </w:pPr>
    </w:p>
    <w:p>
      <w:pPr>
        <w:pStyle w:val="BodyText"/>
        <w:spacing w:line="248" w:lineRule="auto"/>
      </w:pPr>
    </w:p>
    <w:p>
      <w:pPr>
        <w:spacing w:before="75" w:line="243" w:lineRule="auto"/>
        <w:ind w:left="7" w:right="10" w:firstLine="460"/>
        <w:jc w:val="both"/>
        <w:rPr>
          <w:rFonts w:ascii="SimSun" w:eastAsia="SimSun" w:hAnsi="SimSun" w:cs="SimSun"/>
          <w:sz w:val="23"/>
          <w:szCs w:val="23"/>
        </w:rPr>
      </w:pPr>
      <w:r>
        <w:rPr>
          <w:rFonts w:ascii="SimSun" w:eastAsia="SimSun" w:hAnsi="SimSun" w:cs="SimSun"/>
          <w:color w:val="231F20"/>
          <w:spacing w:val="2"/>
          <w:sz w:val="23"/>
          <w:szCs w:val="23"/>
          <w14:textOutline w14:w="3175">
            <w14:solidFill>
              <w14:srgbClr w14:val="231F20"/>
            </w14:solidFill>
            <w14:prstDash w14:val="solid"/>
            <w14:miter w14:lim="0"/>
          </w14:textOutline>
        </w:rPr>
        <w:t>在当今数字化时代，数据已成为驱动创新和决策的关键要素，也是推动经济增长和社</w:t>
      </w:r>
      <w:r>
        <w:rPr>
          <w:rFonts w:ascii="SimSun" w:eastAsia="SimSun" w:hAnsi="SimSun" w:cs="SimSun"/>
          <w:color w:val="231F20"/>
          <w:spacing w:val="14"/>
          <w:sz w:val="23"/>
          <w:szCs w:val="23"/>
        </w:rPr>
        <w:t xml:space="preserve"> </w:t>
      </w:r>
      <w:r>
        <w:rPr>
          <w:rFonts w:ascii="SimSun" w:eastAsia="SimSun" w:hAnsi="SimSun" w:cs="SimSun"/>
          <w:color w:val="231F20"/>
          <w:sz w:val="23"/>
          <w:szCs w:val="23"/>
          <w14:textOutline w14:w="3175">
            <w14:solidFill>
              <w14:srgbClr w14:val="231F20"/>
            </w14:solidFill>
            <w14:prstDash w14:val="solid"/>
            <w14:miter w14:lim="0"/>
          </w14:textOutline>
        </w:rPr>
        <w:t>会进步的重要资源。</w:t>
      </w:r>
      <w:r>
        <w:rPr>
          <w:rFonts w:ascii="Georgia" w:eastAsia="Georgia" w:hAnsi="Georgia" w:cs="Georgia"/>
          <w:color w:val="231F20"/>
          <w:sz w:val="23"/>
          <w:szCs w:val="23"/>
        </w:rPr>
        <w:t>2020</w:t>
      </w:r>
      <w:r>
        <w:rPr>
          <w:rFonts w:ascii="Georgia" w:eastAsia="Georgia" w:hAnsi="Georgia" w:cs="Georgia"/>
          <w:color w:val="231F20"/>
          <w:spacing w:val="-16"/>
          <w:sz w:val="23"/>
          <w:szCs w:val="23"/>
        </w:rPr>
        <w:t xml:space="preserve"> </w:t>
      </w:r>
      <w:r>
        <w:rPr>
          <w:rFonts w:ascii="SimSun" w:eastAsia="SimSun" w:hAnsi="SimSun" w:cs="SimSun"/>
          <w:color w:val="231F20"/>
          <w:sz w:val="23"/>
          <w:szCs w:val="23"/>
        </w:rPr>
        <w:t>年</w:t>
      </w:r>
      <w:r>
        <w:rPr>
          <w:rFonts w:ascii="Georgia" w:eastAsia="Georgia" w:hAnsi="Georgia" w:cs="Georgia"/>
          <w:color w:val="231F20"/>
          <w:sz w:val="23"/>
          <w:szCs w:val="23"/>
        </w:rPr>
        <w:t xml:space="preserve">4 </w:t>
      </w:r>
      <w:r>
        <w:rPr>
          <w:rFonts w:ascii="SimSun" w:eastAsia="SimSun" w:hAnsi="SimSun" w:cs="SimSun"/>
          <w:color w:val="231F20"/>
          <w:sz w:val="23"/>
          <w:szCs w:val="23"/>
        </w:rPr>
        <w:t xml:space="preserve">月，国务院发布《关于构建更加完善的要素市场化配置体制 </w:t>
      </w:r>
      <w:r>
        <w:rPr>
          <w:rFonts w:ascii="SimSun" w:eastAsia="SimSun" w:hAnsi="SimSun" w:cs="SimSun"/>
          <w:color w:val="231F20"/>
          <w:spacing w:val="-3"/>
          <w:sz w:val="23"/>
          <w:szCs w:val="23"/>
        </w:rPr>
        <w:t>机制的意见》，将数据增列为生产要素，中国成为全</w:t>
      </w:r>
      <w:r>
        <w:rPr>
          <w:rFonts w:ascii="SimSun" w:eastAsia="SimSun" w:hAnsi="SimSun" w:cs="SimSun"/>
          <w:color w:val="231F20"/>
          <w:spacing w:val="-4"/>
          <w:sz w:val="23"/>
          <w:szCs w:val="23"/>
        </w:rPr>
        <w:t>球第一个在国家政策层面将数据确立为</w:t>
      </w:r>
      <w:r>
        <w:rPr>
          <w:rFonts w:ascii="SimSun" w:eastAsia="SimSun" w:hAnsi="SimSun" w:cs="SimSun"/>
          <w:color w:val="231F20"/>
          <w:sz w:val="23"/>
          <w:szCs w:val="23"/>
        </w:rPr>
        <w:t xml:space="preserve"> </w:t>
      </w:r>
      <w:r>
        <w:rPr>
          <w:rFonts w:ascii="SimSun" w:eastAsia="SimSun" w:hAnsi="SimSun" w:cs="SimSun"/>
          <w:color w:val="231F20"/>
          <w:spacing w:val="-2"/>
          <w:sz w:val="23"/>
          <w:szCs w:val="23"/>
        </w:rPr>
        <w:t>生产要素的国家。</w:t>
      </w:r>
      <w:r>
        <w:rPr>
          <w:rFonts w:ascii="Georgia" w:eastAsia="Georgia" w:hAnsi="Georgia" w:cs="Georgia"/>
          <w:color w:val="231F20"/>
          <w:spacing w:val="-2"/>
          <w:sz w:val="23"/>
          <w:szCs w:val="23"/>
        </w:rPr>
        <w:t>2022</w:t>
      </w:r>
      <w:r>
        <w:rPr>
          <w:rFonts w:ascii="Georgia" w:eastAsia="Georgia" w:hAnsi="Georgia" w:cs="Georgia"/>
          <w:color w:val="231F20"/>
          <w:spacing w:val="-8"/>
          <w:sz w:val="23"/>
          <w:szCs w:val="23"/>
        </w:rPr>
        <w:t xml:space="preserve"> </w:t>
      </w:r>
      <w:r>
        <w:rPr>
          <w:rFonts w:ascii="SimSun" w:eastAsia="SimSun" w:hAnsi="SimSun" w:cs="SimSun"/>
          <w:color w:val="231F20"/>
          <w:spacing w:val="-2"/>
          <w:sz w:val="23"/>
          <w:szCs w:val="23"/>
        </w:rPr>
        <w:t>年</w:t>
      </w:r>
      <w:r>
        <w:rPr>
          <w:rFonts w:ascii="Georgia" w:eastAsia="Georgia" w:hAnsi="Georgia" w:cs="Georgia"/>
          <w:color w:val="231F20"/>
          <w:spacing w:val="-2"/>
          <w:sz w:val="23"/>
          <w:szCs w:val="23"/>
        </w:rPr>
        <w:t xml:space="preserve">12 </w:t>
      </w:r>
      <w:r>
        <w:rPr>
          <w:rFonts w:ascii="SimSun" w:eastAsia="SimSun" w:hAnsi="SimSun" w:cs="SimSun"/>
          <w:color w:val="231F20"/>
          <w:spacing w:val="-2"/>
          <w:sz w:val="23"/>
          <w:szCs w:val="23"/>
        </w:rPr>
        <w:t>月，国务院发布《关于构建数据基础制度更好发挥数据要素作</w:t>
      </w:r>
      <w:r>
        <w:rPr>
          <w:rFonts w:ascii="SimSun" w:eastAsia="SimSun" w:hAnsi="SimSun" w:cs="SimSun"/>
          <w:color w:val="231F20"/>
          <w:sz w:val="23"/>
          <w:szCs w:val="23"/>
        </w:rPr>
        <w:t xml:space="preserve"> </w:t>
      </w:r>
      <w:r>
        <w:rPr>
          <w:rFonts w:ascii="SimSun" w:eastAsia="SimSun" w:hAnsi="SimSun" w:cs="SimSun"/>
          <w:color w:val="231F20"/>
          <w:spacing w:val="-3"/>
          <w:sz w:val="23"/>
          <w:szCs w:val="23"/>
        </w:rPr>
        <w:t>用的意见》，提出建设数据要素流通和交易制</w:t>
      </w:r>
      <w:r>
        <w:rPr>
          <w:rFonts w:ascii="SimSun" w:eastAsia="SimSun" w:hAnsi="SimSun" w:cs="SimSun"/>
          <w:color w:val="231F20"/>
          <w:spacing w:val="-4"/>
          <w:sz w:val="23"/>
          <w:szCs w:val="23"/>
        </w:rPr>
        <w:t>度、数据要素收益分配制度、数据要素治理制</w:t>
      </w:r>
      <w:r>
        <w:rPr>
          <w:rFonts w:ascii="SimSun" w:eastAsia="SimSun" w:hAnsi="SimSun" w:cs="SimSun"/>
          <w:color w:val="231F20"/>
          <w:sz w:val="23"/>
          <w:szCs w:val="23"/>
        </w:rPr>
        <w:t xml:space="preserve"> </w:t>
      </w:r>
      <w:r>
        <w:rPr>
          <w:rFonts w:ascii="SimSun" w:eastAsia="SimSun" w:hAnsi="SimSun" w:cs="SimSun"/>
          <w:color w:val="231F20"/>
          <w:spacing w:val="-2"/>
          <w:sz w:val="23"/>
          <w:szCs w:val="23"/>
        </w:rPr>
        <w:t>度等，促进数据高效流动使用，赋能实体经济。</w:t>
      </w:r>
    </w:p>
    <w:p>
      <w:pPr>
        <w:pStyle w:val="BodyText"/>
        <w:spacing w:line="281" w:lineRule="auto"/>
      </w:pPr>
    </w:p>
    <w:p>
      <w:pPr>
        <w:spacing w:before="75" w:line="238" w:lineRule="auto"/>
        <w:ind w:left="11" w:right="9" w:firstLine="464"/>
        <w:jc w:val="both"/>
        <w:rPr>
          <w:rFonts w:ascii="SimSun" w:eastAsia="SimSun" w:hAnsi="SimSun" w:cs="SimSun"/>
          <w:sz w:val="23"/>
          <w:szCs w:val="23"/>
        </w:rPr>
      </w:pPr>
      <w:r>
        <w:rPr>
          <w:rFonts w:ascii="SimSun" w:eastAsia="SimSun" w:hAnsi="SimSun" w:cs="SimSun"/>
          <w:color w:val="231F20"/>
          <w:spacing w:val="2"/>
          <w:sz w:val="23"/>
          <w:szCs w:val="23"/>
          <w14:textOutline w14:w="3175">
            <w14:solidFill>
              <w14:srgbClr w14:val="231F20"/>
            </w14:solidFill>
            <w14:prstDash w14:val="solid"/>
            <w14:miter w14:lim="0"/>
          </w14:textOutline>
        </w:rPr>
        <w:t>为更好地释放数据价值，国家正在积极推进数据要素市场化配置改革，目前数据要素</w:t>
      </w:r>
      <w:r>
        <w:rPr>
          <w:rFonts w:ascii="SimSun" w:eastAsia="SimSun" w:hAnsi="SimSun" w:cs="SimSun"/>
          <w:color w:val="231F20"/>
          <w:spacing w:val="6"/>
          <w:sz w:val="23"/>
          <w:szCs w:val="23"/>
        </w:rPr>
        <w:t xml:space="preserve"> </w:t>
      </w:r>
      <w:r>
        <w:rPr>
          <w:rFonts w:ascii="SimSun" w:eastAsia="SimSun" w:hAnsi="SimSun" w:cs="SimSun"/>
          <w:color w:val="231F20"/>
          <w:spacing w:val="2"/>
          <w:sz w:val="23"/>
          <w:szCs w:val="23"/>
          <w14:textOutline w14:w="3175">
            <w14:solidFill>
              <w14:srgbClr w14:val="231F20"/>
            </w14:solidFill>
            <w14:prstDash w14:val="solid"/>
            <w14:miter w14:lim="0"/>
          </w14:textOutline>
        </w:rPr>
        <w:t>市场规划已逐步完善，相关标准也在加速制定，发展路线更加清晰，实践也愈加丰富。</w:t>
      </w:r>
      <w:r>
        <w:rPr>
          <w:rFonts w:ascii="SimSun" w:eastAsia="SimSun" w:hAnsi="SimSun" w:cs="SimSun"/>
          <w:color w:val="231F20"/>
          <w:spacing w:val="2"/>
          <w:sz w:val="23"/>
          <w:szCs w:val="23"/>
        </w:rPr>
        <w:t>数</w:t>
      </w:r>
      <w:r>
        <w:rPr>
          <w:rFonts w:ascii="SimSun" w:eastAsia="SimSun" w:hAnsi="SimSun" w:cs="SimSun"/>
          <w:color w:val="231F20"/>
          <w:spacing w:val="10"/>
          <w:sz w:val="23"/>
          <w:szCs w:val="23"/>
        </w:rPr>
        <w:t xml:space="preserve"> </w:t>
      </w:r>
      <w:r>
        <w:rPr>
          <w:rFonts w:ascii="SimSun" w:eastAsia="SimSun" w:hAnsi="SimSun" w:cs="SimSun"/>
          <w:color w:val="231F20"/>
          <w:spacing w:val="2"/>
          <w:sz w:val="23"/>
          <w:szCs w:val="23"/>
        </w:rPr>
        <w:t>据的创新应用已悄然改变了很多行业的商业发展模式，其价值不仅仅在于数据本身，更在</w:t>
      </w:r>
      <w:r>
        <w:rPr>
          <w:rFonts w:ascii="SimSun" w:eastAsia="SimSun" w:hAnsi="SimSun" w:cs="SimSun"/>
          <w:color w:val="231F20"/>
          <w:spacing w:val="11"/>
          <w:sz w:val="23"/>
          <w:szCs w:val="23"/>
        </w:rPr>
        <w:t xml:space="preserve"> </w:t>
      </w:r>
      <w:r>
        <w:rPr>
          <w:rFonts w:ascii="SimSun" w:eastAsia="SimSun" w:hAnsi="SimSun" w:cs="SimSun"/>
          <w:color w:val="231F20"/>
          <w:spacing w:val="-2"/>
          <w:sz w:val="23"/>
          <w:szCs w:val="23"/>
        </w:rPr>
        <w:t>于利用数据重塑业务。</w:t>
      </w:r>
    </w:p>
    <w:p>
      <w:pPr>
        <w:pStyle w:val="BodyText"/>
        <w:spacing w:line="289" w:lineRule="auto"/>
      </w:pPr>
    </w:p>
    <w:p>
      <w:pPr>
        <w:spacing w:before="76" w:line="237" w:lineRule="auto"/>
        <w:ind w:left="12" w:right="12" w:firstLine="457"/>
        <w:jc w:val="both"/>
        <w:rPr>
          <w:rFonts w:ascii="SimSun" w:eastAsia="SimSun" w:hAnsi="SimSun" w:cs="SimSun"/>
          <w:sz w:val="23"/>
          <w:szCs w:val="23"/>
        </w:rPr>
      </w:pPr>
      <w:r>
        <w:rPr>
          <w:rFonts w:ascii="SimSun" w:eastAsia="SimSun" w:hAnsi="SimSun" w:cs="SimSun"/>
          <w:color w:val="231F20"/>
          <w:spacing w:val="2"/>
          <w:sz w:val="23"/>
          <w:szCs w:val="23"/>
        </w:rPr>
        <w:t>本报告将围绕数据价值网络，深入探讨数据价值创造的基本原理、流通的基本规律和</w:t>
      </w:r>
      <w:r>
        <w:rPr>
          <w:rFonts w:ascii="SimSun" w:eastAsia="SimSun" w:hAnsi="SimSun" w:cs="SimSun"/>
          <w:color w:val="231F20"/>
          <w:spacing w:val="13"/>
          <w:sz w:val="23"/>
          <w:szCs w:val="23"/>
        </w:rPr>
        <w:t xml:space="preserve"> </w:t>
      </w:r>
      <w:r>
        <w:rPr>
          <w:rFonts w:ascii="SimSun" w:eastAsia="SimSun" w:hAnsi="SimSun" w:cs="SimSun"/>
          <w:color w:val="231F20"/>
          <w:spacing w:val="2"/>
          <w:sz w:val="23"/>
          <w:szCs w:val="23"/>
        </w:rPr>
        <w:t>各参与方职能，详细阐述市场供需现状、各应用场景下数据价值网络流通链路变化，并对</w:t>
      </w:r>
      <w:r>
        <w:rPr>
          <w:rFonts w:ascii="SimSun" w:eastAsia="SimSun" w:hAnsi="SimSun" w:cs="SimSun"/>
          <w:color w:val="231F20"/>
          <w:spacing w:val="8"/>
          <w:sz w:val="23"/>
          <w:szCs w:val="23"/>
        </w:rPr>
        <w:t xml:space="preserve"> </w:t>
      </w:r>
      <w:r>
        <w:rPr>
          <w:rFonts w:ascii="SimSun" w:eastAsia="SimSun" w:hAnsi="SimSun" w:cs="SimSun"/>
          <w:color w:val="231F20"/>
          <w:spacing w:val="-5"/>
          <w:sz w:val="23"/>
          <w:szCs w:val="23"/>
        </w:rPr>
        <w:t>主要机会点进行了总结。核心观点如下：</w:t>
      </w:r>
    </w:p>
    <w:p>
      <w:pPr>
        <w:pStyle w:val="BodyText"/>
        <w:spacing w:line="274" w:lineRule="auto"/>
      </w:pPr>
    </w:p>
    <w:p>
      <w:pPr>
        <w:spacing w:before="75"/>
        <w:ind w:left="463" w:right="9" w:hanging="449"/>
        <w:rPr>
          <w:rFonts w:ascii="SimSun" w:eastAsia="SimSun" w:hAnsi="SimSun" w:cs="SimSun"/>
          <w:sz w:val="23"/>
          <w:szCs w:val="23"/>
        </w:rPr>
        <w:sectPr>
          <w:footerReference w:type="default" r:id="rId7"/>
          <w:pgSz w:w="11906" w:h="16158"/>
          <w:pgMar w:top="1126" w:right="1405" w:bottom="1105" w:left="1417" w:header="0" w:footer="746" w:gutter="0"/>
          <w:pgNumType w:start="4"/>
          <w:cols w:space="708"/>
        </w:sectPr>
      </w:pPr>
      <w:r>
        <w:rPr>
          <w:rFonts w:ascii="Georgia" w:eastAsia="Georgia" w:hAnsi="Georgia" w:cs="Georgia"/>
          <w:color w:val="007859"/>
          <w:spacing w:val="2"/>
          <w:sz w:val="24"/>
          <w:szCs w:val="24"/>
        </w:rPr>
        <w:t xml:space="preserve">•      </w:t>
      </w:r>
      <w:r>
        <w:rPr>
          <w:rFonts w:ascii="SimSun" w:eastAsia="SimSun" w:hAnsi="SimSun" w:cs="SimSun"/>
          <w:color w:val="231F20"/>
          <w:spacing w:val="2"/>
          <w:sz w:val="23"/>
          <w:szCs w:val="23"/>
          <w14:textOutline w14:w="3175">
            <w14:solidFill>
              <w14:srgbClr w14:val="231F20"/>
            </w14:solidFill>
            <w14:prstDash w14:val="solid"/>
            <w14:miter w14:lim="0"/>
          </w14:textOutline>
        </w:rPr>
        <w:t>数据价值网络的形成类似国际贸易网络，受数据需求在具体应用场景中产生的商业价</w:t>
      </w:r>
      <w:r>
        <w:rPr>
          <w:rFonts w:ascii="SimSun" w:eastAsia="SimSun" w:hAnsi="SimSun" w:cs="SimSun"/>
          <w:color w:val="231F20"/>
          <w:spacing w:val="17"/>
          <w:sz w:val="23"/>
          <w:szCs w:val="23"/>
        </w:rPr>
        <w:t xml:space="preserve"> </w:t>
      </w:r>
      <w:r>
        <w:rPr>
          <w:rFonts w:ascii="SimSun" w:eastAsia="SimSun" w:hAnsi="SimSun" w:cs="SimSun"/>
          <w:color w:val="231F20"/>
          <w:spacing w:val="3"/>
          <w:sz w:val="23"/>
          <w:szCs w:val="23"/>
          <w14:textOutline w14:w="3175">
            <w14:solidFill>
              <w14:srgbClr w14:val="231F20"/>
            </w14:solidFill>
            <w14:prstDash w14:val="solid"/>
            <w14:miter w14:lim="0"/>
          </w14:textOutline>
        </w:rPr>
        <w:t>值牵引，催动整个产业链上的技术投入和数</w:t>
      </w:r>
      <w:r>
        <w:rPr>
          <w:rFonts w:ascii="SimSun" w:eastAsia="SimSun" w:hAnsi="SimSun" w:cs="SimSun"/>
          <w:color w:val="231F20"/>
          <w:spacing w:val="2"/>
          <w:sz w:val="23"/>
          <w:szCs w:val="23"/>
          <w14:textOutline w14:w="3175">
            <w14:solidFill>
              <w14:srgbClr w14:val="231F20"/>
            </w14:solidFill>
            <w14:prstDash w14:val="solid"/>
            <w14:miter w14:lim="0"/>
          </w14:textOutline>
        </w:rPr>
        <w:t>据流动，形成了基于各类玩家自身资源禀</w:t>
      </w:r>
      <w:r>
        <w:rPr>
          <w:rFonts w:ascii="SimSun" w:eastAsia="SimSun" w:hAnsi="SimSun" w:cs="SimSun"/>
          <w:color w:val="231F20"/>
          <w:sz w:val="23"/>
          <w:szCs w:val="23"/>
        </w:rPr>
        <w:t xml:space="preserve"> </w:t>
      </w:r>
      <w:r>
        <w:rPr>
          <w:rFonts w:ascii="SimSun" w:eastAsia="SimSun" w:hAnsi="SimSun" w:cs="SimSun"/>
          <w:color w:val="231F20"/>
          <w:spacing w:val="-1"/>
          <w:sz w:val="23"/>
          <w:szCs w:val="23"/>
          <w14:textOutline w14:w="3175">
            <w14:solidFill>
              <w14:srgbClr w14:val="231F20"/>
            </w14:solidFill>
            <w14:prstDash w14:val="solid"/>
            <w14:miter w14:lim="0"/>
          </w14:textOutline>
        </w:rPr>
        <w:t>赋和比较优势的专业化分工。</w:t>
      </w:r>
    </w:p>
    <w:p>
      <w:pPr>
        <w:spacing w:before="315"/>
        <w:ind w:left="460" w:right="11" w:hanging="446"/>
        <w:rPr>
          <w:rFonts w:ascii="SimSun" w:eastAsia="SimSun" w:hAnsi="SimSun" w:cs="SimSun"/>
          <w:sz w:val="23"/>
          <w:szCs w:val="23"/>
        </w:rPr>
      </w:pPr>
      <w:r>
        <w:rPr>
          <w:rFonts w:ascii="Georgia" w:eastAsia="Georgia" w:hAnsi="Georgia" w:cs="Georgia"/>
          <w:color w:val="007859"/>
          <w:spacing w:val="1"/>
          <w:sz w:val="24"/>
          <w:szCs w:val="24"/>
        </w:rPr>
        <w:t xml:space="preserve">•      </w:t>
      </w:r>
      <w:r>
        <w:rPr>
          <w:rFonts w:ascii="SimSun" w:eastAsia="SimSun" w:hAnsi="SimSun" w:cs="SimSun"/>
          <w:color w:val="231F20"/>
          <w:spacing w:val="1"/>
          <w:sz w:val="23"/>
          <w:szCs w:val="23"/>
          <w14:textOutline w14:w="3175">
            <w14:solidFill>
              <w14:srgbClr w14:val="231F20"/>
            </w14:solidFill>
            <w14:prstDash w14:val="solid"/>
            <w14:miter w14:lim="0"/>
          </w14:textOutline>
        </w:rPr>
        <w:t>受益于国家推动数据要素发展的政策的密集出台和全球数据科技革新（如</w:t>
      </w:r>
      <w:r>
        <w:rPr>
          <w:rFonts w:ascii="Georgia" w:eastAsia="Georgia" w:hAnsi="Georgia" w:cs="Georgia"/>
          <w:b/>
          <w:bCs/>
          <w:color w:val="231F20"/>
          <w:sz w:val="23"/>
          <w:szCs w:val="23"/>
        </w:rPr>
        <w:t>AI</w:t>
      </w:r>
      <w:r>
        <w:rPr>
          <w:rFonts w:ascii="SimSun" w:eastAsia="SimSun" w:hAnsi="SimSun" w:cs="SimSun"/>
          <w:color w:val="231F20"/>
          <w:spacing w:val="1"/>
          <w:sz w:val="23"/>
          <w:szCs w:val="23"/>
          <w14:textOutline w14:w="3175">
            <w14:solidFill>
              <w14:srgbClr w14:val="231F20"/>
            </w14:solidFill>
            <w14:prstDash w14:val="solid"/>
            <w14:miter w14:lim="0"/>
          </w14:textOutline>
        </w:rPr>
        <w:t>、数据安</w:t>
      </w:r>
      <w:r>
        <w:rPr>
          <w:rFonts w:ascii="SimSun" w:eastAsia="SimSun" w:hAnsi="SimSun" w:cs="SimSun"/>
          <w:color w:val="231F20"/>
          <w:spacing w:val="13"/>
          <w:sz w:val="23"/>
          <w:szCs w:val="23"/>
        </w:rPr>
        <w:t xml:space="preserve"> </w:t>
      </w:r>
      <w:r>
        <w:rPr>
          <w:rFonts w:ascii="SimSun" w:eastAsia="SimSun" w:hAnsi="SimSun" w:cs="SimSun"/>
          <w:color w:val="231F20"/>
          <w:spacing w:val="-1"/>
          <w:sz w:val="23"/>
          <w:szCs w:val="23"/>
          <w14:textOutline w14:w="3175">
            <w14:solidFill>
              <w14:srgbClr w14:val="231F20"/>
            </w14:solidFill>
            <w14:prstDash w14:val="solid"/>
            <w14:miter w14:lim="0"/>
          </w14:textOutline>
        </w:rPr>
        <w:t>全等</w:t>
      </w:r>
      <w:r>
        <w:rPr>
          <w:rFonts w:ascii="SimSun" w:eastAsia="SimSun" w:hAnsi="SimSun" w:cs="SimSun"/>
          <w:color w:val="231F20"/>
          <w:spacing w:val="-45"/>
          <w:sz w:val="23"/>
          <w:szCs w:val="23"/>
          <w14:textOutline w14:w="3175">
            <w14:solidFill>
              <w14:srgbClr w14:val="231F20"/>
            </w14:solidFill>
            <w14:prstDash w14:val="solid"/>
            <w14:miter w14:lim="0"/>
          </w14:textOutline>
        </w:rPr>
        <w:t>），</w:t>
      </w:r>
      <w:r>
        <w:rPr>
          <w:rFonts w:ascii="SimSun" w:eastAsia="SimSun" w:hAnsi="SimSun" w:cs="SimSun"/>
          <w:color w:val="231F20"/>
          <w:spacing w:val="-1"/>
          <w:sz w:val="23"/>
          <w:szCs w:val="23"/>
          <w14:textOutline w14:w="3175">
            <w14:solidFill>
              <w14:srgbClr w14:val="231F20"/>
            </w14:solidFill>
            <w14:prstDash w14:val="solid"/>
            <w14:miter w14:lim="0"/>
          </w14:textOutline>
        </w:rPr>
        <w:t>整个数据市场正处于重要变革期，数据流通链路正在重塑，孕</w:t>
      </w:r>
      <w:r>
        <w:rPr>
          <w:rFonts w:ascii="SimSun" w:eastAsia="SimSun" w:hAnsi="SimSun" w:cs="SimSun"/>
          <w:color w:val="231F20"/>
          <w:spacing w:val="-2"/>
          <w:sz w:val="23"/>
          <w:szCs w:val="23"/>
          <w14:textOutline w14:w="3175">
            <w14:solidFill>
              <w14:srgbClr w14:val="231F20"/>
            </w14:solidFill>
            <w14:prstDash w14:val="solid"/>
            <w14:miter w14:lim="0"/>
          </w14:textOutline>
        </w:rPr>
        <w:t>育了新的市场机</w:t>
      </w:r>
      <w:r>
        <w:rPr>
          <w:rFonts w:ascii="SimSun" w:eastAsia="SimSun" w:hAnsi="SimSun" w:cs="SimSun"/>
          <w:color w:val="231F20"/>
          <w:spacing w:val="1"/>
          <w:sz w:val="23"/>
          <w:szCs w:val="23"/>
        </w:rPr>
        <w:t xml:space="preserve"> </w:t>
      </w:r>
      <w:r>
        <w:rPr>
          <w:rFonts w:ascii="SimSun" w:eastAsia="SimSun" w:hAnsi="SimSun" w:cs="SimSun"/>
          <w:color w:val="231F20"/>
          <w:spacing w:val="-5"/>
          <w:sz w:val="23"/>
          <w:szCs w:val="23"/>
          <w14:textOutline w14:w="3175">
            <w14:solidFill>
              <w14:srgbClr w14:val="231F20"/>
            </w14:solidFill>
            <w14:prstDash w14:val="solid"/>
            <w14:miter w14:lim="0"/>
          </w14:textOutline>
        </w:rPr>
        <w:t>会。</w:t>
      </w:r>
    </w:p>
    <w:p>
      <w:pPr>
        <w:spacing w:before="316" w:line="236" w:lineRule="auto"/>
        <w:ind w:left="464" w:right="13" w:hanging="450"/>
        <w:rPr>
          <w:rFonts w:ascii="SimSun" w:eastAsia="SimSun" w:hAnsi="SimSun" w:cs="SimSun"/>
          <w:sz w:val="23"/>
          <w:szCs w:val="23"/>
        </w:rPr>
      </w:pPr>
      <w:r>
        <w:rPr>
          <w:rFonts w:ascii="Georgia" w:eastAsia="Georgia" w:hAnsi="Georgia" w:cs="Georgia"/>
          <w:color w:val="007859"/>
          <w:spacing w:val="-12"/>
          <w:sz w:val="24"/>
          <w:szCs w:val="24"/>
        </w:rPr>
        <w:t xml:space="preserve">•      </w:t>
      </w:r>
      <w:r>
        <w:rPr>
          <w:rFonts w:ascii="SimSun" w:eastAsia="SimSun" w:hAnsi="SimSun" w:cs="SimSun"/>
          <w:color w:val="231F20"/>
          <w:spacing w:val="-12"/>
          <w:sz w:val="23"/>
          <w:szCs w:val="23"/>
          <w14:textOutline w14:w="3175">
            <w14:solidFill>
              <w14:srgbClr w14:val="231F20"/>
            </w14:solidFill>
            <w14:prstDash w14:val="solid"/>
            <w14:miter w14:lim="0"/>
          </w14:textOutline>
        </w:rPr>
        <w:t>当前，中国数据要素市场仍然存</w:t>
      </w:r>
      <w:r>
        <w:rPr>
          <w:rFonts w:ascii="SimSun" w:eastAsia="SimSun" w:hAnsi="SimSun" w:cs="SimSun"/>
          <w:color w:val="231F20"/>
          <w:spacing w:val="-13"/>
          <w:sz w:val="23"/>
          <w:szCs w:val="23"/>
          <w14:textOutline w14:w="3175">
            <w14:solidFill>
              <w14:srgbClr w14:val="231F20"/>
            </w14:solidFill>
            <w14:prstDash w14:val="solid"/>
            <w14:miter w14:lim="0"/>
          </w14:textOutline>
        </w:rPr>
        <w:t>在三大核心痛点：“想用不敢用”、“想用不能用”、“想</w:t>
      </w:r>
      <w:r>
        <w:rPr>
          <w:rFonts w:ascii="SimSun" w:eastAsia="SimSun" w:hAnsi="SimSun" w:cs="SimSun"/>
          <w:color w:val="231F20"/>
          <w:sz w:val="23"/>
          <w:szCs w:val="23"/>
        </w:rPr>
        <w:t xml:space="preserve"> </w:t>
      </w:r>
      <w:r>
        <w:rPr>
          <w:rFonts w:ascii="SimSun" w:eastAsia="SimSun" w:hAnsi="SimSun" w:cs="SimSun"/>
          <w:color w:val="231F20"/>
          <w:spacing w:val="-2"/>
          <w:sz w:val="23"/>
          <w:szCs w:val="23"/>
          <w14:textOutline w14:w="3175">
            <w14:solidFill>
              <w14:srgbClr w14:val="231F20"/>
            </w14:solidFill>
            <w14:prstDash w14:val="solid"/>
            <w14:miter w14:lim="0"/>
          </w14:textOutline>
        </w:rPr>
        <w:t>用不会用”。</w:t>
      </w:r>
    </w:p>
    <w:p>
      <w:pPr>
        <w:spacing w:line="236" w:lineRule="auto"/>
        <w:rPr>
          <w:rFonts w:ascii="SimSun" w:eastAsia="SimSun" w:hAnsi="SimSun" w:cs="SimSun"/>
          <w:sz w:val="23"/>
          <w:szCs w:val="23"/>
        </w:rPr>
        <w:sectPr>
          <w:footerReference w:type="default" r:id="rId8"/>
          <w:type w:val="nextPage"/>
          <w:pgSz w:w="11906" w:h="16158"/>
          <w:pgMar w:top="1126" w:right="1405" w:bottom="1105" w:left="1417" w:header="0" w:footer="746" w:gutter="0"/>
          <w:pgNumType w:start="5"/>
          <w:cols w:space="708"/>
          <w:titlePg w:val="0"/>
        </w:sectPr>
      </w:pPr>
    </w:p>
    <w:p>
      <w:pPr>
        <w:tabs>
          <w:tab w:val="left" w:pos="240"/>
        </w:tabs>
        <w:spacing w:before="45" w:line="203" w:lineRule="auto"/>
        <w:rPr>
          <w:rFonts w:ascii="Microsoft Tai Le" w:eastAsia="Microsoft Tai Le" w:hAnsi="Microsoft Tai Le" w:cs="Microsoft Tai Le"/>
          <w:sz w:val="20"/>
          <w:szCs w:val="20"/>
        </w:rPr>
      </w:pPr>
      <w:r>
        <w:rPr>
          <w:rFonts w:ascii="Microsoft YaHei" w:eastAsia="Microsoft YaHei" w:hAnsi="Microsoft YaHei" w:cs="Microsoft YaHei"/>
          <w:color w:val="FFFFFF"/>
          <w:sz w:val="20"/>
          <w:szCs w:val="20"/>
          <w:shd w:val="clear" w:color="auto" w:fill="007859"/>
        </w:rPr>
        <w:tab/>
      </w:r>
      <w:r>
        <w:rPr>
          <w:rFonts w:ascii="Microsoft YaHei" w:eastAsia="Microsoft YaHei" w:hAnsi="Microsoft YaHei" w:cs="Microsoft YaHei"/>
          <w:color w:val="FFFFFF"/>
          <w:spacing w:val="-1"/>
          <w:sz w:val="20"/>
          <w:szCs w:val="20"/>
          <w:shd w:val="clear" w:color="auto" w:fill="007859"/>
        </w:rPr>
        <w:t xml:space="preserve">数据价值网络                                                             </w:t>
      </w:r>
      <w:r>
        <w:rPr>
          <w:rFonts w:ascii="Microsoft YaHei" w:eastAsia="Microsoft YaHei" w:hAnsi="Microsoft YaHei" w:cs="Microsoft YaHei"/>
          <w:color w:val="FFFFFF"/>
          <w:spacing w:val="-2"/>
          <w:sz w:val="20"/>
          <w:szCs w:val="20"/>
          <w:shd w:val="clear" w:color="auto" w:fill="007859"/>
        </w:rPr>
        <w:t xml:space="preserve">                                                                 </w:t>
      </w:r>
      <w:r>
        <w:rPr>
          <w:rFonts w:ascii="Microsoft Tai Le" w:eastAsia="Microsoft Tai Le" w:hAnsi="Microsoft Tai Le" w:cs="Microsoft Tai Le"/>
          <w:color w:val="FFFFFF"/>
          <w:spacing w:val="-2"/>
          <w:sz w:val="20"/>
          <w:szCs w:val="20"/>
          <w:shd w:val="clear" w:color="auto" w:fill="007859"/>
        </w:rPr>
        <w:t xml:space="preserve">3     </w:t>
      </w:r>
    </w:p>
    <w:p>
      <w:pPr>
        <w:pStyle w:val="BodyText"/>
        <w:spacing w:line="248" w:lineRule="auto"/>
      </w:pPr>
    </w:p>
    <w:p>
      <w:pPr>
        <w:pStyle w:val="BodyText"/>
        <w:spacing w:line="248" w:lineRule="auto"/>
      </w:pPr>
    </w:p>
    <w:p>
      <w:pPr>
        <w:spacing w:before="75"/>
        <w:ind w:left="462" w:right="13" w:hanging="448"/>
        <w:rPr>
          <w:rFonts w:ascii="SimSun" w:eastAsia="SimSun" w:hAnsi="SimSun" w:cs="SimSun"/>
          <w:sz w:val="23"/>
          <w:szCs w:val="23"/>
        </w:rPr>
      </w:pPr>
      <w:r>
        <w:rPr>
          <w:rFonts w:ascii="Georgia" w:eastAsia="Georgia" w:hAnsi="Georgia" w:cs="Georgia"/>
          <w:color w:val="007859"/>
          <w:spacing w:val="2"/>
          <w:sz w:val="24"/>
          <w:szCs w:val="24"/>
        </w:rPr>
        <w:t xml:space="preserve">•      </w:t>
      </w:r>
      <w:r>
        <w:rPr>
          <w:rFonts w:ascii="SimSun" w:eastAsia="SimSun" w:hAnsi="SimSun" w:cs="SimSun"/>
          <w:color w:val="231F20"/>
          <w:spacing w:val="2"/>
          <w:sz w:val="23"/>
          <w:szCs w:val="23"/>
          <w14:textOutline w14:w="3175">
            <w14:solidFill>
              <w14:srgbClr w14:val="231F20"/>
            </w14:solidFill>
            <w14:prstDash w14:val="solid"/>
            <w14:miter w14:lim="0"/>
          </w14:textOutline>
        </w:rPr>
        <w:t>向前看，我们预感中国数据市场正催生三大千亿级市场，建议积极关注，分别是：数</w:t>
      </w:r>
      <w:r>
        <w:rPr>
          <w:rFonts w:ascii="SimSun" w:eastAsia="SimSun" w:hAnsi="SimSun" w:cs="SimSun"/>
          <w:color w:val="231F20"/>
          <w:spacing w:val="9"/>
          <w:sz w:val="23"/>
          <w:szCs w:val="23"/>
        </w:rPr>
        <w:t xml:space="preserve"> </w:t>
      </w:r>
      <w:r>
        <w:rPr>
          <w:rFonts w:ascii="SimSun" w:eastAsia="SimSun" w:hAnsi="SimSun" w:cs="SimSun"/>
          <w:color w:val="231F20"/>
          <w:spacing w:val="3"/>
          <w:sz w:val="23"/>
          <w:szCs w:val="23"/>
          <w14:textOutline w14:w="3175">
            <w14:solidFill>
              <w14:srgbClr w14:val="231F20"/>
            </w14:solidFill>
            <w14:prstDash w14:val="solid"/>
            <w14:miter w14:lim="0"/>
          </w14:textOutline>
        </w:rPr>
        <w:t>据需求中的新应用机会、数据新供给带来的结</w:t>
      </w:r>
      <w:r>
        <w:rPr>
          <w:rFonts w:ascii="SimSun" w:eastAsia="SimSun" w:hAnsi="SimSun" w:cs="SimSun"/>
          <w:color w:val="231F20"/>
          <w:spacing w:val="2"/>
          <w:sz w:val="23"/>
          <w:szCs w:val="23"/>
          <w14:textOutline w14:w="3175">
            <w14:solidFill>
              <w14:srgbClr w14:val="231F20"/>
            </w14:solidFill>
            <w14:prstDash w14:val="solid"/>
            <w14:miter w14:lim="0"/>
          </w14:textOutline>
        </w:rPr>
        <w:t>构性机会，及数据基础设施技术工具的</w:t>
      </w:r>
      <w:r>
        <w:rPr>
          <w:rFonts w:ascii="SimSun" w:eastAsia="SimSun" w:hAnsi="SimSun" w:cs="SimSun"/>
          <w:color w:val="231F20"/>
          <w:sz w:val="23"/>
          <w:szCs w:val="23"/>
        </w:rPr>
        <w:t xml:space="preserve"> </w:t>
      </w:r>
      <w:r>
        <w:rPr>
          <w:rFonts w:ascii="SimSun" w:eastAsia="SimSun" w:hAnsi="SimSun" w:cs="SimSun"/>
          <w:color w:val="231F20"/>
          <w:spacing w:val="-2"/>
          <w:sz w:val="23"/>
          <w:szCs w:val="23"/>
          <w14:textOutline w14:w="3175">
            <w14:solidFill>
              <w14:srgbClr w14:val="231F20"/>
            </w14:solidFill>
            <w14:prstDash w14:val="solid"/>
            <w14:miter w14:lim="0"/>
          </w14:textOutline>
        </w:rPr>
        <w:t>升级机会。</w:t>
      </w:r>
    </w:p>
    <w:p>
      <w:pPr>
        <w:pStyle w:val="BodyText"/>
        <w:spacing w:line="245" w:lineRule="auto"/>
      </w:pPr>
    </w:p>
    <w:p>
      <w:pPr>
        <w:spacing w:before="74" w:line="230" w:lineRule="auto"/>
        <w:ind w:left="22" w:right="14" w:firstLine="444"/>
        <w:rPr>
          <w:rFonts w:ascii="SimSun" w:eastAsia="SimSun" w:hAnsi="SimSun" w:cs="SimSun"/>
          <w:sz w:val="23"/>
          <w:szCs w:val="23"/>
        </w:rPr>
      </w:pPr>
      <w:r>
        <w:rPr>
          <w:rFonts w:ascii="SimSun" w:eastAsia="SimSun" w:hAnsi="SimSun" w:cs="SimSun"/>
          <w:color w:val="231F20"/>
          <w:spacing w:val="2"/>
          <w:sz w:val="23"/>
          <w:szCs w:val="23"/>
        </w:rPr>
        <w:t>数据价值网络迎来发展浪潮，整体市场建设蹄疾步稳，希望本报告能为读者提供有益</w:t>
      </w:r>
      <w:r>
        <w:rPr>
          <w:rFonts w:ascii="SimSun" w:eastAsia="SimSun" w:hAnsi="SimSun" w:cs="SimSun"/>
          <w:color w:val="231F20"/>
          <w:spacing w:val="16"/>
          <w:sz w:val="23"/>
          <w:szCs w:val="23"/>
        </w:rPr>
        <w:t xml:space="preserve"> </w:t>
      </w:r>
      <w:r>
        <w:rPr>
          <w:rFonts w:ascii="SimSun" w:eastAsia="SimSun" w:hAnsi="SimSun" w:cs="SimSun"/>
          <w:color w:val="231F20"/>
          <w:spacing w:val="-1"/>
          <w:sz w:val="23"/>
          <w:szCs w:val="23"/>
        </w:rPr>
        <w:t>的参考和启发，帮助大家更好地理解数据价值，推进数据价值</w:t>
      </w:r>
      <w:r>
        <w:rPr>
          <w:rFonts w:ascii="SimSun" w:eastAsia="SimSun" w:hAnsi="SimSun" w:cs="SimSun"/>
          <w:color w:val="231F20"/>
          <w:spacing w:val="-2"/>
          <w:sz w:val="23"/>
          <w:szCs w:val="23"/>
        </w:rPr>
        <w:t>网络的高质量发展。</w:t>
      </w:r>
    </w:p>
    <w:p>
      <w:pPr>
        <w:spacing w:line="230" w:lineRule="auto"/>
        <w:rPr>
          <w:rFonts w:ascii="SimSun" w:eastAsia="SimSun" w:hAnsi="SimSun" w:cs="SimSun"/>
          <w:sz w:val="23"/>
          <w:szCs w:val="23"/>
        </w:rPr>
      </w:pPr>
      <w:r>
        <w:rPr>
          <w:rFonts w:ascii="SimSun" w:eastAsia="SimSun" w:hAnsi="SimSun" w:cs="SimSun"/>
          <w:sz w:val="23"/>
          <w:szCs w:val="23"/>
        </w:rPr>
        <w:br/>
      </w:r>
      <w:r>
        <w:rPr>
          <w:rFonts w:ascii="SimSun" w:eastAsia="SimSun" w:hAnsi="SimSun" w:cs="SimSun"/>
          <w:sz w:val="23"/>
          <w:szCs w:val="23"/>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9" w:history="1">
        <w:r>
          <w:rPr>
            <w:rFonts w:ascii="SimSun" w:eastAsia="SimSun" w:hAnsi="SimSun" w:cs="SimSun"/>
            <w:b/>
            <w:bCs/>
            <w:noProof w:val="0"/>
            <w:snapToGrid/>
            <w:color w:val="0000EE"/>
            <w:kern w:val="0"/>
            <w:sz w:val="30"/>
            <w:szCs w:val="30"/>
            <w:u w:val="single" w:color="0000EE"/>
          </w:rPr>
          <w:t>https://d.book118.com/838025132001006045</w:t>
        </w:r>
      </w:hyperlink>
    </w:p>
    <w:p>
      <w:pPr>
        <w:spacing w:line="230" w:lineRule="auto"/>
        <w:rPr>
          <w:rFonts w:ascii="SimSun" w:eastAsia="SimSun" w:hAnsi="SimSun" w:cs="SimSun"/>
          <w:sz w:val="23"/>
          <w:szCs w:val="23"/>
        </w:rPr>
      </w:pPr>
    </w:p>
    <w:sectPr>
      <w:footerReference w:type="default" r:id="rId10"/>
      <w:pgSz w:w="11906" w:h="16158"/>
      <w:pgMar w:top="1126" w:right="1405" w:bottom="1105" w:left="1417" w:header="0" w:footer="746" w:gutter="0"/>
      <w:pgNumType w:start="6"/>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98" w:line="175" w:lineRule="auto"/>
      <w:ind w:left="7695"/>
      <w:rPr>
        <w:rFonts w:ascii="Microsoft YaHei" w:eastAsia="Microsoft YaHei" w:hAnsi="Microsoft YaHei" w:cs="Microsoft YaHei"/>
        <w:sz w:val="20"/>
        <w:szCs w:val="20"/>
      </w:rPr>
    </w:pPr>
    <w:r>
      <w:pict>
        <v:shape id="_x0000_s2049" style="width:453.55pt;height:0.75pt;margin-top:752.6pt;margin-left:70.87pt;mso-position-horizontal-relative:page;mso-position-vertical-relative:page;position:absolute;z-index:251659264" coordorigin="0,0" coordsize="9070,15" o:allowincell="f" path="m,7l9070,7e" filled="f" strokecolor="#007859" strokeweight="0.71pt">
          <v:stroke joinstyle="miter"/>
        </v:shape>
      </w:pict>
    </w:r>
    <w:r>
      <w:pict>
        <v:shapetype id="_x0000_t202" coordsize="21600,21600" o:spt="202" path="m,l,21600r21600,l21600,xe">
          <v:stroke joinstyle="miter"/>
          <v:path gradientshapeok="t" o:connecttype="rect"/>
        </v:shapetype>
        <v:shape id="_x0000_s2050" type="#_x0000_t202" style="width:47.25pt;height:16.6pt;margin-top:3.29pt;margin-left:-0.24pt;position:absolute;z-index:251658240" filled="f" stroked="f">
          <o:lock v:ext="edit" aspectratio="f"/>
          <v:textbox inset="0,0,0,0">
            <w:txbxContent>
              <w:p>
                <w:pPr>
                  <w:spacing w:before="19" w:line="204" w:lineRule="auto"/>
                  <w:ind w:left="20"/>
                  <w:rPr>
                    <w:rFonts w:ascii="Microsoft YaHei" w:eastAsia="Microsoft YaHei" w:hAnsi="Microsoft YaHei" w:cs="Microsoft YaHei"/>
                    <w:sz w:val="20"/>
                    <w:szCs w:val="20"/>
                  </w:rPr>
                </w:pPr>
                <w:r>
                  <w:rPr>
                    <w:rFonts w:ascii="Microsoft Tai Le" w:eastAsia="Microsoft Tai Le" w:hAnsi="Microsoft Tai Le" w:cs="Microsoft Tai Le"/>
                    <w:color w:val="808285"/>
                    <w:spacing w:val="-5"/>
                    <w:sz w:val="20"/>
                    <w:szCs w:val="20"/>
                  </w:rPr>
                  <w:t>2024</w:t>
                </w:r>
                <w:r>
                  <w:rPr>
                    <w:rFonts w:ascii="Microsoft YaHei" w:eastAsia="Microsoft YaHei" w:hAnsi="Microsoft YaHei" w:cs="Microsoft YaHei"/>
                    <w:color w:val="808285"/>
                    <w:spacing w:val="-5"/>
                    <w:sz w:val="20"/>
                    <w:szCs w:val="20"/>
                  </w:rPr>
                  <w:t>年</w:t>
                </w:r>
                <w:r>
                  <w:rPr>
                    <w:rFonts w:ascii="Microsoft Tai Le" w:eastAsia="Microsoft Tai Le" w:hAnsi="Microsoft Tai Le" w:cs="Microsoft Tai Le"/>
                    <w:color w:val="808285"/>
                    <w:spacing w:val="-5"/>
                    <w:sz w:val="20"/>
                    <w:szCs w:val="20"/>
                  </w:rPr>
                  <w:t>3</w:t>
                </w:r>
                <w:r>
                  <w:rPr>
                    <w:rFonts w:ascii="Microsoft YaHei" w:eastAsia="Microsoft YaHei" w:hAnsi="Microsoft YaHei" w:cs="Microsoft YaHei"/>
                    <w:color w:val="808285"/>
                    <w:spacing w:val="-5"/>
                    <w:sz w:val="20"/>
                    <w:szCs w:val="20"/>
                  </w:rPr>
                  <w:t>月</w:t>
                </w:r>
              </w:p>
            </w:txbxContent>
          </v:textbox>
        </v:shape>
      </w:pict>
    </w:r>
    <w:r>
      <w:rPr>
        <w:rFonts w:ascii="Microsoft YaHei" w:eastAsia="Microsoft YaHei" w:hAnsi="Microsoft YaHei" w:cs="Microsoft YaHei"/>
        <w:color w:val="808285"/>
        <w:spacing w:val="-2"/>
        <w:sz w:val="20"/>
        <w:szCs w:val="20"/>
      </w:rPr>
      <w:t>波士顿咨询公司</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98" w:line="175" w:lineRule="auto"/>
      <w:ind w:left="7695"/>
      <w:rPr>
        <w:rFonts w:ascii="Microsoft YaHei" w:eastAsia="Microsoft YaHei" w:hAnsi="Microsoft YaHei" w:cs="Microsoft YaHei"/>
        <w:sz w:val="20"/>
        <w:szCs w:val="20"/>
      </w:rPr>
    </w:pPr>
    <w:r>
      <w:pict>
        <v:shape id="_x0000_s2051" style="width:453.55pt;height:0.75pt;margin-top:752.6pt;margin-left:70.87pt;mso-position-horizontal-relative:page;mso-position-vertical-relative:page;position:absolute;z-index:251661312" coordorigin="0,0" coordsize="9070,15" o:allowincell="f" path="m,7l9070,7e" filled="f" strokecolor="#007859" strokeweight="0.71pt">
          <v:stroke joinstyle="miter"/>
        </v:shape>
      </w:pict>
    </w:r>
    <w:r>
      <w:pict>
        <v:shapetype id="_x0000_t202" coordsize="21600,21600" o:spt="202" path="m,l,21600r21600,l21600,xe">
          <v:stroke joinstyle="miter"/>
          <v:path gradientshapeok="t" o:connecttype="rect"/>
        </v:shapetype>
        <v:shape id="_x0000_s2052" type="#_x0000_t202" style="width:47.25pt;height:16.6pt;margin-top:3.29pt;margin-left:-0.24pt;position:absolute;z-index:251660288" filled="f" stroked="f">
          <o:lock v:ext="edit" aspectratio="f"/>
          <v:textbox inset="0,0,0,0">
            <w:txbxContent>
              <w:p>
                <w:pPr>
                  <w:spacing w:before="19" w:line="204" w:lineRule="auto"/>
                  <w:ind w:left="20"/>
                  <w:rPr>
                    <w:rFonts w:ascii="Microsoft YaHei" w:eastAsia="Microsoft YaHei" w:hAnsi="Microsoft YaHei" w:cs="Microsoft YaHei"/>
                    <w:sz w:val="20"/>
                    <w:szCs w:val="20"/>
                  </w:rPr>
                </w:pPr>
                <w:r>
                  <w:rPr>
                    <w:rFonts w:ascii="Microsoft Tai Le" w:eastAsia="Microsoft Tai Le" w:hAnsi="Microsoft Tai Le" w:cs="Microsoft Tai Le"/>
                    <w:color w:val="808285"/>
                    <w:spacing w:val="-5"/>
                    <w:sz w:val="20"/>
                    <w:szCs w:val="20"/>
                  </w:rPr>
                  <w:t>2024</w:t>
                </w:r>
                <w:r>
                  <w:rPr>
                    <w:rFonts w:ascii="Microsoft YaHei" w:eastAsia="Microsoft YaHei" w:hAnsi="Microsoft YaHei" w:cs="Microsoft YaHei"/>
                    <w:color w:val="808285"/>
                    <w:spacing w:val="-5"/>
                    <w:sz w:val="20"/>
                    <w:szCs w:val="20"/>
                  </w:rPr>
                  <w:t>年</w:t>
                </w:r>
                <w:r>
                  <w:rPr>
                    <w:rFonts w:ascii="Microsoft Tai Le" w:eastAsia="Microsoft Tai Le" w:hAnsi="Microsoft Tai Le" w:cs="Microsoft Tai Le"/>
                    <w:color w:val="808285"/>
                    <w:spacing w:val="-5"/>
                    <w:sz w:val="20"/>
                    <w:szCs w:val="20"/>
                  </w:rPr>
                  <w:t>3</w:t>
                </w:r>
                <w:r>
                  <w:rPr>
                    <w:rFonts w:ascii="Microsoft YaHei" w:eastAsia="Microsoft YaHei" w:hAnsi="Microsoft YaHei" w:cs="Microsoft YaHei"/>
                    <w:color w:val="808285"/>
                    <w:spacing w:val="-5"/>
                    <w:sz w:val="20"/>
                    <w:szCs w:val="20"/>
                  </w:rPr>
                  <w:t>月</w:t>
                </w:r>
              </w:p>
            </w:txbxContent>
          </v:textbox>
        </v:shape>
      </w:pict>
    </w:r>
    <w:r>
      <w:rPr>
        <w:rFonts w:ascii="Microsoft YaHei" w:eastAsia="Microsoft YaHei" w:hAnsi="Microsoft YaHei" w:cs="Microsoft YaHei"/>
        <w:color w:val="808285"/>
        <w:spacing w:val="-2"/>
        <w:sz w:val="20"/>
        <w:szCs w:val="20"/>
      </w:rPr>
      <w:t>波士顿咨询公司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98" w:line="175" w:lineRule="auto"/>
      <w:ind w:left="13"/>
      <w:rPr>
        <w:rFonts w:ascii="Microsoft YaHei" w:eastAsia="Microsoft YaHei" w:hAnsi="Microsoft YaHei" w:cs="Microsoft YaHei"/>
        <w:sz w:val="20"/>
        <w:szCs w:val="20"/>
      </w:rPr>
    </w:pPr>
    <w:r>
      <w:pict>
        <v:shape id="_x0000_s2053" style="width:453.55pt;height:0.75pt;margin-top:752.6pt;margin-left:70.87pt;mso-position-horizontal-relative:page;mso-position-vertical-relative:page;position:absolute;z-index:251663360" coordorigin="0,0" coordsize="9070,15" o:allowincell="f" path="m,7l9070,7e" filled="f" strokecolor="#007859" strokeweight="0.71pt">
          <v:stroke joinstyle="miter"/>
        </v:shape>
      </w:pict>
    </w:r>
    <w:r>
      <w:pict>
        <v:shapetype id="_x0000_t202" coordsize="21600,21600" o:spt="202" path="m,l,21600r21600,l21600,xe">
          <v:stroke joinstyle="miter"/>
          <v:path gradientshapeok="t" o:connecttype="rect"/>
        </v:shapetype>
        <v:shape id="_x0000_s2054" type="#_x0000_t202" style="width:47.25pt;height:16.6pt;margin-top:3.29pt;margin-left:407.87pt;position:absolute;z-index:251662336" filled="f" stroked="f">
          <o:lock v:ext="edit" aspectratio="f"/>
          <v:textbox inset="0,0,0,0">
            <w:txbxContent>
              <w:p>
                <w:pPr>
                  <w:spacing w:before="19" w:line="204" w:lineRule="auto"/>
                  <w:ind w:left="20"/>
                  <w:rPr>
                    <w:rFonts w:ascii="Microsoft YaHei" w:eastAsia="Microsoft YaHei" w:hAnsi="Microsoft YaHei" w:cs="Microsoft YaHei"/>
                    <w:sz w:val="20"/>
                    <w:szCs w:val="20"/>
                  </w:rPr>
                </w:pPr>
                <w:r>
                  <w:rPr>
                    <w:rFonts w:ascii="Microsoft Tai Le" w:eastAsia="Microsoft Tai Le" w:hAnsi="Microsoft Tai Le" w:cs="Microsoft Tai Le"/>
                    <w:color w:val="808285"/>
                    <w:spacing w:val="-5"/>
                    <w:sz w:val="20"/>
                    <w:szCs w:val="20"/>
                  </w:rPr>
                  <w:t>2024</w:t>
                </w:r>
                <w:r>
                  <w:rPr>
                    <w:rFonts w:ascii="Microsoft YaHei" w:eastAsia="Microsoft YaHei" w:hAnsi="Microsoft YaHei" w:cs="Microsoft YaHei"/>
                    <w:color w:val="808285"/>
                    <w:spacing w:val="-5"/>
                    <w:sz w:val="20"/>
                    <w:szCs w:val="20"/>
                  </w:rPr>
                  <w:t>年</w:t>
                </w:r>
                <w:r>
                  <w:rPr>
                    <w:rFonts w:ascii="Microsoft Tai Le" w:eastAsia="Microsoft Tai Le" w:hAnsi="Microsoft Tai Le" w:cs="Microsoft Tai Le"/>
                    <w:color w:val="808285"/>
                    <w:spacing w:val="-5"/>
                    <w:sz w:val="20"/>
                    <w:szCs w:val="20"/>
                  </w:rPr>
                  <w:t>3</w:t>
                </w:r>
                <w:r>
                  <w:rPr>
                    <w:rFonts w:ascii="Microsoft YaHei" w:eastAsia="Microsoft YaHei" w:hAnsi="Microsoft YaHei" w:cs="Microsoft YaHei"/>
                    <w:color w:val="808285"/>
                    <w:spacing w:val="-5"/>
                    <w:sz w:val="20"/>
                    <w:szCs w:val="20"/>
                  </w:rPr>
                  <w:t>月</w:t>
                </w:r>
              </w:p>
            </w:txbxContent>
          </v:textbox>
        </v:shape>
      </w:pict>
    </w:r>
    <w:r>
      <w:rPr>
        <w:rFonts w:ascii="Microsoft YaHei" w:eastAsia="Microsoft YaHei" w:hAnsi="Microsoft YaHei" w:cs="Microsoft YaHei"/>
        <w:color w:val="808285"/>
        <w:spacing w:val="-2"/>
        <w:sz w:val="20"/>
        <w:szCs w:val="20"/>
      </w:rPr>
      <w:t>波士顿咨询公司</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98" w:line="175" w:lineRule="auto"/>
      <w:ind w:left="13"/>
      <w:rPr>
        <w:rFonts w:ascii="Microsoft YaHei" w:eastAsia="Microsoft YaHei" w:hAnsi="Microsoft YaHei" w:cs="Microsoft YaHei"/>
        <w:sz w:val="20"/>
        <w:szCs w:val="20"/>
      </w:rPr>
    </w:pPr>
    <w:r>
      <w:pict>
        <v:shape id="_x0000_s2055" style="width:453.55pt;height:0.75pt;margin-top:752.6pt;margin-left:70.87pt;mso-position-horizontal-relative:page;mso-position-vertical-relative:page;position:absolute;z-index:251665408" coordorigin="0,0" coordsize="9070,15" o:allowincell="f" path="m,7l9070,7e" filled="f" strokecolor="#007859" strokeweight="0.71pt">
          <v:stroke joinstyle="miter"/>
        </v:shape>
      </w:pict>
    </w:r>
    <w:r>
      <w:pict>
        <v:shapetype id="_x0000_t202" coordsize="21600,21600" o:spt="202" path="m,l,21600r21600,l21600,xe">
          <v:stroke joinstyle="miter"/>
          <v:path gradientshapeok="t" o:connecttype="rect"/>
        </v:shapetype>
        <v:shape id="_x0000_s2056" type="#_x0000_t202" style="width:47.25pt;height:16.6pt;margin-top:3.29pt;margin-left:407.87pt;position:absolute;z-index:251664384" filled="f" stroked="f">
          <o:lock v:ext="edit" aspectratio="f"/>
          <v:textbox inset="0,0,0,0">
            <w:txbxContent>
              <w:p>
                <w:pPr>
                  <w:spacing w:before="19" w:line="204" w:lineRule="auto"/>
                  <w:ind w:left="20"/>
                  <w:rPr>
                    <w:rFonts w:ascii="Microsoft YaHei" w:eastAsia="Microsoft YaHei" w:hAnsi="Microsoft YaHei" w:cs="Microsoft YaHei"/>
                    <w:sz w:val="20"/>
                    <w:szCs w:val="20"/>
                  </w:rPr>
                </w:pPr>
                <w:r>
                  <w:rPr>
                    <w:rFonts w:ascii="Microsoft Tai Le" w:eastAsia="Microsoft Tai Le" w:hAnsi="Microsoft Tai Le" w:cs="Microsoft Tai Le"/>
                    <w:color w:val="808285"/>
                    <w:spacing w:val="-5"/>
                    <w:sz w:val="20"/>
                    <w:szCs w:val="20"/>
                  </w:rPr>
                  <w:t>2024</w:t>
                </w:r>
                <w:r>
                  <w:rPr>
                    <w:rFonts w:ascii="Microsoft YaHei" w:eastAsia="Microsoft YaHei" w:hAnsi="Microsoft YaHei" w:cs="Microsoft YaHei"/>
                    <w:color w:val="808285"/>
                    <w:spacing w:val="-5"/>
                    <w:sz w:val="20"/>
                    <w:szCs w:val="20"/>
                  </w:rPr>
                  <w:t>年</w:t>
                </w:r>
                <w:r>
                  <w:rPr>
                    <w:rFonts w:ascii="Microsoft Tai Le" w:eastAsia="Microsoft Tai Le" w:hAnsi="Microsoft Tai Le" w:cs="Microsoft Tai Le"/>
                    <w:color w:val="808285"/>
                    <w:spacing w:val="-5"/>
                    <w:sz w:val="20"/>
                    <w:szCs w:val="20"/>
                  </w:rPr>
                  <w:t>3</w:t>
                </w:r>
                <w:r>
                  <w:rPr>
                    <w:rFonts w:ascii="Microsoft YaHei" w:eastAsia="Microsoft YaHei" w:hAnsi="Microsoft YaHei" w:cs="Microsoft YaHei"/>
                    <w:color w:val="808285"/>
                    <w:spacing w:val="-5"/>
                    <w:sz w:val="20"/>
                    <w:szCs w:val="20"/>
                  </w:rPr>
                  <w:t>月</w:t>
                </w:r>
              </w:p>
            </w:txbxContent>
          </v:textbox>
        </v:shape>
      </w:pict>
    </w:r>
    <w:r>
      <w:rPr>
        <w:rFonts w:ascii="Microsoft YaHei" w:eastAsia="Microsoft YaHei" w:hAnsi="Microsoft YaHei" w:cs="Microsoft YaHei"/>
        <w:color w:val="808285"/>
        <w:spacing w:val="-2"/>
        <w:sz w:val="20"/>
        <w:szCs w:val="20"/>
      </w:rPr>
      <w:t>波士顿咨询公司</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98" w:line="175" w:lineRule="auto"/>
      <w:jc w:val="right"/>
      <w:rPr>
        <w:rFonts w:ascii="Microsoft YaHei" w:eastAsia="Microsoft YaHei" w:hAnsi="Microsoft YaHei" w:cs="Microsoft YaHei"/>
        <w:sz w:val="20"/>
        <w:szCs w:val="20"/>
      </w:rPr>
    </w:pPr>
    <w:r>
      <w:pict>
        <v:shape id="_x0000_s2057" style="width:453.55pt;height:0.75pt;margin-top:752.6pt;margin-left:70.87pt;mso-position-horizontal-relative:page;mso-position-vertical-relative:page;position:absolute;z-index:251667456" coordorigin="0,0" coordsize="9070,15" o:allowincell="f" path="m,7l9070,7e" filled="f" strokecolor="#007859" strokeweight="0.71pt">
          <v:stroke joinstyle="miter"/>
        </v:shape>
      </w:pict>
    </w:r>
    <w:r>
      <w:pict>
        <v:shapetype id="_x0000_t202" coordsize="21600,21600" o:spt="202" path="m,l,21600r21600,l21600,xe">
          <v:stroke joinstyle="miter"/>
          <v:path gradientshapeok="t" o:connecttype="rect"/>
        </v:shapetype>
        <v:shape id="_x0000_s2058" type="#_x0000_t202" style="width:47.25pt;height:16.6pt;margin-top:3.29pt;margin-left:-0.24pt;position:absolute;z-index:251666432" filled="f" stroked="f">
          <o:lock v:ext="edit" aspectratio="f"/>
          <v:textbox inset="0,0,0,0">
            <w:txbxContent>
              <w:p>
                <w:pPr>
                  <w:spacing w:before="19" w:line="204" w:lineRule="auto"/>
                  <w:ind w:left="20"/>
                  <w:rPr>
                    <w:rFonts w:ascii="Microsoft YaHei" w:eastAsia="Microsoft YaHei" w:hAnsi="Microsoft YaHei" w:cs="Microsoft YaHei"/>
                    <w:sz w:val="20"/>
                    <w:szCs w:val="20"/>
                  </w:rPr>
                </w:pPr>
                <w:r>
                  <w:rPr>
                    <w:rFonts w:ascii="Microsoft Tai Le" w:eastAsia="Microsoft Tai Le" w:hAnsi="Microsoft Tai Le" w:cs="Microsoft Tai Le"/>
                    <w:color w:val="808285"/>
                    <w:spacing w:val="-5"/>
                    <w:sz w:val="20"/>
                    <w:szCs w:val="20"/>
                  </w:rPr>
                  <w:t>2024</w:t>
                </w:r>
                <w:r>
                  <w:rPr>
                    <w:rFonts w:ascii="Microsoft YaHei" w:eastAsia="Microsoft YaHei" w:hAnsi="Microsoft YaHei" w:cs="Microsoft YaHei"/>
                    <w:color w:val="808285"/>
                    <w:spacing w:val="-5"/>
                    <w:sz w:val="20"/>
                    <w:szCs w:val="20"/>
                  </w:rPr>
                  <w:t>年</w:t>
                </w:r>
                <w:r>
                  <w:rPr>
                    <w:rFonts w:ascii="Microsoft Tai Le" w:eastAsia="Microsoft Tai Le" w:hAnsi="Microsoft Tai Le" w:cs="Microsoft Tai Le"/>
                    <w:color w:val="808285"/>
                    <w:spacing w:val="-5"/>
                    <w:sz w:val="20"/>
                    <w:szCs w:val="20"/>
                  </w:rPr>
                  <w:t>3</w:t>
                </w:r>
                <w:r>
                  <w:rPr>
                    <w:rFonts w:ascii="Microsoft YaHei" w:eastAsia="Microsoft YaHei" w:hAnsi="Microsoft YaHei" w:cs="Microsoft YaHei"/>
                    <w:color w:val="808285"/>
                    <w:spacing w:val="-5"/>
                    <w:sz w:val="20"/>
                    <w:szCs w:val="20"/>
                  </w:rPr>
                  <w:t>月</w:t>
                </w:r>
              </w:p>
            </w:txbxContent>
          </v:textbox>
        </v:shape>
      </w:pict>
    </w:r>
    <w:r>
      <w:rPr>
        <w:rFonts w:ascii="Microsoft YaHei" w:eastAsia="Microsoft YaHei" w:hAnsi="Microsoft YaHei" w:cs="Microsoft YaHei"/>
        <w:color w:val="808285"/>
        <w:spacing w:val="-2"/>
        <w:sz w:val="20"/>
        <w:szCs w:val="20"/>
      </w:rPr>
      <w:t>波士顿咨询公司</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Microsoft YaHei" w:eastAsia="Microsoft YaHei" w:hAnsi="Microsoft YaHei" w:cs="Microsoft YaHei"/>
      <w:sz w:val="19"/>
      <w:szCs w:val="19"/>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hyperlink" Target="https://d.book118.com/83802513200100604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2024-03-12T20:36:38Z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2024-03-12T20:46:08Z</vt:filetime>
  </property>
  <property fmtid="{D5CDD505-2E9C-101B-9397-08002B2CF9AE}" pid="3" name="CRO">
    <vt:lpwstr>wqlLaW5nc29mdCBQREYgdG8gV1BTIDkw</vt:lpwstr>
  </property>
</Properties>
</file>