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2018-2023年山西机电职业技术学院高职单招（数学／语文／英语）历年常考试题库含答案解析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以1870年“普法战争”为背景的小说是（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A.《断魂枪》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B.《米龙老爹》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C.《麦琪的礼物》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D.《苦恼》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《大同》选自（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C.《左传》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《季氏将伐颛臾》选自（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D.《荀子》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下列四句中，宾语前置的一句是（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A.姜氏何厌之有?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B.公语之故，且告之悔。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C.姜氏欲之，焉辟害?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D.此四君者，皆以客之功。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抗战时期，郭沫若写有历史剧（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D.《星空》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白居易号（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A.六一居士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B.东坡居士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C.青莲居士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D.香山居士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下列关于文学常识的表述，完全正确的一项是（）。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A.《蚀》《子夜》《林家铺子》《寒夜》都是茅盾的代表作品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B.《雷雨》《日出》《原野》《北京人》都是曹禺的话剧作品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C.“爱情三部曲”“农村三部曲”“激流三部曲”的作者是巴金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D.郭沫若的历史剧《屈原》《虎符》《蔡文姬》写于抗战时期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陶渊明《饮酒》中，最富有哲理意味的诗句是（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A.飞鸟相与还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B.结庐在人境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C.悠然见南山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D.心远地自偏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“多行不义必自毙”“贻笑大方”“夙兴夜寐”三个成语依次出自（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A.《寡人之于国也》、《庄子·秋水》、《季氏将伐颛臾》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B.《郑伯克段于鄢》、《庄子·秋水》、《诗经·氓》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C.《陈情表》、《诗经·氓》、《郑伯克段于鄢》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D.《礼记·大同》、《寡人之于国也》、《庄子·秋水》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“望洋兴叹”一语出自（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A.《老子》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B.《庄子》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C.《论语》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D.《孟子》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>《苦恼》中，人与马的对比体现在（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A.人像“幽灵”，马像“蜜糖饼”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B.姚纳挨“脖儿拐”，马挨鞭子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C.姚纳死了儿子，马死了崽儿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D.没有人听姚纳诉说，马却听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茅盾的《香市》是一篇（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A.记事散文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C.写景的散文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D.回忆性的抒情散文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《楚辞·九歌》共（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A.9首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B.10首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C.11首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D.12首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>梁启超《论毅力》的中心论点是（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A.有毅力者成，反是者败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B.其阻力虽或大或小，而要之必无可逃避者也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C.顺逆两境又常相间以迭乘。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D.非至强之人，未有能善于其终者也。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https://d.book118.com/838036010132006040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838036010132006040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