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ackground w:color="ffffff">
    <v:background id="_x0000_s1025" filled="t"/>
  </w:background>
  <w:body>
    <w:p>
      <w:pPr>
        <w:jc w:val="center"/>
        <w:rPr>
          <w:rFonts w:eastAsia="黑体"/>
          <w:b/>
          <w:sz w:val="84"/>
          <w:szCs w:val="84"/>
        </w:rPr>
      </w:pPr>
      <w:r>
        <w:rPr>
          <w:rFonts w:eastAsia="黑体" w:hint="eastAsia"/>
          <w:b/>
          <w:sz w:val="56"/>
          <w:szCs w:val="56"/>
          <w:lang w:eastAsia="zh-CN"/>
        </w:rPr>
        <w:t>场站设备</w:t>
      </w:r>
      <w:r>
        <w:rPr>
          <w:rFonts w:eastAsia="黑体"/>
          <w:b/>
          <w:sz w:val="56"/>
          <w:szCs w:val="56"/>
        </w:rPr>
        <w:t>试</w:t>
      </w:r>
      <w:r>
        <w:rPr>
          <w:rFonts w:eastAsia="黑体" w:hint="eastAsia"/>
          <w:b/>
          <w:sz w:val="56"/>
          <w:szCs w:val="56"/>
        </w:rPr>
        <w:t>运行</w:t>
      </w:r>
      <w:r>
        <w:rPr>
          <w:rFonts w:eastAsia="黑体"/>
          <w:b/>
          <w:sz w:val="56"/>
          <w:szCs w:val="56"/>
        </w:rPr>
        <w:t>方案</w:t>
      </w:r>
    </w:p>
    <w:p>
      <w:pPr>
        <w:pStyle w:val="Heading1"/>
      </w:pPr>
      <w:bookmarkStart w:id="0" w:name="_Toc25646"/>
      <w:bookmarkStart w:id="1" w:name="_Toc10570"/>
      <w:bookmarkStart w:id="2" w:name="_Toc359868131"/>
      <w:r>
        <w:t>第一章  编制目的及依据</w:t>
      </w:r>
      <w:bookmarkEnd w:id="0"/>
      <w:bookmarkEnd w:id="1"/>
      <w:bookmarkEnd w:id="2"/>
    </w:p>
    <w:p>
      <w:pPr>
        <w:pStyle w:val="Heading2"/>
        <w:rPr>
          <w:sz w:val="30"/>
          <w:szCs w:val="30"/>
        </w:rPr>
      </w:pPr>
      <w:bookmarkStart w:id="3" w:name="_Toc16857"/>
      <w:bookmarkStart w:id="4" w:name="_Toc359868132"/>
      <w:bookmarkStart w:id="5" w:name="_Toc22410"/>
      <w:r>
        <w:rPr>
          <w:sz w:val="30"/>
          <w:szCs w:val="30"/>
        </w:rPr>
        <w:t>1.1编制目的</w:t>
      </w:r>
      <w:bookmarkEnd w:id="3"/>
      <w:bookmarkEnd w:id="4"/>
      <w:bookmarkEnd w:id="5"/>
    </w:p>
    <w:p>
      <w:pPr>
        <w:ind w:firstLine="560" w:firstLineChars="200"/>
        <w:rPr>
          <w:sz w:val="28"/>
          <w:szCs w:val="28"/>
        </w:rPr>
      </w:pPr>
      <w:r>
        <w:rPr>
          <w:sz w:val="28"/>
          <w:szCs w:val="28"/>
        </w:rPr>
        <w:t>为了保证加</w:t>
      </w:r>
      <w:r>
        <w:rPr>
          <w:rFonts w:hint="eastAsia"/>
          <w:sz w:val="28"/>
          <w:szCs w:val="28"/>
        </w:rPr>
        <w:t>气</w:t>
      </w:r>
      <w:r>
        <w:rPr>
          <w:sz w:val="28"/>
          <w:szCs w:val="28"/>
        </w:rPr>
        <w:t>站的顺利投产，确保加</w:t>
      </w:r>
      <w:r>
        <w:rPr>
          <w:rFonts w:hint="eastAsia"/>
          <w:sz w:val="28"/>
          <w:szCs w:val="28"/>
        </w:rPr>
        <w:t>气</w:t>
      </w:r>
      <w:r>
        <w:rPr>
          <w:sz w:val="28"/>
          <w:szCs w:val="28"/>
        </w:rPr>
        <w:t>站的安全生产运营，验证工艺设计可行性、设备的可靠性，安全设施的有效性，特制定本试运行工作方案。</w:t>
      </w:r>
    </w:p>
    <w:p>
      <w:pPr>
        <w:pStyle w:val="Heading2"/>
        <w:rPr>
          <w:sz w:val="30"/>
          <w:szCs w:val="30"/>
        </w:rPr>
      </w:pPr>
      <w:bookmarkStart w:id="6" w:name="_Toc7978"/>
      <w:bookmarkStart w:id="7" w:name="_Toc30848"/>
      <w:bookmarkStart w:id="8" w:name="_Toc359868133"/>
      <w:r>
        <w:rPr>
          <w:sz w:val="30"/>
          <w:szCs w:val="30"/>
        </w:rPr>
        <w:t>1.2编制依据</w:t>
      </w:r>
      <w:bookmarkEnd w:id="6"/>
      <w:bookmarkEnd w:id="7"/>
      <w:bookmarkEnd w:id="8"/>
    </w:p>
    <w:p>
      <w:pPr>
        <w:pStyle w:val="Heading3"/>
        <w:rPr>
          <w:rFonts w:hint="eastAsia"/>
          <w:sz w:val="28"/>
          <w:szCs w:val="28"/>
        </w:rPr>
      </w:pPr>
      <w:bookmarkStart w:id="9" w:name="_Toc359868134"/>
      <w:bookmarkStart w:id="10" w:name="_Toc7537"/>
      <w:bookmarkStart w:id="11" w:name="_Toc16682"/>
      <w:r>
        <w:rPr>
          <w:sz w:val="28"/>
          <w:szCs w:val="28"/>
        </w:rPr>
        <w:t>1.2.1法律法规及相关文件</w:t>
      </w:r>
      <w:bookmarkEnd w:id="9"/>
      <w:bookmarkEnd w:id="10"/>
      <w:bookmarkEnd w:id="11"/>
    </w:p>
    <w:p>
      <w:pPr>
        <w:tabs>
          <w:tab w:val="left" w:pos="1080"/>
        </w:tabs>
        <w:spacing w:line="360" w:lineRule="auto"/>
        <w:ind w:firstLine="560" w:firstLineChars="200"/>
        <w:rPr>
          <w:caps/>
          <w:sz w:val="28"/>
          <w:szCs w:val="28"/>
        </w:rPr>
      </w:pPr>
      <w:r>
        <w:rPr>
          <w:rFonts w:hint="eastAsia"/>
          <w:caps/>
          <w:sz w:val="28"/>
          <w:szCs w:val="28"/>
        </w:rPr>
        <w:t>1</w:t>
      </w:r>
      <w:r>
        <w:rPr>
          <w:caps/>
          <w:sz w:val="28"/>
          <w:szCs w:val="28"/>
        </w:rPr>
        <w:t>、《</w:t>
      </w:r>
      <w:r>
        <w:rPr>
          <w:rFonts w:hint="eastAsia"/>
          <w:caps/>
          <w:sz w:val="28"/>
          <w:szCs w:val="28"/>
        </w:rPr>
        <w:t>危险化学品建设项目安全监督管理办法</w:t>
      </w:r>
      <w:r>
        <w:rPr>
          <w:caps/>
          <w:sz w:val="28"/>
          <w:szCs w:val="28"/>
        </w:rPr>
        <w:t>》（国家安全生产监督管理总局令第</w:t>
      </w:r>
      <w:r>
        <w:rPr>
          <w:rFonts w:hint="eastAsia"/>
          <w:caps/>
          <w:sz w:val="28"/>
          <w:szCs w:val="28"/>
        </w:rPr>
        <w:t>45</w:t>
      </w:r>
      <w:r>
        <w:rPr>
          <w:caps/>
          <w:sz w:val="28"/>
          <w:szCs w:val="28"/>
        </w:rPr>
        <w:t>号）</w:t>
      </w:r>
    </w:p>
    <w:p>
      <w:pPr>
        <w:tabs>
          <w:tab w:val="left" w:pos="1080"/>
        </w:tabs>
        <w:spacing w:line="360" w:lineRule="auto"/>
        <w:ind w:firstLine="560" w:firstLineChars="200"/>
        <w:rPr>
          <w:sz w:val="28"/>
          <w:szCs w:val="28"/>
        </w:rPr>
      </w:pPr>
      <w:r>
        <w:rPr>
          <w:rFonts w:hint="eastAsia"/>
          <w:sz w:val="28"/>
          <w:szCs w:val="28"/>
        </w:rPr>
        <w:t>2</w:t>
      </w:r>
      <w:r>
        <w:rPr>
          <w:sz w:val="28"/>
          <w:szCs w:val="28"/>
        </w:rPr>
        <w:t>、</w:t>
      </w:r>
      <w:r>
        <w:rPr>
          <w:kern w:val="0"/>
          <w:sz w:val="28"/>
          <w:szCs w:val="28"/>
        </w:rPr>
        <w:t>《陕西省建设项目安全设施监督管理办法》（陕西省人民政府令第125号）</w:t>
      </w:r>
    </w:p>
    <w:p>
      <w:pPr>
        <w:tabs>
          <w:tab w:val="left" w:pos="1080"/>
        </w:tabs>
        <w:spacing w:line="360" w:lineRule="auto"/>
        <w:ind w:firstLine="560" w:firstLineChars="200"/>
        <w:rPr>
          <w:rFonts w:hint="eastAsia"/>
          <w:sz w:val="28"/>
          <w:szCs w:val="28"/>
        </w:rPr>
      </w:pPr>
      <w:r>
        <w:rPr>
          <w:rFonts w:hint="eastAsia"/>
          <w:sz w:val="28"/>
          <w:szCs w:val="28"/>
        </w:rPr>
        <w:t>3、《关于进一步规范危险化学品建设项目安全监管工作的通知》（</w:t>
      </w:r>
      <w:r>
        <w:rPr>
          <w:sz w:val="28"/>
          <w:szCs w:val="28"/>
        </w:rPr>
        <w:t>陕安监发〔2012〕123号</w:t>
      </w:r>
      <w:r>
        <w:rPr>
          <w:rFonts w:hint="eastAsia"/>
          <w:sz w:val="28"/>
          <w:szCs w:val="28"/>
        </w:rPr>
        <w:t>）</w:t>
      </w:r>
      <w:r>
        <w:rPr>
          <w:sz w:val="28"/>
          <w:szCs w:val="28"/>
        </w:rPr>
        <w:t>　</w:t>
      </w:r>
    </w:p>
    <w:p>
      <w:pPr>
        <w:pStyle w:val="Heading3"/>
        <w:rPr>
          <w:sz w:val="28"/>
          <w:szCs w:val="28"/>
        </w:rPr>
      </w:pPr>
      <w:bookmarkStart w:id="12" w:name="_Toc359868135"/>
      <w:bookmarkStart w:id="13" w:name="_Toc27729"/>
      <w:bookmarkStart w:id="14" w:name="_Toc24704"/>
      <w:r>
        <w:rPr>
          <w:sz w:val="28"/>
          <w:szCs w:val="28"/>
        </w:rPr>
        <w:t>1.2.2标准、规范</w:t>
      </w:r>
      <w:bookmarkEnd w:id="12"/>
      <w:bookmarkEnd w:id="13"/>
      <w:bookmarkEnd w:id="14"/>
    </w:p>
    <w:p>
      <w:pPr>
        <w:numPr>
          <w:ilvl w:val="1"/>
          <w:numId w:val="1"/>
        </w:numPr>
        <w:tabs>
          <w:tab w:val="left" w:pos="900"/>
          <w:tab w:val="left" w:pos="1050"/>
          <w:tab w:val="left" w:pos="1260"/>
        </w:tabs>
        <w:spacing w:line="360" w:lineRule="auto"/>
        <w:rPr>
          <w:rFonts w:ascii="宋体" w:hAnsi="宋体"/>
          <w:sz w:val="28"/>
          <w:szCs w:val="28"/>
        </w:rPr>
      </w:pPr>
      <w:r>
        <w:rPr>
          <w:rFonts w:ascii="宋体" w:hAnsi="宋体"/>
          <w:sz w:val="28"/>
          <w:szCs w:val="28"/>
        </w:rPr>
        <w:t>《汽车加油加气站设计与施工规范》（GB50156-20</w:t>
      </w:r>
      <w:r>
        <w:rPr>
          <w:rFonts w:ascii="宋体" w:hAnsi="宋体" w:hint="eastAsia"/>
          <w:sz w:val="28"/>
          <w:szCs w:val="28"/>
        </w:rPr>
        <w:t>12</w:t>
      </w:r>
      <w:r>
        <w:rPr>
          <w:rFonts w:ascii="宋体" w:hAnsi="宋体"/>
          <w:sz w:val="28"/>
          <w:szCs w:val="28"/>
        </w:rPr>
        <w:t>）</w:t>
      </w:r>
    </w:p>
    <w:p>
      <w:pPr>
        <w:numPr>
          <w:ilvl w:val="1"/>
          <w:numId w:val="1"/>
        </w:numPr>
        <w:tabs>
          <w:tab w:val="left" w:pos="900"/>
          <w:tab w:val="left" w:pos="1050"/>
          <w:tab w:val="left" w:pos="1260"/>
        </w:tabs>
        <w:spacing w:line="360" w:lineRule="auto"/>
        <w:rPr>
          <w:rFonts w:ascii="宋体" w:hAnsi="宋体"/>
          <w:sz w:val="28"/>
          <w:szCs w:val="28"/>
        </w:rPr>
      </w:pPr>
      <w:r>
        <w:rPr>
          <w:rFonts w:ascii="宋体" w:hAnsi="宋体"/>
          <w:sz w:val="28"/>
          <w:szCs w:val="28"/>
        </w:rPr>
        <w:t>《危险货物品名表》（GB12268-2012）</w:t>
      </w:r>
    </w:p>
    <w:p>
      <w:pPr>
        <w:numPr>
          <w:ilvl w:val="1"/>
          <w:numId w:val="1"/>
        </w:numPr>
        <w:tabs>
          <w:tab w:val="left" w:pos="900"/>
          <w:tab w:val="left" w:pos="1050"/>
          <w:tab w:val="left" w:pos="1260"/>
        </w:tabs>
        <w:spacing w:line="360" w:lineRule="auto"/>
        <w:rPr>
          <w:rFonts w:ascii="宋体" w:hAnsi="宋体"/>
          <w:sz w:val="28"/>
          <w:szCs w:val="28"/>
        </w:rPr>
      </w:pPr>
      <w:r>
        <w:rPr>
          <w:rFonts w:ascii="宋体" w:hAnsi="宋体"/>
          <w:sz w:val="28"/>
          <w:szCs w:val="28"/>
        </w:rPr>
        <w:t>《危险化学品经营企业开业条件和技术要求》（GB18265-2000）</w:t>
      </w:r>
    </w:p>
    <w:p>
      <w:pPr>
        <w:numPr>
          <w:ilvl w:val="1"/>
          <w:numId w:val="1"/>
        </w:numPr>
        <w:tabs>
          <w:tab w:val="left" w:pos="900"/>
          <w:tab w:val="left" w:pos="1050"/>
          <w:tab w:val="left" w:pos="1260"/>
        </w:tabs>
        <w:spacing w:line="360" w:lineRule="auto"/>
        <w:rPr>
          <w:rFonts w:ascii="宋体" w:hAnsi="宋体"/>
          <w:sz w:val="28"/>
          <w:szCs w:val="28"/>
        </w:rPr>
      </w:pPr>
      <w:r>
        <w:rPr>
          <w:rFonts w:ascii="宋体" w:hAnsi="宋体"/>
          <w:sz w:val="28"/>
          <w:szCs w:val="28"/>
        </w:rPr>
        <w:t>《安全标志及其使用导则》（GB2894-2008）</w:t>
      </w:r>
    </w:p>
    <w:p>
      <w:pPr>
        <w:numPr>
          <w:ilvl w:val="1"/>
          <w:numId w:val="1"/>
        </w:numPr>
        <w:tabs>
          <w:tab w:val="left" w:pos="900"/>
          <w:tab w:val="left" w:pos="1050"/>
          <w:tab w:val="left" w:pos="1260"/>
        </w:tabs>
        <w:spacing w:line="360" w:lineRule="auto"/>
        <w:rPr>
          <w:rFonts w:ascii="宋体" w:hAnsi="宋体"/>
          <w:sz w:val="28"/>
          <w:szCs w:val="28"/>
        </w:rPr>
      </w:pPr>
      <w:r>
        <w:rPr>
          <w:rFonts w:ascii="宋体" w:hAnsi="宋体"/>
          <w:sz w:val="28"/>
          <w:szCs w:val="28"/>
        </w:rPr>
        <w:t>《工业企业总平面设计规范》（GB50187-1993）</w:t>
      </w:r>
    </w:p>
    <w:p>
      <w:pPr>
        <w:numPr>
          <w:ilvl w:val="1"/>
          <w:numId w:val="1"/>
        </w:numPr>
        <w:tabs>
          <w:tab w:val="left" w:pos="900"/>
          <w:tab w:val="left" w:pos="1050"/>
          <w:tab w:val="left" w:pos="1260"/>
        </w:tabs>
        <w:spacing w:line="360" w:lineRule="auto"/>
        <w:rPr>
          <w:rFonts w:ascii="宋体" w:hAnsi="宋体"/>
          <w:sz w:val="28"/>
          <w:szCs w:val="28"/>
        </w:rPr>
      </w:pPr>
      <w:r>
        <w:rPr>
          <w:rFonts w:ascii="宋体" w:hAnsi="宋体"/>
          <w:sz w:val="28"/>
          <w:szCs w:val="28"/>
        </w:rPr>
        <w:t>《生产设备安全卫生设计总则》（GB5083-1999）</w:t>
      </w:r>
    </w:p>
    <w:p>
      <w:pPr>
        <w:numPr>
          <w:ilvl w:val="1"/>
          <w:numId w:val="1"/>
        </w:numPr>
        <w:tabs>
          <w:tab w:val="left" w:pos="900"/>
          <w:tab w:val="left" w:pos="1050"/>
          <w:tab w:val="left" w:pos="1260"/>
        </w:tabs>
        <w:spacing w:line="360" w:lineRule="auto"/>
        <w:rPr>
          <w:rFonts w:ascii="宋体" w:hAnsi="宋体"/>
          <w:sz w:val="28"/>
          <w:szCs w:val="28"/>
        </w:rPr>
        <w:sectPr>
          <w:headerReference w:type="default" r:id="rId5"/>
          <w:footerReference w:type="default" r:id="rId6"/>
          <w:pgSz w:w="11906" w:h="16838"/>
          <w:pgMar w:top="1134" w:right="1588" w:bottom="1418" w:left="1134" w:header="851" w:footer="992" w:gutter="0"/>
          <w:pgNumType w:start="50"/>
          <w:cols w:num="1" w:space="720"/>
          <w:docGrid w:type="lines" w:linePitch="290" w:charSpace="0"/>
        </w:sectPr>
      </w:pPr>
      <w:r>
        <w:rPr>
          <w:rFonts w:ascii="宋体" w:hAnsi="宋体"/>
          <w:sz w:val="28"/>
          <w:szCs w:val="28"/>
        </w:rPr>
        <w:t>《工业企业设计卫生标准》（GBZ1-2010）</w:t>
      </w:r>
    </w:p>
    <w:p>
      <w:pPr>
        <w:numPr>
          <w:ilvl w:val="1"/>
          <w:numId w:val="1"/>
        </w:numPr>
        <w:tabs>
          <w:tab w:val="left" w:pos="900"/>
          <w:tab w:val="left" w:pos="1050"/>
          <w:tab w:val="left" w:pos="1260"/>
        </w:tabs>
        <w:spacing w:line="360" w:lineRule="auto"/>
        <w:rPr>
          <w:rFonts w:ascii="宋体" w:hAnsi="宋体"/>
          <w:sz w:val="28"/>
          <w:szCs w:val="28"/>
        </w:rPr>
      </w:pPr>
      <w:r>
        <w:rPr>
          <w:rFonts w:ascii="宋体" w:hAnsi="宋体"/>
          <w:sz w:val="28"/>
          <w:szCs w:val="28"/>
        </w:rPr>
        <w:t>《建筑设计防火规范》（GB50016-2006）</w:t>
      </w:r>
    </w:p>
    <w:p>
      <w:pPr>
        <w:numPr>
          <w:ilvl w:val="1"/>
          <w:numId w:val="1"/>
        </w:numPr>
        <w:tabs>
          <w:tab w:val="left" w:pos="900"/>
          <w:tab w:val="left" w:pos="1050"/>
          <w:tab w:val="left" w:pos="1260"/>
        </w:tabs>
        <w:spacing w:line="360" w:lineRule="auto"/>
        <w:rPr>
          <w:rFonts w:ascii="宋体" w:hAnsi="宋体"/>
          <w:sz w:val="52"/>
          <w:szCs w:val="52"/>
        </w:rPr>
      </w:pPr>
      <w:r>
        <w:rPr>
          <w:sz w:val="28"/>
          <w:szCs w:val="28"/>
        </w:rPr>
        <w:t>《</w:t>
      </w:r>
      <w:r>
        <w:rPr>
          <w:rFonts w:ascii="宋体" w:hAnsi="宋体"/>
          <w:sz w:val="28"/>
          <w:szCs w:val="28"/>
        </w:rPr>
        <w:t>石油化工企业设计防火规范》（GB50160-2008）</w:t>
      </w:r>
    </w:p>
    <w:p>
      <w:pPr>
        <w:numPr>
          <w:ilvl w:val="1"/>
          <w:numId w:val="1"/>
        </w:numPr>
        <w:tabs>
          <w:tab w:val="left" w:pos="900"/>
          <w:tab w:val="left" w:pos="1050"/>
          <w:tab w:val="left" w:pos="1260"/>
        </w:tabs>
        <w:spacing w:line="360" w:lineRule="auto"/>
        <w:rPr>
          <w:sz w:val="28"/>
          <w:szCs w:val="28"/>
        </w:rPr>
      </w:pPr>
      <w:r>
        <w:rPr>
          <w:sz w:val="28"/>
          <w:szCs w:val="28"/>
        </w:rPr>
        <w:t>《石油与石油设施雷电安全规范》（GB15599-2009）</w:t>
      </w:r>
    </w:p>
    <w:p>
      <w:pPr>
        <w:numPr>
          <w:ilvl w:val="1"/>
          <w:numId w:val="1"/>
        </w:numPr>
        <w:tabs>
          <w:tab w:val="left" w:pos="900"/>
          <w:tab w:val="left" w:pos="1050"/>
          <w:tab w:val="left" w:pos="1260"/>
        </w:tabs>
        <w:spacing w:line="360" w:lineRule="auto"/>
        <w:rPr>
          <w:rFonts w:ascii="宋体" w:hAnsi="宋体"/>
          <w:sz w:val="28"/>
          <w:szCs w:val="28"/>
        </w:rPr>
      </w:pPr>
      <w:r>
        <w:rPr>
          <w:sz w:val="28"/>
          <w:szCs w:val="28"/>
        </w:rPr>
        <w:t>《</w:t>
      </w:r>
      <w:r>
        <w:rPr>
          <w:rFonts w:ascii="宋体" w:hAnsi="宋体"/>
          <w:sz w:val="28"/>
          <w:szCs w:val="28"/>
        </w:rPr>
        <w:t>建筑灭火器配置设计规范》（GB50140-2005）</w:t>
      </w:r>
    </w:p>
    <w:p>
      <w:pPr>
        <w:numPr>
          <w:ilvl w:val="1"/>
          <w:numId w:val="1"/>
        </w:numPr>
        <w:tabs>
          <w:tab w:val="left" w:pos="900"/>
          <w:tab w:val="left" w:pos="1050"/>
          <w:tab w:val="left" w:pos="1260"/>
        </w:tabs>
        <w:spacing w:line="360" w:lineRule="auto"/>
        <w:jc w:val="left"/>
        <w:rPr>
          <w:rFonts w:ascii="宋体" w:hAnsi="宋体"/>
          <w:spacing w:val="4"/>
          <w:sz w:val="28"/>
          <w:szCs w:val="28"/>
        </w:rPr>
      </w:pPr>
      <w:r>
        <w:rPr>
          <w:rFonts w:ascii="宋体" w:hAnsi="宋体"/>
          <w:bCs/>
          <w:sz w:val="28"/>
          <w:szCs w:val="28"/>
        </w:rPr>
        <w:t>《生产经营单位安全生产事故应急预案编制导则》（</w:t>
      </w:r>
      <w:r>
        <w:rPr>
          <w:rFonts w:ascii="宋体" w:hAnsi="宋体"/>
          <w:spacing w:val="4"/>
          <w:sz w:val="28"/>
          <w:szCs w:val="28"/>
        </w:rPr>
        <w:t>AQ/T9002-2006）</w:t>
      </w:r>
    </w:p>
    <w:p>
      <w:pPr>
        <w:spacing w:line="660" w:lineRule="atLeast"/>
        <w:rPr>
          <w:rFonts w:ascii="宋体" w:hAnsi="宋体" w:hint="eastAsia"/>
          <w:sz w:val="28"/>
        </w:rPr>
      </w:pPr>
      <w:r>
        <w:rPr>
          <w:rFonts w:ascii="宋体" w:hAnsi="宋体" w:hint="eastAsia"/>
          <w:sz w:val="28"/>
        </w:rPr>
        <w:t xml:space="preserve">  13、《固定式压力容器安全技术监察规程》（TSG R0004-2009）</w:t>
      </w:r>
    </w:p>
    <w:p>
      <w:pPr>
        <w:spacing w:line="660" w:lineRule="atLeast"/>
        <w:rPr>
          <w:rFonts w:ascii="宋体" w:hAnsi="宋体" w:hint="eastAsia"/>
          <w:sz w:val="28"/>
        </w:rPr>
      </w:pPr>
      <w:r>
        <w:rPr>
          <w:rFonts w:ascii="宋体" w:hAnsi="宋体" w:hint="eastAsia"/>
          <w:sz w:val="28"/>
        </w:rPr>
        <w:t xml:space="preserve">  14、《压力管道安全管理监察规程》（TSG D0001-2009）</w:t>
      </w:r>
    </w:p>
    <w:p>
      <w:pPr>
        <w:spacing w:line="660" w:lineRule="atLeast"/>
        <w:ind w:left="1120" w:hanging="1120" w:hangingChars="400"/>
        <w:rPr>
          <w:rFonts w:ascii="宋体" w:hAnsi="宋体" w:hint="eastAsia"/>
          <w:sz w:val="28"/>
        </w:rPr>
      </w:pPr>
      <w:r>
        <w:rPr>
          <w:rFonts w:ascii="宋体" w:hAnsi="宋体" w:hint="eastAsia"/>
          <w:sz w:val="28"/>
        </w:rPr>
        <w:t xml:space="preserve">  15、《危险化学品重大危险源辨识》GB18218-2009</w:t>
      </w:r>
    </w:p>
    <w:p>
      <w:pPr>
        <w:spacing w:line="660" w:lineRule="atLeast"/>
        <w:ind w:left="284" w:leftChars="135"/>
        <w:rPr>
          <w:rFonts w:ascii="宋体" w:hAnsi="宋体" w:hint="eastAsia"/>
          <w:sz w:val="28"/>
        </w:rPr>
      </w:pPr>
      <w:r>
        <w:rPr>
          <w:rFonts w:ascii="宋体" w:hAnsi="宋体" w:hint="eastAsia"/>
          <w:sz w:val="28"/>
        </w:rPr>
        <w:t>16、《城镇燃气设计规范》GB50028-2006</w:t>
      </w:r>
    </w:p>
    <w:p>
      <w:pPr>
        <w:spacing w:line="660" w:lineRule="atLeast"/>
        <w:ind w:left="284" w:leftChars="135"/>
        <w:rPr>
          <w:rFonts w:ascii="宋体" w:hAnsi="宋体" w:hint="eastAsia"/>
          <w:sz w:val="28"/>
        </w:rPr>
      </w:pPr>
      <w:r>
        <w:rPr>
          <w:rFonts w:ascii="宋体" w:hAnsi="宋体" w:hint="eastAsia"/>
          <w:sz w:val="28"/>
        </w:rPr>
        <w:t>17、《车用压缩天然气》GB18047-2000</w:t>
      </w:r>
    </w:p>
    <w:p>
      <w:pPr>
        <w:spacing w:line="660" w:lineRule="atLeast"/>
        <w:ind w:left="284" w:leftChars="135"/>
        <w:rPr>
          <w:rFonts w:ascii="宋体" w:hAnsi="宋体" w:hint="eastAsia"/>
          <w:sz w:val="28"/>
        </w:rPr>
      </w:pPr>
      <w:r>
        <w:rPr>
          <w:rFonts w:ascii="宋体" w:hAnsi="宋体" w:hint="eastAsia"/>
          <w:sz w:val="28"/>
        </w:rPr>
        <w:t>18、《噪声作业分级》LD80-95</w:t>
      </w:r>
    </w:p>
    <w:p>
      <w:pPr>
        <w:spacing w:line="660" w:lineRule="atLeast"/>
        <w:ind w:left="284" w:leftChars="135"/>
        <w:rPr>
          <w:rFonts w:ascii="宋体" w:hAnsi="宋体" w:hint="eastAsia"/>
          <w:sz w:val="28"/>
        </w:rPr>
      </w:pPr>
      <w:r>
        <w:rPr>
          <w:rFonts w:ascii="宋体" w:hAnsi="宋体" w:hint="eastAsia"/>
          <w:sz w:val="28"/>
        </w:rPr>
        <w:t>19、《输送液体用无缝钢管》GB8163</w:t>
      </w:r>
    </w:p>
    <w:p>
      <w:pPr>
        <w:spacing w:line="660" w:lineRule="atLeast"/>
        <w:ind w:left="284" w:leftChars="135"/>
        <w:rPr>
          <w:rFonts w:ascii="宋体" w:hAnsi="宋体" w:hint="eastAsia"/>
          <w:sz w:val="28"/>
        </w:rPr>
      </w:pPr>
      <w:r>
        <w:rPr>
          <w:rFonts w:ascii="宋体" w:hAnsi="宋体" w:hint="eastAsia"/>
          <w:sz w:val="28"/>
        </w:rPr>
        <w:t>20、《不锈钢无缝钢管》GB/T14976</w:t>
      </w:r>
    </w:p>
    <w:p>
      <w:pPr>
        <w:spacing w:line="660" w:lineRule="atLeast"/>
        <w:ind w:left="284" w:leftChars="135"/>
        <w:rPr>
          <w:rFonts w:ascii="宋体" w:hAnsi="宋体" w:hint="eastAsia"/>
          <w:sz w:val="28"/>
        </w:rPr>
      </w:pPr>
      <w:r>
        <w:rPr>
          <w:rFonts w:ascii="宋体" w:hAnsi="宋体" w:hint="eastAsia"/>
          <w:sz w:val="28"/>
        </w:rPr>
        <w:t>21、《安全色》GB2893-2001</w:t>
      </w:r>
    </w:p>
    <w:p>
      <w:pPr>
        <w:spacing w:line="660" w:lineRule="atLeast"/>
        <w:ind w:left="284" w:leftChars="135"/>
        <w:rPr>
          <w:rFonts w:ascii="宋体" w:hAnsi="宋体" w:hint="eastAsia"/>
          <w:sz w:val="28"/>
        </w:rPr>
      </w:pPr>
      <w:r>
        <w:rPr>
          <w:rFonts w:ascii="宋体" w:hAnsi="宋体" w:hint="eastAsia"/>
          <w:sz w:val="28"/>
        </w:rPr>
        <w:t>22、《安全色使用导则》GB/T6527.2-1986</w:t>
      </w:r>
    </w:p>
    <w:p>
      <w:pPr>
        <w:spacing w:line="660" w:lineRule="atLeast"/>
        <w:ind w:left="284" w:leftChars="135"/>
        <w:rPr>
          <w:rFonts w:ascii="宋体" w:hAnsi="宋体" w:hint="eastAsia"/>
          <w:sz w:val="28"/>
        </w:rPr>
      </w:pPr>
      <w:r>
        <w:rPr>
          <w:rFonts w:ascii="宋体" w:hAnsi="宋体" w:hint="eastAsia"/>
          <w:sz w:val="28"/>
        </w:rPr>
        <w:t>23、《安全标志》GB2894-1996</w:t>
      </w:r>
    </w:p>
    <w:p>
      <w:pPr>
        <w:spacing w:line="660" w:lineRule="atLeast"/>
        <w:ind w:left="284" w:leftChars="135"/>
        <w:rPr>
          <w:rFonts w:ascii="宋体" w:hAnsi="宋体" w:hint="eastAsia"/>
          <w:sz w:val="28"/>
        </w:rPr>
      </w:pPr>
      <w:r>
        <w:rPr>
          <w:rFonts w:ascii="宋体" w:hAnsi="宋体" w:hint="eastAsia"/>
          <w:sz w:val="28"/>
        </w:rPr>
        <w:t>24、《天然气》GB17820-1999</w:t>
      </w:r>
    </w:p>
    <w:p>
      <w:pPr>
        <w:spacing w:line="660" w:lineRule="atLeast"/>
        <w:ind w:left="284" w:leftChars="135"/>
        <w:rPr>
          <w:rFonts w:ascii="宋体" w:hAnsi="宋体" w:hint="eastAsia"/>
          <w:sz w:val="28"/>
        </w:rPr>
      </w:pPr>
      <w:r>
        <w:rPr>
          <w:rFonts w:ascii="宋体" w:hAnsi="宋体" w:hint="eastAsia"/>
          <w:sz w:val="28"/>
        </w:rPr>
        <w:t>25、《气瓶充装许可规则》TSGR4002—2006</w:t>
      </w:r>
    </w:p>
    <w:p>
      <w:pPr>
        <w:spacing w:line="660" w:lineRule="atLeast"/>
        <w:ind w:left="1404" w:hanging="1120" w:leftChars="135" w:hangingChars="400"/>
        <w:rPr>
          <w:rFonts w:ascii="宋体" w:hAnsi="宋体" w:hint="eastAsia"/>
          <w:sz w:val="28"/>
        </w:rPr>
      </w:pPr>
      <w:r>
        <w:rPr>
          <w:rFonts w:ascii="宋体" w:hAnsi="宋体" w:hint="eastAsia"/>
          <w:sz w:val="28"/>
        </w:rPr>
        <w:t>26、《高压气地下储气瓶》</w:t>
      </w:r>
      <w:r>
        <w:rPr>
          <w:rFonts w:ascii="宋体" w:hAnsi="宋体"/>
          <w:sz w:val="28"/>
        </w:rPr>
        <w:t>SY/T6535-2002</w:t>
      </w:r>
    </w:p>
    <w:p>
      <w:pPr>
        <w:spacing w:line="660" w:lineRule="atLeast"/>
        <w:ind w:left="1404" w:hanging="1120" w:leftChars="135" w:hangingChars="400"/>
        <w:rPr>
          <w:rFonts w:ascii="宋体" w:hAnsi="宋体" w:hint="eastAsia"/>
          <w:sz w:val="28"/>
        </w:rPr>
      </w:pPr>
      <w:r>
        <w:rPr>
          <w:rFonts w:ascii="宋体" w:hAnsi="宋体" w:hint="eastAsia"/>
          <w:sz w:val="28"/>
        </w:rPr>
        <w:t>27、《电气设备安全设计导则》GB50064-83</w:t>
      </w:r>
    </w:p>
    <w:p>
      <w:pPr>
        <w:spacing w:line="660" w:lineRule="atLeast"/>
        <w:ind w:left="284" w:leftChars="135"/>
        <w:textAlignment w:val="baseline"/>
        <w:rPr>
          <w:rFonts w:ascii="宋体" w:hAnsi="宋体" w:hint="eastAsia"/>
          <w:sz w:val="28"/>
        </w:rPr>
        <w:sectPr>
          <w:headerReference w:type="default" r:id="rId7"/>
          <w:footerReference w:type="default" r:id="rId8"/>
          <w:type w:val="nextPage"/>
          <w:pgSz w:w="11906" w:h="16838"/>
          <w:pgMar w:top="1134" w:right="1588" w:bottom="1418" w:left="1134" w:header="851" w:footer="992" w:gutter="0"/>
          <w:pgNumType w:start="51"/>
          <w:cols w:num="1" w:space="720"/>
          <w:titlePg w:val="0"/>
          <w:docGrid w:type="lines" w:linePitch="290" w:charSpace="0"/>
        </w:sectPr>
      </w:pPr>
      <w:r>
        <w:rPr>
          <w:rFonts w:ascii="宋体" w:hAnsi="宋体" w:hint="eastAsia"/>
          <w:sz w:val="28"/>
        </w:rPr>
        <w:t>28、《爆炸和火灾危险环境电力装置设计规范》GB50058-92</w:t>
      </w:r>
    </w:p>
    <w:p>
      <w:pPr>
        <w:spacing w:line="660" w:lineRule="atLeast"/>
        <w:ind w:left="284" w:leftChars="135"/>
        <w:rPr>
          <w:rFonts w:ascii="宋体" w:hAnsi="宋体" w:hint="eastAsia"/>
          <w:sz w:val="28"/>
        </w:rPr>
      </w:pPr>
      <w:r>
        <w:rPr>
          <w:rFonts w:ascii="宋体" w:hAnsi="宋体" w:hint="eastAsia"/>
          <w:sz w:val="28"/>
        </w:rPr>
        <w:t>29、《低压配电设计规范》GB50054-1995</w:t>
      </w:r>
    </w:p>
    <w:p>
      <w:pPr>
        <w:spacing w:line="660" w:lineRule="atLeast"/>
        <w:ind w:left="284" w:leftChars="135"/>
        <w:rPr>
          <w:rFonts w:ascii="宋体" w:hAnsi="宋体" w:hint="eastAsia"/>
          <w:sz w:val="28"/>
        </w:rPr>
      </w:pPr>
      <w:r>
        <w:rPr>
          <w:rFonts w:ascii="宋体" w:hAnsi="宋体" w:hint="eastAsia"/>
          <w:sz w:val="28"/>
        </w:rPr>
        <w:t>30、《爆炸性环境用防爆电气设备》GB3836-83</w:t>
      </w:r>
    </w:p>
    <w:p>
      <w:pPr>
        <w:spacing w:line="660" w:lineRule="atLeast"/>
        <w:ind w:left="284" w:leftChars="135"/>
        <w:rPr>
          <w:rFonts w:ascii="宋体" w:hAnsi="宋体" w:hint="eastAsia"/>
          <w:sz w:val="28"/>
        </w:rPr>
      </w:pPr>
      <w:r>
        <w:rPr>
          <w:rFonts w:ascii="宋体" w:hAnsi="宋体" w:hint="eastAsia"/>
          <w:sz w:val="28"/>
        </w:rPr>
        <w:t>31、《石油天然气工程设计防火规范》GB50183-2004</w:t>
      </w:r>
    </w:p>
    <w:p>
      <w:pPr>
        <w:spacing w:line="660" w:lineRule="atLeast"/>
        <w:ind w:left="284" w:leftChars="135"/>
        <w:rPr>
          <w:rFonts w:ascii="宋体" w:hAnsi="宋体" w:hint="eastAsia"/>
          <w:sz w:val="28"/>
        </w:rPr>
      </w:pPr>
      <w:r>
        <w:rPr>
          <w:rFonts w:ascii="宋体" w:hAnsi="宋体" w:hint="eastAsia"/>
          <w:sz w:val="28"/>
        </w:rPr>
        <w:t>32、《建筑灭火器配置设计规范》GB50140-2005</w:t>
      </w:r>
    </w:p>
    <w:p>
      <w:pPr>
        <w:spacing w:line="660" w:lineRule="atLeast"/>
        <w:ind w:left="284" w:leftChars="135"/>
        <w:rPr>
          <w:rFonts w:ascii="宋体" w:hAnsi="宋体"/>
          <w:sz w:val="28"/>
        </w:rPr>
      </w:pPr>
      <w:r>
        <w:rPr>
          <w:rFonts w:ascii="宋体" w:hAnsi="宋体" w:hint="eastAsia"/>
          <w:sz w:val="28"/>
        </w:rPr>
        <w:t>33、《气瓶安全监察规程》（质技局锅发[2000]250号）</w:t>
      </w:r>
    </w:p>
    <w:p>
      <w:pPr>
        <w:spacing w:line="660" w:lineRule="atLeast"/>
        <w:ind w:left="1264" w:hanging="980" w:leftChars="135" w:hangingChars="350"/>
        <w:textAlignment w:val="baseline"/>
        <w:rPr>
          <w:rFonts w:ascii="宋体" w:hAnsi="宋体" w:hint="eastAsia"/>
          <w:sz w:val="28"/>
        </w:rPr>
      </w:pPr>
      <w:r>
        <w:rPr>
          <w:rFonts w:ascii="宋体" w:hAnsi="宋体" w:hint="eastAsia"/>
          <w:sz w:val="28"/>
        </w:rPr>
        <w:t>34、《气瓶安全检查规定》（国家质量监督检验检疫总局令第46号）</w:t>
      </w:r>
    </w:p>
    <w:p>
      <w:pPr>
        <w:pStyle w:val="Heading3"/>
        <w:rPr>
          <w:rFonts w:hint="eastAsia"/>
          <w:sz w:val="28"/>
          <w:szCs w:val="28"/>
        </w:rPr>
      </w:pPr>
      <w:bookmarkStart w:id="15" w:name="_Toc359868136"/>
      <w:bookmarkStart w:id="16" w:name="_Toc6378"/>
      <w:r>
        <w:rPr>
          <w:rFonts w:hint="eastAsia"/>
          <w:sz w:val="28"/>
          <w:szCs w:val="28"/>
        </w:rPr>
        <w:t>1.2.3其它</w:t>
      </w:r>
      <w:bookmarkEnd w:id="15"/>
      <w:bookmarkEnd w:id="16"/>
    </w:p>
    <w:p>
      <w:pPr>
        <w:spacing w:line="660" w:lineRule="atLeast"/>
        <w:rPr>
          <w:rFonts w:ascii="Arial" w:eastAsia="黑体" w:hAnsi="Arial" w:hint="eastAsia"/>
          <w:b/>
          <w:bCs/>
          <w:sz w:val="30"/>
          <w:szCs w:val="30"/>
        </w:rPr>
      </w:pPr>
    </w:p>
    <w:p>
      <w:pPr>
        <w:pStyle w:val="Heading1"/>
      </w:pPr>
      <w:bookmarkStart w:id="17" w:name="_Toc31003"/>
      <w:bookmarkStart w:id="18" w:name="_Toc359868137"/>
      <w:r>
        <w:t>第</w:t>
      </w:r>
      <w:r>
        <w:rPr>
          <w:rFonts w:hint="eastAsia"/>
        </w:rPr>
        <w:t>二</w:t>
      </w:r>
      <w:r>
        <w:t>章</w:t>
      </w:r>
      <w:r>
        <w:rPr>
          <w:rFonts w:ascii="Arial" w:hAnsi="Arial" w:hint="eastAsia"/>
          <w:bCs w:val="0"/>
          <w:sz w:val="30"/>
          <w:szCs w:val="30"/>
        </w:rPr>
        <w:t>试运行指导思想、总体要求</w:t>
      </w:r>
      <w:bookmarkEnd w:id="17"/>
      <w:bookmarkEnd w:id="18"/>
    </w:p>
    <w:p>
      <w:pPr>
        <w:pStyle w:val="Heading2"/>
        <w:rPr>
          <w:rFonts w:hint="eastAsia"/>
          <w:sz w:val="30"/>
          <w:szCs w:val="30"/>
        </w:rPr>
      </w:pPr>
      <w:bookmarkStart w:id="19" w:name="_Toc5679"/>
      <w:bookmarkStart w:id="20" w:name="_Toc359868138"/>
      <w:r>
        <w:rPr>
          <w:rFonts w:hint="eastAsia"/>
          <w:sz w:val="30"/>
          <w:szCs w:val="30"/>
        </w:rPr>
        <w:t>2.1试运行指导思想</w:t>
      </w:r>
      <w:bookmarkEnd w:id="19"/>
      <w:bookmarkEnd w:id="20"/>
    </w:p>
    <w:p>
      <w:pPr>
        <w:pStyle w:val="BodyText"/>
        <w:keepNext w:val="0"/>
        <w:keepLines w:val="0"/>
        <w:pageBreakBefore w:val="0"/>
        <w:widowControl w:val="0"/>
        <w:kinsoku/>
        <w:wordWrap/>
        <w:overflowPunct/>
        <w:topLinePunct w:val="0"/>
        <w:autoSpaceDE/>
        <w:autoSpaceDN/>
        <w:bidi w:val="0"/>
        <w:spacing w:after="0" w:line="520" w:lineRule="exact"/>
        <w:ind w:left="0" w:right="0" w:firstLine="560" w:leftChars="0" w:rightChars="0" w:firstLineChars="200"/>
        <w:jc w:val="both"/>
        <w:textAlignment w:val="auto"/>
        <w:outlineLvl w:val="9"/>
        <w:rPr>
          <w:rFonts w:ascii="宋体" w:hAnsi="宋体" w:hint="eastAsia"/>
          <w:bCs/>
          <w:sz w:val="28"/>
          <w:szCs w:val="28"/>
        </w:rPr>
      </w:pPr>
      <w:r>
        <w:rPr>
          <w:rFonts w:ascii="宋体" w:hAnsi="宋体" w:hint="eastAsia"/>
          <w:bCs/>
          <w:sz w:val="28"/>
          <w:szCs w:val="28"/>
        </w:rPr>
        <w:t>1</w:t>
      </w:r>
      <w:r>
        <w:rPr>
          <w:rFonts w:ascii="宋体" w:hAnsi="宋体" w:hint="eastAsia"/>
          <w:bCs/>
          <w:sz w:val="28"/>
          <w:szCs w:val="28"/>
          <w:lang w:val="en-US" w:eastAsia="zh-CN"/>
        </w:rPr>
        <w:t>、</w:t>
      </w:r>
      <w:r>
        <w:rPr>
          <w:rFonts w:ascii="宋体" w:hAnsi="宋体" w:hint="eastAsia"/>
          <w:bCs/>
          <w:sz w:val="28"/>
          <w:szCs w:val="28"/>
        </w:rPr>
        <w:t>试运行总体目标：安全、平稳，节能、环保、一次试运行成功。</w:t>
      </w:r>
    </w:p>
    <w:p>
      <w:pPr>
        <w:keepNext w:val="0"/>
        <w:keepLines w:val="0"/>
        <w:pageBreakBefore w:val="0"/>
        <w:widowControl w:val="0"/>
        <w:kinsoku/>
        <w:wordWrap/>
        <w:overflowPunct/>
        <w:topLinePunct w:val="0"/>
        <w:autoSpaceDE/>
        <w:autoSpaceDN/>
        <w:bidi w:val="0"/>
        <w:adjustRightInd w:val="0"/>
        <w:snapToGrid w:val="0"/>
        <w:spacing w:line="520" w:lineRule="exact"/>
        <w:ind w:left="0" w:right="0" w:firstLine="560" w:leftChars="0" w:rightChars="0" w:firstLineChars="200"/>
        <w:jc w:val="both"/>
        <w:textAlignment w:val="auto"/>
        <w:outlineLvl w:val="9"/>
        <w:rPr>
          <w:rFonts w:ascii="宋体" w:hAnsi="宋体" w:hint="eastAsia"/>
          <w:bCs/>
          <w:sz w:val="28"/>
          <w:szCs w:val="28"/>
        </w:rPr>
      </w:pPr>
      <w:r>
        <w:rPr>
          <w:rFonts w:ascii="宋体" w:hAnsi="宋体" w:hint="eastAsia"/>
          <w:bCs/>
          <w:sz w:val="28"/>
          <w:szCs w:val="28"/>
          <w:lang w:val="en-US" w:eastAsia="zh-CN"/>
        </w:rPr>
        <w:t>2、</w:t>
      </w:r>
      <w:r>
        <w:rPr>
          <w:rFonts w:ascii="宋体" w:hAnsi="宋体" w:hint="eastAsia"/>
          <w:bCs/>
          <w:sz w:val="28"/>
          <w:szCs w:val="28"/>
        </w:rPr>
        <w:t>试运行贯彻</w:t>
      </w:r>
      <w:r>
        <w:rPr>
          <w:rFonts w:ascii="宋体" w:hAnsi="宋体" w:cs="仿宋_GB2312" w:hint="eastAsia"/>
          <w:bCs/>
          <w:color w:val="000000"/>
          <w:sz w:val="28"/>
          <w:szCs w:val="28"/>
        </w:rPr>
        <w:t>“安全第一、预防为主、综合治理”方针，坚持以人为本指导思想，要把“无事故、无伤害、无污染”的思想作为贯彻试运行工作的始终。</w:t>
      </w:r>
      <w:r>
        <w:rPr>
          <w:rFonts w:ascii="宋体" w:hAnsi="宋体" w:hint="eastAsia"/>
          <w:bCs/>
          <w:sz w:val="28"/>
          <w:szCs w:val="28"/>
        </w:rPr>
        <w:t>确保试运行时安全、环保、职业卫生设施“三同时”建成投入使用，并符合国家有关法律、法规的要求。</w:t>
      </w:r>
    </w:p>
    <w:p>
      <w:pPr>
        <w:keepNext w:val="0"/>
        <w:keepLines w:val="0"/>
        <w:pageBreakBefore w:val="0"/>
        <w:widowControl w:val="0"/>
        <w:kinsoku/>
        <w:wordWrap/>
        <w:overflowPunct/>
        <w:topLinePunct w:val="0"/>
        <w:autoSpaceDE/>
        <w:autoSpaceDN/>
        <w:bidi w:val="0"/>
        <w:adjustRightInd w:val="0"/>
        <w:snapToGrid w:val="0"/>
        <w:spacing w:line="520" w:lineRule="exact"/>
        <w:ind w:left="0" w:right="0" w:firstLine="560" w:leftChars="0" w:rightChars="0" w:firstLineChars="200"/>
        <w:jc w:val="both"/>
        <w:textAlignment w:val="auto"/>
        <w:outlineLvl w:val="9"/>
        <w:rPr>
          <w:rFonts w:ascii="宋体" w:hAnsi="宋体" w:hint="eastAsia"/>
          <w:bCs/>
          <w:sz w:val="28"/>
          <w:szCs w:val="28"/>
        </w:rPr>
      </w:pPr>
      <w:r>
        <w:rPr>
          <w:rFonts w:ascii="宋体" w:hAnsi="宋体" w:hint="eastAsia"/>
          <w:bCs/>
          <w:sz w:val="28"/>
          <w:szCs w:val="28"/>
        </w:rPr>
        <w:t>3</w:t>
      </w:r>
      <w:r>
        <w:rPr>
          <w:rFonts w:ascii="宋体" w:hAnsi="宋体" w:hint="eastAsia"/>
          <w:bCs/>
          <w:sz w:val="28"/>
          <w:szCs w:val="28"/>
          <w:lang w:val="en-US" w:eastAsia="zh-CN"/>
        </w:rPr>
        <w:t>、</w:t>
      </w:r>
      <w:r>
        <w:rPr>
          <w:rFonts w:ascii="宋体" w:hAnsi="宋体" w:hint="eastAsia"/>
          <w:bCs/>
          <w:sz w:val="28"/>
          <w:szCs w:val="28"/>
        </w:rPr>
        <w:t>按照“先外围后主体、先公用工程和辅助设施、后工艺单元”的原则，安排试运行各工序时间节点。</w:t>
      </w:r>
    </w:p>
    <w:p>
      <w:pPr>
        <w:keepNext w:val="0"/>
        <w:keepLines w:val="0"/>
        <w:pageBreakBefore w:val="0"/>
        <w:widowControl w:val="0"/>
        <w:kinsoku/>
        <w:wordWrap/>
        <w:overflowPunct/>
        <w:topLinePunct w:val="0"/>
        <w:autoSpaceDE/>
        <w:autoSpaceDN/>
        <w:bidi w:val="0"/>
        <w:adjustRightInd w:val="0"/>
        <w:snapToGrid w:val="0"/>
        <w:spacing w:line="520" w:lineRule="exact"/>
        <w:ind w:left="0" w:right="0" w:firstLine="560" w:leftChars="0" w:rightChars="0" w:firstLineChars="200"/>
        <w:jc w:val="both"/>
        <w:textAlignment w:val="auto"/>
        <w:outlineLvl w:val="9"/>
        <w:rPr>
          <w:rFonts w:ascii="宋体" w:hAnsi="宋体" w:hint="eastAsia"/>
          <w:sz w:val="28"/>
          <w:szCs w:val="28"/>
        </w:rPr>
      </w:pPr>
      <w:r>
        <w:rPr>
          <w:rFonts w:ascii="宋体" w:eastAsia="宋体" w:hAnsi="宋体" w:hint="eastAsia"/>
          <w:bCs/>
          <w:kern w:val="2"/>
          <w:sz w:val="28"/>
          <w:szCs w:val="28"/>
          <w:lang w:val="en-US" w:eastAsia="zh-CN" w:bidi="ar-SA"/>
        </w:rPr>
        <w:t>4、</w:t>
      </w:r>
      <w:r>
        <w:rPr>
          <w:rFonts w:ascii="宋体" w:hAnsi="宋体" w:hint="eastAsia"/>
          <w:sz w:val="28"/>
          <w:szCs w:val="28"/>
        </w:rPr>
        <w:t>遵循“检查整改要细，单机试运行要早，吹扫气密要严，联动试运行要全，投料试运行要稳，经济效益要好”的原则，发扬“全局精神，团队精神”，要求：严密组织，统一指挥；密切配合，协调作战；严细认真，安全第一。</w:t>
      </w:r>
    </w:p>
    <w:p>
      <w:pPr>
        <w:keepNext w:val="0"/>
        <w:keepLines w:val="0"/>
        <w:pageBreakBefore w:val="0"/>
        <w:widowControl w:val="0"/>
        <w:kinsoku/>
        <w:wordWrap/>
        <w:overflowPunct/>
        <w:topLinePunct w:val="0"/>
        <w:autoSpaceDE/>
        <w:autoSpaceDN/>
        <w:bidi w:val="0"/>
        <w:adjustRightInd w:val="0"/>
        <w:snapToGrid w:val="0"/>
        <w:spacing w:line="520" w:lineRule="exact"/>
        <w:ind w:left="0" w:right="0" w:firstLine="560" w:leftChars="0" w:rightChars="0" w:firstLineChars="200"/>
        <w:jc w:val="both"/>
        <w:textAlignment w:val="auto"/>
        <w:outlineLvl w:val="9"/>
        <w:rPr>
          <w:rFonts w:ascii="宋体" w:hAnsi="宋体" w:hint="eastAsia"/>
          <w:sz w:val="28"/>
          <w:szCs w:val="28"/>
        </w:rPr>
        <w:sectPr>
          <w:headerReference w:type="default" r:id="rId9"/>
          <w:footerReference w:type="default" r:id="rId10"/>
          <w:type w:val="nextPage"/>
          <w:pgSz w:w="11906" w:h="16838"/>
          <w:pgMar w:top="1134" w:right="1588" w:bottom="1418" w:left="1134" w:header="851" w:footer="992" w:gutter="0"/>
          <w:pgNumType w:start="52"/>
          <w:cols w:num="1" w:space="720"/>
          <w:titlePg w:val="0"/>
          <w:docGrid w:type="lines" w:linePitch="290" w:charSpace="0"/>
        </w:sectPr>
      </w:pPr>
      <w:r>
        <w:rPr>
          <w:rFonts w:ascii="宋体" w:hAnsi="宋体" w:hint="eastAsia"/>
          <w:sz w:val="28"/>
          <w:szCs w:val="28"/>
        </w:rPr>
        <w:t>5</w:t>
      </w:r>
      <w:r>
        <w:rPr>
          <w:rFonts w:ascii="宋体" w:hAnsi="宋体" w:hint="eastAsia"/>
          <w:sz w:val="28"/>
          <w:szCs w:val="28"/>
          <w:lang w:val="en-US" w:eastAsia="zh-CN"/>
        </w:rPr>
        <w:t>、</w:t>
      </w:r>
    </w:p>
    <w:p>
      <w:pPr>
        <w:keepNext w:val="0"/>
        <w:keepLines w:val="0"/>
        <w:pageBreakBefore w:val="0"/>
        <w:widowControl w:val="0"/>
        <w:kinsoku/>
        <w:wordWrap/>
        <w:overflowPunct/>
        <w:topLinePunct w:val="0"/>
        <w:autoSpaceDE/>
        <w:autoSpaceDN/>
        <w:bidi w:val="0"/>
        <w:adjustRightInd w:val="0"/>
        <w:snapToGrid w:val="0"/>
        <w:spacing w:line="520" w:lineRule="exact"/>
        <w:ind w:left="0" w:right="0" w:firstLine="560" w:leftChars="0" w:rightChars="0" w:firstLineChars="200"/>
        <w:jc w:val="both"/>
        <w:textAlignment w:val="auto"/>
        <w:outlineLvl w:val="9"/>
        <w:rPr>
          <w:rFonts w:ascii="宋体" w:hAnsi="宋体" w:hint="eastAsia"/>
          <w:sz w:val="28"/>
          <w:szCs w:val="28"/>
        </w:rPr>
      </w:pPr>
      <w:r>
        <w:rPr>
          <w:rFonts w:ascii="宋体" w:hAnsi="宋体" w:hint="eastAsia"/>
          <w:sz w:val="28"/>
          <w:szCs w:val="28"/>
        </w:rPr>
        <w:t>试运行坚持高标准，严要求，做到“四不开车”（条件不具备不开车，程序不清楚不开车，指挥不在场不开车，操作培训不到位不开车），做到安全、稳妥，确保试运行一次成功。</w:t>
      </w:r>
    </w:p>
    <w:p>
      <w:pPr>
        <w:pStyle w:val="Heading2"/>
        <w:rPr>
          <w:rFonts w:hint="eastAsia"/>
          <w:sz w:val="30"/>
          <w:szCs w:val="30"/>
        </w:rPr>
      </w:pPr>
      <w:bookmarkStart w:id="21" w:name="_Toc359868139"/>
      <w:bookmarkStart w:id="22" w:name="_Toc14381"/>
      <w:r>
        <w:rPr>
          <w:rFonts w:hint="eastAsia"/>
          <w:sz w:val="30"/>
          <w:szCs w:val="30"/>
        </w:rPr>
        <w:t>2.2  试运行应达到的标准</w:t>
      </w:r>
      <w:bookmarkEnd w:id="21"/>
      <w:bookmarkEnd w:id="22"/>
    </w:p>
    <w:p>
      <w:pPr>
        <w:keepNext w:val="0"/>
        <w:keepLines w:val="0"/>
        <w:pageBreakBefore w:val="0"/>
        <w:widowControl w:val="0"/>
        <w:kinsoku/>
        <w:wordWrap/>
        <w:overflowPunct/>
        <w:topLinePunct w:val="0"/>
        <w:autoSpaceDE/>
        <w:autoSpaceDN/>
        <w:bidi w:val="0"/>
        <w:adjustRightInd w:val="0"/>
        <w:snapToGrid w:val="0"/>
        <w:spacing w:line="520" w:lineRule="exact"/>
        <w:ind w:left="0" w:right="0" w:firstLine="560" w:leftChars="0" w:rightChars="0" w:firstLineChars="200"/>
        <w:jc w:val="both"/>
        <w:textAlignment w:val="auto"/>
        <w:outlineLvl w:val="9"/>
        <w:rPr>
          <w:rFonts w:ascii="宋体" w:hAnsi="宋体" w:hint="eastAsia"/>
          <w:sz w:val="28"/>
          <w:szCs w:val="28"/>
        </w:rPr>
      </w:pPr>
      <w:r>
        <w:rPr>
          <w:rFonts w:ascii="宋体" w:hAnsi="宋体" w:hint="eastAsia"/>
          <w:sz w:val="28"/>
          <w:szCs w:val="28"/>
        </w:rPr>
        <w:t>1</w:t>
      </w:r>
      <w:r>
        <w:rPr>
          <w:rFonts w:ascii="宋体" w:hAnsi="宋体" w:hint="eastAsia"/>
          <w:sz w:val="28"/>
          <w:szCs w:val="28"/>
          <w:lang w:val="en-US" w:eastAsia="zh-CN"/>
        </w:rPr>
        <w:t>、</w:t>
      </w:r>
      <w:r>
        <w:rPr>
          <w:rFonts w:ascii="宋体" w:hAnsi="宋体" w:hint="eastAsia"/>
          <w:sz w:val="28"/>
          <w:szCs w:val="28"/>
        </w:rPr>
        <w:t>试运行系统运行正常，试运行方案中规定的联锁和自控系统皆已投入，并达到设计要求。</w:t>
      </w:r>
    </w:p>
    <w:p>
      <w:pPr>
        <w:keepNext w:val="0"/>
        <w:keepLines w:val="0"/>
        <w:pageBreakBefore w:val="0"/>
        <w:widowControl w:val="0"/>
        <w:kinsoku/>
        <w:wordWrap/>
        <w:overflowPunct/>
        <w:topLinePunct w:val="0"/>
        <w:autoSpaceDE/>
        <w:autoSpaceDN/>
        <w:bidi w:val="0"/>
        <w:adjustRightInd w:val="0"/>
        <w:snapToGrid w:val="0"/>
        <w:spacing w:line="520" w:lineRule="exact"/>
        <w:ind w:left="0" w:right="0" w:firstLine="560" w:leftChars="0" w:rightChars="0" w:firstLineChars="200"/>
        <w:jc w:val="both"/>
        <w:textAlignment w:val="auto"/>
        <w:outlineLvl w:val="9"/>
        <w:rPr>
          <w:rFonts w:ascii="宋体" w:hAnsi="宋体" w:hint="eastAsia"/>
          <w:sz w:val="28"/>
          <w:szCs w:val="28"/>
        </w:rPr>
      </w:pPr>
      <w:r>
        <w:rPr>
          <w:rFonts w:ascii="宋体" w:hAnsi="宋体" w:hint="eastAsia"/>
          <w:sz w:val="28"/>
          <w:szCs w:val="28"/>
        </w:rPr>
        <w:t>2</w:t>
      </w:r>
      <w:r>
        <w:rPr>
          <w:rFonts w:ascii="宋体" w:hAnsi="宋体" w:hint="eastAsia"/>
          <w:sz w:val="28"/>
          <w:szCs w:val="28"/>
          <w:lang w:eastAsia="zh-CN"/>
        </w:rPr>
        <w:t>、</w:t>
      </w:r>
      <w:r>
        <w:rPr>
          <w:rFonts w:ascii="宋体" w:hAnsi="宋体" w:hint="eastAsia"/>
          <w:sz w:val="28"/>
          <w:szCs w:val="28"/>
        </w:rPr>
        <w:t>各类设备运行参数达到设计要求，流程畅通，系统密封试压合格，不再出现新故障。</w:t>
      </w:r>
    </w:p>
    <w:p>
      <w:pPr>
        <w:keepNext w:val="0"/>
        <w:keepLines w:val="0"/>
        <w:pageBreakBefore w:val="0"/>
        <w:widowControl w:val="0"/>
        <w:kinsoku/>
        <w:wordWrap/>
        <w:overflowPunct/>
        <w:topLinePunct w:val="0"/>
        <w:autoSpaceDE/>
        <w:autoSpaceDN/>
        <w:bidi w:val="0"/>
        <w:adjustRightInd w:val="0"/>
        <w:snapToGrid w:val="0"/>
        <w:spacing w:line="520" w:lineRule="exact"/>
        <w:ind w:left="0" w:right="0" w:firstLine="560" w:leftChars="0" w:rightChars="0" w:firstLineChars="200"/>
        <w:jc w:val="both"/>
        <w:textAlignment w:val="auto"/>
        <w:outlineLvl w:val="9"/>
        <w:rPr>
          <w:rFonts w:ascii="宋体" w:hAnsi="宋体" w:hint="eastAsia"/>
          <w:sz w:val="28"/>
          <w:szCs w:val="28"/>
        </w:rPr>
      </w:pPr>
      <w:r>
        <w:rPr>
          <w:rFonts w:ascii="宋体" w:hAnsi="宋体" w:hint="eastAsia"/>
          <w:sz w:val="28"/>
          <w:szCs w:val="28"/>
        </w:rPr>
        <w:t>3</w:t>
      </w:r>
      <w:r>
        <w:rPr>
          <w:rFonts w:ascii="宋体" w:hAnsi="宋体" w:hint="eastAsia"/>
          <w:sz w:val="28"/>
          <w:szCs w:val="28"/>
          <w:lang w:val="en-US" w:eastAsia="zh-CN"/>
        </w:rPr>
        <w:t>、</w:t>
      </w:r>
      <w:r>
        <w:rPr>
          <w:rFonts w:ascii="宋体" w:hAnsi="宋体" w:hint="eastAsia"/>
          <w:sz w:val="28"/>
          <w:szCs w:val="28"/>
        </w:rPr>
        <w:t>参加试运行的人员掌握开停工、事故处理和调整工艺条件的技术手段和方法。</w:t>
      </w:r>
    </w:p>
    <w:p>
      <w:pPr>
        <w:keepNext w:val="0"/>
        <w:keepLines w:val="0"/>
        <w:pageBreakBefore w:val="0"/>
        <w:widowControl w:val="0"/>
        <w:kinsoku/>
        <w:wordWrap/>
        <w:overflowPunct/>
        <w:topLinePunct w:val="0"/>
        <w:autoSpaceDE/>
        <w:autoSpaceDN/>
        <w:bidi w:val="0"/>
        <w:adjustRightInd w:val="0"/>
        <w:snapToGrid w:val="0"/>
        <w:spacing w:line="520" w:lineRule="exact"/>
        <w:ind w:left="0" w:right="0" w:firstLine="560" w:leftChars="0" w:rightChars="0" w:firstLineChars="200"/>
        <w:jc w:val="both"/>
        <w:textAlignment w:val="auto"/>
        <w:outlineLvl w:val="9"/>
        <w:rPr>
          <w:rFonts w:ascii="宋体" w:hAnsi="宋体" w:hint="eastAsia"/>
          <w:sz w:val="28"/>
          <w:szCs w:val="28"/>
        </w:rPr>
      </w:pPr>
      <w:r>
        <w:rPr>
          <w:rFonts w:ascii="宋体" w:hAnsi="宋体" w:hint="eastAsia"/>
          <w:sz w:val="28"/>
          <w:szCs w:val="28"/>
        </w:rPr>
        <w:t>4</w:t>
      </w:r>
      <w:r>
        <w:rPr>
          <w:rFonts w:ascii="宋体" w:hAnsi="宋体" w:hint="eastAsia"/>
          <w:sz w:val="28"/>
          <w:szCs w:val="28"/>
          <w:lang w:val="en-US" w:eastAsia="zh-CN"/>
        </w:rPr>
        <w:t>、</w:t>
      </w:r>
      <w:r>
        <w:rPr>
          <w:rFonts w:ascii="宋体" w:hAnsi="宋体" w:hint="eastAsia"/>
          <w:sz w:val="28"/>
          <w:szCs w:val="28"/>
        </w:rPr>
        <w:t>安全、环保、消防和职业卫生设施做到“三同时”，“三废”的排放或处理措施符合环保要求，监测指标符合标准。不发生重大设备、生产、火灾、爆炸、人身伤亡、环保事故。</w:t>
      </w:r>
    </w:p>
    <w:p>
      <w:pPr>
        <w:pStyle w:val="Heading2"/>
        <w:rPr>
          <w:rFonts w:hint="eastAsia"/>
          <w:sz w:val="30"/>
          <w:szCs w:val="30"/>
        </w:rPr>
      </w:pPr>
      <w:bookmarkStart w:id="23" w:name="_Toc4080"/>
      <w:bookmarkStart w:id="24" w:name="_Toc359868140"/>
      <w:r>
        <w:rPr>
          <w:rFonts w:hint="eastAsia"/>
          <w:sz w:val="30"/>
          <w:szCs w:val="30"/>
        </w:rPr>
        <w:t>2.3试运行安全要求</w:t>
      </w:r>
      <w:bookmarkEnd w:id="23"/>
      <w:bookmarkEnd w:id="24"/>
    </w:p>
    <w:p>
      <w:pPr>
        <w:keepNext w:val="0"/>
        <w:keepLines w:val="0"/>
        <w:pageBreakBefore w:val="0"/>
        <w:widowControl w:val="0"/>
        <w:kinsoku/>
        <w:wordWrap/>
        <w:overflowPunct/>
        <w:topLinePunct w:val="0"/>
        <w:autoSpaceDE/>
        <w:autoSpaceDN/>
        <w:bidi w:val="0"/>
        <w:ind w:left="0" w:right="0" w:firstLine="560" w:leftChars="0" w:rightChars="0" w:firstLineChars="200"/>
        <w:jc w:val="both"/>
        <w:textAlignment w:val="auto"/>
        <w:outlineLvl w:val="9"/>
        <w:rPr>
          <w:rFonts w:ascii="宋体" w:hAnsi="宋体" w:hint="eastAsia"/>
          <w:sz w:val="28"/>
          <w:szCs w:val="28"/>
        </w:rPr>
      </w:pPr>
      <w:r>
        <w:rPr>
          <w:rFonts w:ascii="宋体" w:hAnsi="宋体" w:hint="eastAsia"/>
          <w:sz w:val="28"/>
          <w:szCs w:val="28"/>
        </w:rPr>
        <w:t>（1）参加投产人员及投产现场其他工作人员严禁带火种入场，一律按规定穿戴统一的劳动保护工装上岗，胸前佩带进站许可证。</w:t>
      </w:r>
    </w:p>
    <w:p>
      <w:pPr>
        <w:keepNext w:val="0"/>
        <w:keepLines w:val="0"/>
        <w:pageBreakBefore w:val="0"/>
        <w:widowControl w:val="0"/>
        <w:kinsoku/>
        <w:wordWrap/>
        <w:overflowPunct/>
        <w:topLinePunct w:val="0"/>
        <w:autoSpaceDE/>
        <w:autoSpaceDN/>
        <w:bidi w:val="0"/>
        <w:ind w:left="0" w:right="0" w:firstLine="560" w:leftChars="0" w:rightChars="0" w:firstLineChars="200"/>
        <w:jc w:val="both"/>
        <w:textAlignment w:val="auto"/>
        <w:outlineLvl w:val="9"/>
        <w:rPr>
          <w:rFonts w:ascii="宋体" w:hAnsi="宋体" w:hint="eastAsia"/>
          <w:sz w:val="28"/>
          <w:szCs w:val="28"/>
        </w:rPr>
      </w:pPr>
      <w:r>
        <w:rPr>
          <w:rFonts w:ascii="宋体" w:hAnsi="宋体" w:hint="eastAsia"/>
          <w:sz w:val="28"/>
          <w:szCs w:val="28"/>
        </w:rPr>
        <w:t>（2）投产现场不得进行动火作业，特殊情况必须动火须经安全主管部门办理有关手续后方可进行。</w:t>
      </w:r>
    </w:p>
    <w:p>
      <w:pPr>
        <w:keepNext w:val="0"/>
        <w:keepLines w:val="0"/>
        <w:pageBreakBefore w:val="0"/>
        <w:widowControl w:val="0"/>
        <w:kinsoku/>
        <w:wordWrap/>
        <w:overflowPunct/>
        <w:topLinePunct w:val="0"/>
        <w:autoSpaceDE/>
        <w:autoSpaceDN/>
        <w:bidi w:val="0"/>
        <w:ind w:left="0" w:right="0" w:firstLine="560" w:leftChars="0" w:rightChars="0" w:firstLineChars="200"/>
        <w:jc w:val="both"/>
        <w:textAlignment w:val="auto"/>
        <w:outlineLvl w:val="9"/>
        <w:rPr>
          <w:rFonts w:ascii="宋体" w:hAnsi="宋体" w:hint="eastAsia"/>
          <w:sz w:val="28"/>
          <w:szCs w:val="28"/>
        </w:rPr>
      </w:pPr>
      <w:r>
        <w:rPr>
          <w:rFonts w:ascii="宋体" w:hAnsi="宋体" w:hint="eastAsia"/>
          <w:sz w:val="28"/>
          <w:szCs w:val="28"/>
        </w:rPr>
        <w:t>（3）现场严禁堆放易燃易爆物品，并清除全部施工遗留物、垃圾、油污，做到工完、料净、场地清。</w:t>
      </w:r>
    </w:p>
    <w:p>
      <w:pPr>
        <w:keepNext w:val="0"/>
        <w:keepLines w:val="0"/>
        <w:pageBreakBefore w:val="0"/>
        <w:widowControl w:val="0"/>
        <w:kinsoku/>
        <w:wordWrap/>
        <w:overflowPunct/>
        <w:topLinePunct w:val="0"/>
        <w:autoSpaceDE/>
        <w:autoSpaceDN/>
        <w:bidi w:val="0"/>
        <w:ind w:left="0" w:right="0" w:firstLine="560" w:leftChars="0" w:rightChars="0" w:firstLineChars="200"/>
        <w:jc w:val="both"/>
        <w:textAlignment w:val="auto"/>
        <w:outlineLvl w:val="9"/>
        <w:rPr>
          <w:rFonts w:ascii="宋体" w:hAnsi="宋体" w:hint="eastAsia"/>
          <w:sz w:val="28"/>
          <w:szCs w:val="28"/>
        </w:rPr>
      </w:pPr>
      <w:r>
        <w:rPr>
          <w:rFonts w:ascii="宋体" w:hAnsi="宋体" w:hint="eastAsia"/>
          <w:sz w:val="28"/>
          <w:szCs w:val="28"/>
        </w:rPr>
        <w:t>（4）试运营期间应在站区大门设立警示牌，提醒各类车辆必须在指定地点停放，不得进入投产现场</w:t>
      </w:r>
      <w:r>
        <w:rPr>
          <w:rFonts w:ascii="宋体" w:hAnsi="宋体" w:hint="eastAsia"/>
          <w:sz w:val="28"/>
          <w:szCs w:val="28"/>
          <w:lang w:eastAsia="zh-CN"/>
        </w:rPr>
        <w:t>，</w:t>
      </w:r>
      <w:r>
        <w:rPr>
          <w:rFonts w:ascii="宋体" w:hAnsi="宋体" w:hint="eastAsia"/>
          <w:sz w:val="28"/>
          <w:szCs w:val="28"/>
        </w:rPr>
        <w:t>其他闲杂人员不得进入生产区大门。</w:t>
      </w:r>
    </w:p>
    <w:p>
      <w:pPr>
        <w:keepNext w:val="0"/>
        <w:keepLines w:val="0"/>
        <w:pageBreakBefore w:val="0"/>
        <w:widowControl w:val="0"/>
        <w:kinsoku/>
        <w:wordWrap/>
        <w:overflowPunct/>
        <w:topLinePunct w:val="0"/>
        <w:autoSpaceDE/>
        <w:autoSpaceDN/>
        <w:bidi w:val="0"/>
        <w:adjustRightInd w:val="0"/>
        <w:snapToGrid w:val="0"/>
        <w:spacing w:line="520" w:lineRule="exact"/>
        <w:ind w:left="0" w:right="0" w:firstLine="560" w:leftChars="0" w:rightChars="0" w:firstLineChars="200"/>
        <w:jc w:val="both"/>
        <w:textAlignment w:val="auto"/>
        <w:outlineLvl w:val="9"/>
        <w:rPr>
          <w:rFonts w:ascii="宋体" w:hAnsi="宋体" w:hint="eastAsia"/>
          <w:sz w:val="28"/>
          <w:szCs w:val="28"/>
        </w:rPr>
      </w:pPr>
      <w:r>
        <w:rPr>
          <w:rFonts w:ascii="宋体" w:hAnsi="宋体" w:hint="eastAsia"/>
          <w:sz w:val="28"/>
          <w:szCs w:val="28"/>
        </w:rPr>
        <w:t>（5）各种救援物资和器材应按照《有限公司石化大道加气站》的要求全部到位，并处于完好状态。</w:t>
      </w:r>
    </w:p>
    <w:p>
      <w:pPr>
        <w:keepNext w:val="0"/>
        <w:keepLines w:val="0"/>
        <w:pageBreakBefore w:val="0"/>
        <w:widowControl w:val="0"/>
        <w:kinsoku/>
        <w:wordWrap/>
        <w:overflowPunct/>
        <w:topLinePunct w:val="0"/>
        <w:autoSpaceDE/>
        <w:autoSpaceDN/>
        <w:bidi w:val="0"/>
        <w:ind w:left="0" w:right="0" w:firstLine="560" w:leftChars="0" w:rightChars="0" w:firstLineChars="200"/>
        <w:jc w:val="both"/>
        <w:textAlignment w:val="auto"/>
        <w:outlineLvl w:val="9"/>
        <w:rPr>
          <w:rFonts w:ascii="宋体" w:hAnsi="宋体" w:hint="eastAsia"/>
          <w:sz w:val="28"/>
          <w:szCs w:val="28"/>
        </w:rPr>
      </w:pPr>
      <w:r>
        <w:rPr>
          <w:rFonts w:ascii="宋体" w:hAnsi="宋体" w:hint="eastAsia"/>
          <w:sz w:val="28"/>
          <w:szCs w:val="28"/>
        </w:rPr>
        <w:t>（6）所有操作器械必须防爆。</w:t>
      </w:r>
    </w:p>
    <w:p>
      <w:pPr>
        <w:keepNext w:val="0"/>
        <w:keepLines w:val="0"/>
        <w:pageBreakBefore w:val="0"/>
        <w:widowControl w:val="0"/>
        <w:kinsoku/>
        <w:wordWrap/>
        <w:overflowPunct/>
        <w:topLinePunct w:val="0"/>
        <w:autoSpaceDE/>
        <w:autoSpaceDN/>
        <w:bidi w:val="0"/>
        <w:ind w:left="0" w:right="0" w:firstLine="560" w:leftChars="0" w:rightChars="0" w:firstLineChars="200"/>
        <w:jc w:val="both"/>
        <w:textAlignment w:val="auto"/>
        <w:outlineLvl w:val="9"/>
        <w:rPr>
          <w:rFonts w:ascii="宋体" w:hAnsi="宋体" w:hint="eastAsia"/>
          <w:sz w:val="28"/>
          <w:szCs w:val="28"/>
        </w:rPr>
        <w:sectPr>
          <w:headerReference w:type="default" r:id="rId11"/>
          <w:footerReference w:type="default" r:id="rId12"/>
          <w:type w:val="nextPage"/>
          <w:pgSz w:w="11906" w:h="16838"/>
          <w:pgMar w:top="1134" w:right="1588" w:bottom="1418" w:left="1134" w:header="851" w:footer="992" w:gutter="0"/>
          <w:pgNumType w:start="53"/>
          <w:cols w:num="1" w:space="720"/>
          <w:titlePg w:val="0"/>
          <w:docGrid w:type="lines" w:linePitch="290" w:charSpace="0"/>
        </w:sectPr>
      </w:pPr>
    </w:p>
    <w:p>
      <w:pPr>
        <w:keepNext w:val="0"/>
        <w:keepLines w:val="0"/>
        <w:pageBreakBefore w:val="0"/>
        <w:widowControl w:val="0"/>
        <w:kinsoku/>
        <w:wordWrap/>
        <w:overflowPunct/>
        <w:topLinePunct w:val="0"/>
        <w:autoSpaceDE/>
        <w:autoSpaceDN/>
        <w:bidi w:val="0"/>
        <w:ind w:left="0" w:right="0" w:firstLine="560" w:leftChars="0" w:rightChars="0" w:firstLineChars="200"/>
        <w:jc w:val="both"/>
        <w:textAlignment w:val="auto"/>
        <w:outlineLvl w:val="9"/>
        <w:rPr>
          <w:rFonts w:ascii="宋体" w:hAnsi="宋体" w:hint="eastAsia"/>
          <w:sz w:val="28"/>
          <w:szCs w:val="28"/>
        </w:rPr>
      </w:pPr>
      <w:r>
        <w:rPr>
          <w:rFonts w:ascii="宋体" w:hAnsi="宋体" w:hint="eastAsia"/>
          <w:sz w:val="28"/>
          <w:szCs w:val="28"/>
        </w:rPr>
        <w:t>（7）对所有动、静密封点进行检查，投产区域不漏油、不漏水、不漏气。</w:t>
      </w:r>
    </w:p>
    <w:p>
      <w:pPr>
        <w:keepNext w:val="0"/>
        <w:keepLines w:val="0"/>
        <w:pageBreakBefore w:val="0"/>
        <w:widowControl w:val="0"/>
        <w:kinsoku/>
        <w:wordWrap/>
        <w:overflowPunct/>
        <w:topLinePunct w:val="0"/>
        <w:autoSpaceDE/>
        <w:autoSpaceDN/>
        <w:bidi w:val="0"/>
        <w:ind w:left="0" w:right="0" w:firstLine="560" w:leftChars="0" w:rightChars="0" w:firstLineChars="200"/>
        <w:jc w:val="both"/>
        <w:textAlignment w:val="auto"/>
        <w:outlineLvl w:val="9"/>
        <w:rPr>
          <w:rFonts w:ascii="宋体" w:hAnsi="宋体" w:hint="eastAsia"/>
          <w:sz w:val="28"/>
          <w:szCs w:val="28"/>
        </w:rPr>
      </w:pPr>
      <w:r>
        <w:rPr>
          <w:rFonts w:ascii="宋体" w:hAnsi="宋体" w:hint="eastAsia"/>
          <w:sz w:val="28"/>
          <w:szCs w:val="28"/>
        </w:rPr>
        <w:t>（8）操作人员必须掌握操作规程，熟悉试车方案及流程，经严格考核后持证上岗。</w:t>
      </w:r>
    </w:p>
    <w:p>
      <w:pPr>
        <w:keepNext w:val="0"/>
        <w:keepLines w:val="0"/>
        <w:pageBreakBefore w:val="0"/>
        <w:widowControl w:val="0"/>
        <w:kinsoku/>
        <w:wordWrap/>
        <w:overflowPunct/>
        <w:topLinePunct w:val="0"/>
        <w:autoSpaceDE/>
        <w:autoSpaceDN/>
        <w:bidi w:val="0"/>
        <w:ind w:left="0" w:right="0" w:firstLine="560" w:leftChars="0" w:rightChars="0" w:firstLineChars="200"/>
        <w:jc w:val="both"/>
        <w:textAlignment w:val="auto"/>
        <w:outlineLvl w:val="9"/>
        <w:rPr>
          <w:rFonts w:ascii="宋体" w:hAnsi="宋体" w:hint="eastAsia"/>
          <w:sz w:val="28"/>
          <w:szCs w:val="28"/>
        </w:rPr>
      </w:pPr>
      <w:r>
        <w:rPr>
          <w:rFonts w:ascii="宋体" w:hAnsi="宋体" w:hint="eastAsia"/>
          <w:sz w:val="28"/>
          <w:szCs w:val="28"/>
        </w:rPr>
        <w:t>（9）由安全人员巡回检查，投产工作人员持通行证，操作人员戴上岗证进入投产现场。</w:t>
      </w:r>
    </w:p>
    <w:p>
      <w:pPr>
        <w:keepNext w:val="0"/>
        <w:keepLines w:val="0"/>
        <w:pageBreakBefore w:val="0"/>
        <w:widowControl w:val="0"/>
        <w:kinsoku/>
        <w:wordWrap/>
        <w:overflowPunct/>
        <w:topLinePunct w:val="0"/>
        <w:autoSpaceDE/>
        <w:autoSpaceDN/>
        <w:bidi w:val="0"/>
        <w:adjustRightInd w:val="0"/>
        <w:snapToGrid w:val="0"/>
        <w:spacing w:line="520" w:lineRule="exact"/>
        <w:ind w:left="0" w:right="0" w:firstLine="560" w:leftChars="0" w:rightChars="0" w:firstLineChars="200"/>
        <w:jc w:val="both"/>
        <w:textAlignment w:val="auto"/>
        <w:outlineLvl w:val="9"/>
        <w:rPr>
          <w:rFonts w:ascii="宋体" w:hAnsi="宋体" w:hint="eastAsia"/>
          <w:sz w:val="28"/>
          <w:szCs w:val="28"/>
        </w:rPr>
      </w:pPr>
      <w:r>
        <w:rPr>
          <w:rFonts w:ascii="宋体" w:hAnsi="宋体" w:hint="eastAsia"/>
          <w:sz w:val="28"/>
          <w:szCs w:val="28"/>
        </w:rPr>
        <w:t>（10）试运行期间应确保单位内建筑物顶部显眼处设立风向标，以备燃气泄漏，引导员工向上风方向撤离。</w:t>
      </w:r>
    </w:p>
    <w:p>
      <w:pPr>
        <w:keepNext w:val="0"/>
        <w:keepLines w:val="0"/>
        <w:pageBreakBefore w:val="0"/>
        <w:widowControl w:val="0"/>
        <w:kinsoku/>
        <w:wordWrap/>
        <w:overflowPunct/>
        <w:topLinePunct w:val="0"/>
        <w:autoSpaceDE/>
        <w:autoSpaceDN/>
        <w:bidi w:val="0"/>
        <w:adjustRightInd w:val="0"/>
        <w:snapToGrid w:val="0"/>
        <w:spacing w:line="520" w:lineRule="exact"/>
        <w:ind w:left="0" w:right="0" w:firstLine="560" w:leftChars="0" w:rightChars="0" w:firstLineChars="200"/>
        <w:jc w:val="both"/>
        <w:textAlignment w:val="auto"/>
        <w:outlineLvl w:val="9"/>
        <w:rPr>
          <w:rFonts w:ascii="宋体" w:hAnsi="宋体" w:hint="eastAsia"/>
          <w:sz w:val="28"/>
          <w:szCs w:val="28"/>
        </w:rPr>
      </w:pPr>
      <w:r>
        <w:rPr>
          <w:rFonts w:ascii="宋体" w:hAnsi="宋体" w:hint="eastAsia"/>
          <w:sz w:val="28"/>
          <w:szCs w:val="28"/>
        </w:rPr>
        <w:t>（11）试运行前，由试运行负责人安排专人对站区周围单位进行摸排走访，对有可能对试车产生不利影响的单位进行告知，以减少次生事故发生。</w:t>
      </w:r>
    </w:p>
    <w:p>
      <w:pPr>
        <w:rPr>
          <w:rFonts w:ascii="宋体" w:hAnsi="宋体" w:hint="eastAsia"/>
        </w:rPr>
      </w:pPr>
    </w:p>
    <w:p>
      <w:pPr>
        <w:pStyle w:val="Heading1"/>
      </w:pPr>
      <w:bookmarkStart w:id="25" w:name="_Toc4896"/>
      <w:bookmarkStart w:id="26" w:name="_Toc1794"/>
      <w:bookmarkStart w:id="27" w:name="_Toc359868141"/>
      <w:r>
        <w:t>第</w:t>
      </w:r>
      <w:r>
        <w:rPr>
          <w:rFonts w:hint="eastAsia"/>
        </w:rPr>
        <w:t>三</w:t>
      </w:r>
      <w:r>
        <w:t>章  加</w:t>
      </w:r>
      <w:r>
        <w:rPr>
          <w:rFonts w:hint="eastAsia"/>
        </w:rPr>
        <w:t>气</w:t>
      </w:r>
      <w:r>
        <w:t>站概况</w:t>
      </w:r>
      <w:bookmarkEnd w:id="25"/>
      <w:bookmarkEnd w:id="26"/>
      <w:bookmarkEnd w:id="27"/>
    </w:p>
    <w:p>
      <w:pPr>
        <w:pStyle w:val="Heading2"/>
        <w:rPr>
          <w:rFonts w:hint="eastAsia"/>
          <w:sz w:val="30"/>
          <w:szCs w:val="30"/>
        </w:rPr>
      </w:pPr>
      <w:bookmarkStart w:id="28" w:name="_Toc8113"/>
      <w:bookmarkStart w:id="29" w:name="_Toc24343"/>
      <w:bookmarkStart w:id="30" w:name="_Toc359868142"/>
      <w:r>
        <w:rPr>
          <w:rFonts w:hint="eastAsia"/>
          <w:sz w:val="30"/>
          <w:szCs w:val="30"/>
        </w:rPr>
        <w:t>3.1加气站概况</w:t>
      </w:r>
      <w:bookmarkEnd w:id="28"/>
      <w:bookmarkEnd w:id="29"/>
      <w:bookmarkEnd w:id="30"/>
    </w:p>
    <w:p>
      <w:pPr>
        <w:ind w:firstLine="560" w:firstLineChars="200"/>
        <w:rPr>
          <w:rFonts w:ascii="宋体" w:hAnsi="宋体" w:hint="eastAsia"/>
          <w:sz w:val="28"/>
          <w:szCs w:val="28"/>
        </w:rPr>
      </w:pPr>
      <w:r>
        <w:rPr>
          <w:rFonts w:ascii="宋体" w:hAnsi="宋体"/>
          <w:sz w:val="28"/>
          <w:szCs w:val="28"/>
        </w:rPr>
        <w:t>加</w:t>
      </w:r>
      <w:r>
        <w:rPr>
          <w:rFonts w:ascii="宋体" w:hAnsi="宋体" w:hint="eastAsia"/>
          <w:sz w:val="28"/>
          <w:szCs w:val="28"/>
        </w:rPr>
        <w:t>气站</w:t>
      </w:r>
      <w:r>
        <w:rPr>
          <w:rFonts w:ascii="宋体" w:hAnsi="宋体"/>
          <w:sz w:val="28"/>
          <w:szCs w:val="28"/>
        </w:rPr>
        <w:t>名称：</w:t>
      </w:r>
      <w:r>
        <w:rPr>
          <w:rFonts w:ascii="宋体" w:hAnsi="宋体" w:hint="eastAsia"/>
          <w:sz w:val="28"/>
          <w:szCs w:val="28"/>
          <w:lang w:val="en-US" w:eastAsia="zh-CN"/>
        </w:rPr>
        <w:t xml:space="preserve"> </w:t>
      </w:r>
    </w:p>
    <w:p>
      <w:pPr>
        <w:widowControl/>
        <w:ind w:firstLine="560" w:firstLineChars="200"/>
        <w:rPr>
          <w:rFonts w:ascii="宋体" w:hAnsi="宋体" w:hint="eastAsia"/>
          <w:sz w:val="28"/>
          <w:szCs w:val="28"/>
        </w:rPr>
      </w:pPr>
      <w:r>
        <w:rPr>
          <w:rFonts w:ascii="宋体" w:hAnsi="宋体"/>
          <w:sz w:val="28"/>
          <w:szCs w:val="28"/>
        </w:rPr>
        <w:t>地址</w:t>
      </w:r>
      <w:r>
        <w:rPr>
          <w:rFonts w:ascii="宋体" w:hAnsi="宋体" w:hint="eastAsia"/>
          <w:sz w:val="28"/>
          <w:szCs w:val="28"/>
        </w:rPr>
        <w:t>：</w:t>
      </w:r>
      <w:r>
        <w:rPr>
          <w:rFonts w:ascii="宋体" w:hAnsi="宋体" w:hint="eastAsia"/>
          <w:sz w:val="28"/>
          <w:szCs w:val="28"/>
          <w:lang w:val="en-US" w:eastAsia="zh-CN"/>
        </w:rPr>
        <w:t xml:space="preserve"> </w:t>
      </w:r>
      <w:r>
        <w:rPr>
          <w:rFonts w:ascii="宋体" w:hAnsi="宋体"/>
          <w:sz w:val="28"/>
          <w:szCs w:val="28"/>
        </w:rPr>
        <w:t>单位：</w:t>
      </w:r>
      <w:r>
        <w:rPr>
          <w:rFonts w:ascii="宋体" w:hAnsi="宋体" w:hint="eastAsia"/>
          <w:sz w:val="28"/>
          <w:szCs w:val="28"/>
          <w:lang w:val="en-US" w:eastAsia="zh-CN"/>
        </w:rPr>
        <w:t xml:space="preserve"> </w:t>
      </w:r>
    </w:p>
    <w:p>
      <w:pPr>
        <w:ind w:firstLine="560" w:firstLineChars="200"/>
        <w:rPr>
          <w:rFonts w:ascii="宋体" w:hAnsi="宋体"/>
          <w:sz w:val="28"/>
          <w:szCs w:val="28"/>
        </w:rPr>
      </w:pPr>
      <w:r>
        <w:rPr>
          <w:rFonts w:ascii="宋体" w:hAnsi="宋体"/>
          <w:sz w:val="28"/>
          <w:szCs w:val="28"/>
        </w:rPr>
        <w:t>设计单位：</w:t>
      </w:r>
      <w:r>
        <w:rPr>
          <w:rFonts w:ascii="宋体" w:hAnsi="宋体" w:hint="eastAsia"/>
          <w:sz w:val="28"/>
          <w:szCs w:val="28"/>
          <w:lang w:val="en-US" w:eastAsia="zh-CN"/>
        </w:rPr>
        <w:t xml:space="preserve"> </w:t>
      </w:r>
      <w:r>
        <w:rPr>
          <w:rFonts w:ascii="宋体" w:hAnsi="宋体"/>
          <w:sz w:val="28"/>
          <w:szCs w:val="28"/>
        </w:rPr>
        <w:t>施工单位：</w:t>
      </w:r>
    </w:p>
    <w:p>
      <w:pPr>
        <w:ind w:firstLine="560" w:firstLineChars="200"/>
        <w:rPr>
          <w:rFonts w:ascii="宋体" w:hAnsi="宋体" w:hint="eastAsia"/>
          <w:sz w:val="28"/>
          <w:szCs w:val="28"/>
        </w:rPr>
      </w:pPr>
      <w:r>
        <w:rPr>
          <w:rFonts w:ascii="宋体" w:hAnsi="宋体" w:hint="eastAsia"/>
          <w:sz w:val="28"/>
          <w:szCs w:val="28"/>
          <w:lang w:val="en-US" w:eastAsia="zh-CN"/>
        </w:rPr>
        <w:t xml:space="preserve"> </w:t>
      </w:r>
      <w:r>
        <w:rPr>
          <w:rFonts w:ascii="宋体" w:hAnsi="宋体"/>
          <w:sz w:val="28"/>
          <w:szCs w:val="28"/>
        </w:rPr>
        <w:t>监理单位：</w:t>
      </w:r>
      <w:r>
        <w:rPr>
          <w:rFonts w:ascii="宋体" w:hAnsi="宋体" w:hint="eastAsia"/>
          <w:sz w:val="28"/>
          <w:szCs w:val="28"/>
          <w:lang w:val="en-US" w:eastAsia="zh-CN"/>
        </w:rPr>
        <w:t xml:space="preserve"> </w:t>
      </w:r>
      <w:r>
        <w:rPr>
          <w:rFonts w:ascii="宋体" w:hAnsi="宋体" w:hint="eastAsia"/>
          <w:sz w:val="28"/>
          <w:szCs w:val="28"/>
        </w:rPr>
        <w:t>负责人（站长）：</w:t>
      </w:r>
      <w:r>
        <w:rPr>
          <w:rFonts w:ascii="宋体" w:hAnsi="宋体" w:hint="eastAsia"/>
          <w:sz w:val="28"/>
          <w:szCs w:val="28"/>
          <w:lang w:val="en-US" w:eastAsia="zh-CN"/>
        </w:rPr>
        <w:t xml:space="preserve"> </w:t>
      </w:r>
    </w:p>
    <w:p>
      <w:pPr>
        <w:ind w:firstLine="560" w:firstLineChars="200"/>
        <w:rPr>
          <w:rFonts w:ascii="宋体" w:hAnsi="宋体" w:hint="eastAsia"/>
          <w:sz w:val="28"/>
          <w:szCs w:val="28"/>
        </w:rPr>
      </w:pPr>
      <w:r>
        <w:rPr>
          <w:rFonts w:ascii="宋体" w:hAnsi="宋体" w:hint="eastAsia"/>
          <w:sz w:val="28"/>
          <w:szCs w:val="28"/>
        </w:rPr>
        <w:t>安全负责人：</w:t>
      </w:r>
      <w:r>
        <w:rPr>
          <w:rFonts w:ascii="宋体" w:hAnsi="宋体" w:hint="eastAsia"/>
          <w:sz w:val="28"/>
          <w:szCs w:val="28"/>
          <w:lang w:val="en-US" w:eastAsia="zh-CN"/>
        </w:rPr>
        <w:t xml:space="preserve"> </w:t>
      </w:r>
    </w:p>
    <w:p>
      <w:pPr>
        <w:ind w:firstLine="560" w:firstLineChars="200"/>
        <w:rPr>
          <w:rFonts w:ascii="宋体" w:hAnsi="宋体" w:hint="eastAsia"/>
          <w:color w:val="000000"/>
          <w:sz w:val="28"/>
        </w:rPr>
      </w:pPr>
      <w:r>
        <w:rPr>
          <w:rFonts w:ascii="宋体" w:hAnsi="宋体" w:hint="eastAsia"/>
          <w:color w:val="000000"/>
          <w:sz w:val="28"/>
        </w:rPr>
        <w:t>有限公司石化大道加气站位于</w:t>
      </w:r>
      <w:r>
        <w:rPr>
          <w:rFonts w:ascii="宋体" w:hAnsi="宋体" w:hint="eastAsia"/>
          <w:sz w:val="28"/>
          <w:szCs w:val="28"/>
          <w:lang w:val="en-US" w:eastAsia="zh-CN"/>
        </w:rPr>
        <w:t xml:space="preserve"> </w:t>
      </w:r>
      <w:r>
        <w:rPr>
          <w:rFonts w:ascii="宋体" w:hAnsi="宋体" w:hint="eastAsia"/>
          <w:sz w:val="28"/>
          <w:szCs w:val="28"/>
        </w:rPr>
        <w:t>十字西北角</w:t>
      </w:r>
      <w:r>
        <w:rPr>
          <w:rFonts w:ascii="宋体" w:hAnsi="宋体" w:hint="eastAsia"/>
          <w:color w:val="000000"/>
          <w:sz w:val="28"/>
        </w:rPr>
        <w:t>，站北</w:t>
      </w:r>
      <w:r>
        <w:rPr>
          <w:rFonts w:ascii="宋体" w:hAnsi="宋体" w:hint="eastAsia"/>
          <w:color w:val="000000"/>
          <w:sz w:val="28"/>
          <w:lang w:eastAsia="zh-CN"/>
        </w:rPr>
        <w:t>为汽车修理厂</w:t>
      </w:r>
      <w:r>
        <w:rPr>
          <w:rFonts w:ascii="宋体" w:hAnsi="宋体" w:hint="eastAsia"/>
          <w:color w:val="000000"/>
          <w:sz w:val="28"/>
        </w:rPr>
        <w:t>、站西为加油站，站南为</w:t>
      </w:r>
      <w:r>
        <w:rPr>
          <w:rFonts w:ascii="宋体" w:hAnsi="宋体" w:hint="eastAsia"/>
          <w:color w:val="000000"/>
          <w:sz w:val="28"/>
          <w:lang w:val="en-US" w:eastAsia="zh-CN"/>
        </w:rPr>
        <w:t xml:space="preserve"> </w:t>
      </w:r>
      <w:r>
        <w:rPr>
          <w:rFonts w:ascii="宋体" w:hAnsi="宋体" w:hint="eastAsia"/>
          <w:color w:val="000000"/>
          <w:sz w:val="28"/>
        </w:rPr>
        <w:t>公路，站东为</w:t>
      </w:r>
      <w:r>
        <w:rPr>
          <w:rFonts w:ascii="宋体" w:hAnsi="宋体" w:hint="eastAsia"/>
          <w:color w:val="000000"/>
          <w:sz w:val="28"/>
          <w:lang w:val="en-US" w:eastAsia="zh-CN"/>
        </w:rPr>
        <w:t xml:space="preserve"> </w:t>
      </w:r>
      <w:r>
        <w:rPr>
          <w:rFonts w:ascii="宋体" w:hAnsi="宋体" w:hint="eastAsia"/>
          <w:color w:val="000000"/>
          <w:sz w:val="28"/>
        </w:rPr>
        <w:t>。</w:t>
      </w:r>
    </w:p>
    <w:p>
      <w:pPr>
        <w:ind w:firstLine="570"/>
        <w:textAlignment w:val="baseline"/>
        <w:rPr>
          <w:rFonts w:ascii="宋体" w:hAnsi="宋体" w:hint="eastAsia"/>
          <w:sz w:val="28"/>
        </w:rPr>
      </w:pPr>
      <w:r>
        <w:rPr>
          <w:rFonts w:ascii="宋体" w:hAnsi="宋体" w:hint="eastAsia"/>
          <w:sz w:val="28"/>
        </w:rPr>
        <w:t>本站占地面积5200m</w:t>
      </w:r>
      <w:r>
        <w:rPr>
          <w:rFonts w:ascii="宋体" w:hAnsi="宋体" w:hint="eastAsia"/>
          <w:sz w:val="28"/>
          <w:vertAlign w:val="superscript"/>
        </w:rPr>
        <w:t>2</w:t>
      </w:r>
      <w:r>
        <w:rPr>
          <w:rFonts w:ascii="宋体" w:hAnsi="宋体" w:hint="eastAsia"/>
          <w:sz w:val="28"/>
        </w:rPr>
        <w:t>，建筑面积469m</w:t>
      </w:r>
      <w:r>
        <w:rPr>
          <w:rFonts w:ascii="宋体" w:hAnsi="宋体" w:hint="eastAsia"/>
          <w:sz w:val="28"/>
          <w:vertAlign w:val="superscript"/>
        </w:rPr>
        <w:t>2</w:t>
      </w:r>
      <w:r>
        <w:rPr>
          <w:rFonts w:ascii="宋体" w:hAnsi="宋体" w:hint="eastAsia"/>
          <w:sz w:val="28"/>
        </w:rPr>
        <w:t>。</w:t>
      </w:r>
    </w:p>
    <w:p>
      <w:pPr>
        <w:ind w:firstLine="570"/>
        <w:textAlignment w:val="baseline"/>
        <w:rPr>
          <w:rFonts w:ascii="宋体" w:hAnsi="宋体" w:hint="eastAsia"/>
          <w:color w:val="FF0000"/>
          <w:sz w:val="28"/>
          <w:szCs w:val="28"/>
        </w:rPr>
        <w:sectPr>
          <w:headerReference w:type="default" r:id="rId13"/>
          <w:footerReference w:type="default" r:id="rId14"/>
          <w:type w:val="nextPage"/>
          <w:pgSz w:w="11906" w:h="16838"/>
          <w:pgMar w:top="1134" w:right="1588" w:bottom="1418" w:left="1134" w:header="851" w:footer="992" w:gutter="0"/>
          <w:pgNumType w:start="54"/>
          <w:cols w:num="1" w:space="720"/>
          <w:titlePg w:val="0"/>
          <w:docGrid w:type="lines" w:linePitch="290" w:charSpace="0"/>
        </w:sectPr>
      </w:pPr>
      <w:r>
        <w:rPr>
          <w:rFonts w:ascii="宋体" w:hAnsi="宋体" w:hint="eastAsia"/>
          <w:sz w:val="28"/>
        </w:rPr>
        <w:t>本站为CNG加气子站，建设项目设立初期，</w:t>
      </w:r>
      <w:r>
        <w:rPr>
          <w:rFonts w:ascii="宋体" w:hAnsi="宋体" w:hint="eastAsia"/>
          <w:sz w:val="28"/>
          <w:szCs w:val="28"/>
        </w:rPr>
        <w:t>进行了</w:t>
      </w:r>
      <w:r>
        <w:rPr>
          <w:rFonts w:ascii="宋体" w:hAnsi="宋体"/>
          <w:sz w:val="28"/>
          <w:szCs w:val="28"/>
        </w:rPr>
        <w:t>安全条件论证</w:t>
      </w:r>
      <w:r>
        <w:rPr>
          <w:rFonts w:ascii="宋体" w:hAnsi="宋体" w:hint="eastAsia"/>
          <w:sz w:val="28"/>
          <w:szCs w:val="28"/>
        </w:rPr>
        <w:t>，</w:t>
      </w:r>
      <w:r>
        <w:rPr>
          <w:rFonts w:ascii="宋体" w:hAnsi="宋体" w:hint="eastAsia"/>
          <w:sz w:val="28"/>
        </w:rPr>
        <w:t>并在西安市安监局进行了备案；同时进行了</w:t>
      </w:r>
      <w:r>
        <w:rPr>
          <w:rFonts w:ascii="宋体" w:hAnsi="宋体"/>
          <w:sz w:val="28"/>
          <w:szCs w:val="28"/>
        </w:rPr>
        <w:t>安全</w:t>
      </w:r>
      <w:r>
        <w:rPr>
          <w:rFonts w:ascii="宋体" w:hAnsi="宋体" w:hint="eastAsia"/>
          <w:sz w:val="28"/>
          <w:szCs w:val="28"/>
        </w:rPr>
        <w:t>预</w:t>
      </w:r>
      <w:r>
        <w:rPr>
          <w:rFonts w:ascii="宋体" w:hAnsi="宋体"/>
          <w:sz w:val="28"/>
          <w:szCs w:val="28"/>
        </w:rPr>
        <w:t>评价</w:t>
      </w:r>
      <w:r>
        <w:rPr>
          <w:rFonts w:ascii="宋体" w:hAnsi="宋体" w:hint="eastAsia"/>
          <w:sz w:val="28"/>
          <w:szCs w:val="28"/>
        </w:rPr>
        <w:t>，并通过专家评审和西安市安监局批准</w:t>
      </w:r>
      <w:r>
        <w:rPr>
          <w:rFonts w:ascii="宋体" w:hAnsi="宋体" w:hint="eastAsia"/>
          <w:sz w:val="28"/>
        </w:rPr>
        <w:t>（详见附件：危险化学品建设项目设立审查意见）；由陕西省燃气设计院进行了安全设施设计，并通过了专家评审和西安市安监局批准</w:t>
      </w:r>
    </w:p>
    <w:p>
      <w:pPr>
        <w:ind w:firstLine="570"/>
        <w:textAlignment w:val="baseline"/>
        <w:rPr>
          <w:rFonts w:ascii="宋体" w:hAnsi="宋体" w:hint="eastAsia"/>
          <w:color w:val="FF0000"/>
          <w:sz w:val="28"/>
          <w:szCs w:val="28"/>
        </w:rPr>
      </w:pPr>
      <w:r>
        <w:rPr>
          <w:rFonts w:ascii="宋体" w:hAnsi="宋体" w:hint="eastAsia"/>
          <w:sz w:val="28"/>
          <w:szCs w:val="28"/>
        </w:rPr>
        <w:t>（详见附件：危险化学品建设项目安全设施初步设计审查表），项目严格</w:t>
      </w:r>
      <w:r>
        <w:rPr>
          <w:rFonts w:ascii="宋体" w:hAnsi="宋体" w:hint="eastAsia"/>
          <w:sz w:val="28"/>
        </w:rPr>
        <w:t>按照</w:t>
      </w:r>
      <w:r>
        <w:rPr>
          <w:rFonts w:ascii="宋体" w:hAnsi="宋体"/>
          <w:sz w:val="28"/>
        </w:rPr>
        <w:t>危险化学品建设项目安全设施"三同时"</w:t>
      </w:r>
      <w:r>
        <w:rPr>
          <w:rFonts w:ascii="宋体" w:hAnsi="宋体" w:hint="eastAsia"/>
          <w:sz w:val="28"/>
        </w:rPr>
        <w:t>执行。</w:t>
      </w:r>
    </w:p>
    <w:p>
      <w:pPr>
        <w:ind w:firstLine="570"/>
        <w:textAlignment w:val="baseline"/>
        <w:rPr>
          <w:rFonts w:hint="eastAsia"/>
          <w:sz w:val="30"/>
          <w:szCs w:val="30"/>
        </w:rPr>
      </w:pPr>
      <w:r>
        <w:rPr>
          <w:rFonts w:ascii="宋体" w:hAnsi="宋体" w:hint="eastAsia"/>
          <w:sz w:val="28"/>
        </w:rPr>
        <w:t>新建储气瓶一组（储气瓶组1组，单口容积5.2m</w:t>
      </w:r>
      <w:r>
        <w:rPr>
          <w:rFonts w:ascii="宋体" w:hAnsi="宋体" w:hint="eastAsia"/>
          <w:sz w:val="28"/>
          <w:vertAlign w:val="superscript"/>
        </w:rPr>
        <w:t>3</w:t>
      </w:r>
      <w:r>
        <w:rPr>
          <w:rFonts w:ascii="宋体" w:hAnsi="宋体" w:hint="eastAsia"/>
          <w:sz w:val="28"/>
        </w:rPr>
        <w:t>水容积，总储气量为5200Nm</w:t>
      </w:r>
      <w:r>
        <w:rPr>
          <w:rFonts w:ascii="宋体" w:hAnsi="宋体" w:hint="eastAsia"/>
          <w:sz w:val="28"/>
          <w:vertAlign w:val="superscript"/>
        </w:rPr>
        <w:t>3</w:t>
      </w:r>
      <w:r>
        <w:rPr>
          <w:rFonts w:ascii="宋体" w:hAnsi="宋体" w:hint="eastAsia"/>
          <w:sz w:val="28"/>
        </w:rPr>
        <w:t>）；长管拖车固定车位一处，停放长管拖车一辆，储气量18m</w:t>
      </w:r>
      <w:r>
        <w:rPr>
          <w:rFonts w:ascii="宋体" w:hAnsi="宋体" w:hint="eastAsia"/>
          <w:sz w:val="28"/>
          <w:vertAlign w:val="superscript"/>
        </w:rPr>
        <w:t>3</w:t>
      </w:r>
      <w:r>
        <w:rPr>
          <w:rFonts w:ascii="宋体" w:hAnsi="宋体" w:hint="eastAsia"/>
          <w:sz w:val="28"/>
        </w:rPr>
        <w:t>（水容积），最大储气量4500Nm</w:t>
      </w:r>
      <w:r>
        <w:rPr>
          <w:rFonts w:ascii="宋体" w:hAnsi="宋体" w:hint="eastAsia"/>
          <w:sz w:val="28"/>
          <w:vertAlign w:val="superscript"/>
        </w:rPr>
        <w:t>3</w:t>
      </w:r>
      <w:r>
        <w:rPr>
          <w:rFonts w:ascii="宋体" w:hAnsi="宋体" w:hint="eastAsia"/>
          <w:sz w:val="28"/>
        </w:rPr>
        <w:t>；压缩机2台；</w:t>
      </w:r>
      <w:r>
        <w:rPr>
          <w:rFonts w:ascii="宋体" w:hAnsi="宋体" w:hint="eastAsia"/>
          <w:sz w:val="28"/>
          <w:lang w:val="en-US" w:eastAsia="zh-CN"/>
        </w:rPr>
        <w:t>4枪</w:t>
      </w:r>
      <w:r>
        <w:rPr>
          <w:rFonts w:ascii="宋体" w:hAnsi="宋体" w:hint="eastAsia"/>
          <w:sz w:val="28"/>
        </w:rPr>
        <w:t>加气机</w:t>
      </w:r>
      <w:r>
        <w:rPr>
          <w:rFonts w:ascii="宋体" w:hAnsi="宋体" w:hint="eastAsia"/>
          <w:sz w:val="28"/>
          <w:lang w:val="en-US" w:eastAsia="zh-CN"/>
        </w:rPr>
        <w:t>2</w:t>
      </w:r>
      <w:r>
        <w:rPr>
          <w:rFonts w:ascii="宋体" w:hAnsi="宋体" w:hint="eastAsia"/>
          <w:sz w:val="28"/>
        </w:rPr>
        <w:t>台、卸气柱1台；加气区防雨棚1个，其他辅助设施。</w:t>
      </w:r>
      <w:bookmarkStart w:id="31" w:name="_Toc359868143"/>
    </w:p>
    <w:p>
      <w:pPr>
        <w:pStyle w:val="Heading2"/>
        <w:rPr>
          <w:rFonts w:hint="eastAsia"/>
          <w:sz w:val="30"/>
          <w:szCs w:val="30"/>
        </w:rPr>
      </w:pPr>
      <w:bookmarkStart w:id="32" w:name="_Toc23501"/>
      <w:r>
        <w:rPr>
          <w:rFonts w:hint="eastAsia"/>
          <w:sz w:val="30"/>
          <w:szCs w:val="30"/>
        </w:rPr>
        <w:t>3.2加气站工艺流程及天然气质量标准</w:t>
      </w:r>
      <w:bookmarkEnd w:id="31"/>
      <w:bookmarkEnd w:id="32"/>
    </w:p>
    <w:p>
      <w:pPr>
        <w:pStyle w:val="Heading3"/>
        <w:rPr>
          <w:rFonts w:hint="eastAsia"/>
          <w:sz w:val="28"/>
          <w:szCs w:val="28"/>
        </w:rPr>
      </w:pPr>
      <w:bookmarkStart w:id="33" w:name="_Toc359868144"/>
      <w:bookmarkStart w:id="34" w:name="_Toc24646"/>
      <w:r>
        <w:rPr>
          <w:rFonts w:hint="eastAsia"/>
          <w:sz w:val="28"/>
          <w:szCs w:val="28"/>
        </w:rPr>
        <w:t>3.2.1加气站工艺流程</w:t>
      </w:r>
      <w:bookmarkEnd w:id="33"/>
      <w:bookmarkEnd w:id="34"/>
    </w:p>
    <w:p>
      <w:pPr>
        <w:spacing w:line="720" w:lineRule="exact"/>
        <w:ind w:firstLine="560" w:firstLineChars="200"/>
        <w:textAlignment w:val="baseline"/>
        <w:rPr>
          <w:rFonts w:hint="eastAsia"/>
          <w:sz w:val="28"/>
        </w:rPr>
      </w:pPr>
      <w:r>
        <w:rPr>
          <w:rFonts w:hint="eastAsia"/>
          <w:sz w:val="28"/>
        </w:rPr>
        <mc:AlternateContent>
          <mc:Choice Requires="wps">
            <w:drawing>
              <wp:anchor distT="0" distB="0" distL="114300" distR="114300" simplePos="0" relativeHeight="251679744" behindDoc="0" locked="0" layoutInCell="1" allowOverlap="1">
                <wp:simplePos x="0" y="0"/>
                <wp:positionH relativeFrom="column">
                  <wp:posOffset>685800</wp:posOffset>
                </wp:positionH>
                <wp:positionV relativeFrom="paragraph">
                  <wp:posOffset>693420</wp:posOffset>
                </wp:positionV>
                <wp:extent cx="1943100" cy="635"/>
                <wp:effectExtent l="0" t="38100" r="0" b="37465"/>
                <wp:wrapNone/>
                <wp:docPr id="11" name="直线 1025"/>
                <wp:cNvGraphicFramePr/>
                <a:graphic xmlns:a="http://schemas.openxmlformats.org/drawingml/2006/main">
                  <a:graphicData uri="http://schemas.microsoft.com/office/word/2010/wordprocessingShape">
                    <wps:wsp xmlns:wps="http://schemas.microsoft.com/office/word/2010/wordprocessingShape">
                      <wps:cNvCnPr/>
                      <wps:spPr>
                        <a:xfrm rot="10800000">
                          <a:off x="0" y="0"/>
                          <a:ext cx="1943100" cy="635"/>
                        </a:xfrm>
                        <a:prstGeom prst="line">
                          <a:avLst/>
                        </a:prstGeom>
                        <a:ln w="9525">
                          <a:solidFill>
                            <a:srgbClr val="000000"/>
                          </a:solidFill>
                          <a:prstDash val="solid"/>
                          <a:headEnd/>
                          <a:tailEnd type="triangle"/>
                        </a:ln>
                      </wps:spPr>
                      <wps:bodyPr upright="1"/>
                    </wps:wsp>
                  </a:graphicData>
                </a:graphic>
              </wp:anchor>
            </w:drawing>
          </mc:Choice>
          <mc:Fallback>
            <w:pict>
              <v:line id="直线 1025" o:spid="_x0000_s1026" style="mso-wrap-distance-bottom:0;mso-wrap-distance-left:9pt;mso-wrap-distance-right:9pt;mso-wrap-distance-top:0;position:absolute;rotation:180;v-text-anchor:top;z-index:251678720" from="54pt,54.6pt" to="207pt,54.65pt" fillcolor="this" stroked="t" strokecolor="black" strokeweight="0.75pt">
                <v:stroke endarrow="block"/>
              </v:line>
            </w:pict>
          </mc:Fallback>
        </mc:AlternateContent>
      </w:r>
      <w:r>
        <w:rPr>
          <w:rFonts w:hint="eastAsia"/>
          <w:sz w:val="28"/>
        </w:rPr>
        <mc:AlternateContent>
          <mc:Choice Requires="wps">
            <w:drawing>
              <wp:anchor distT="0" distB="0" distL="114300" distR="114300" simplePos="0" relativeHeight="251677696" behindDoc="0" locked="0" layoutInCell="1" allowOverlap="1">
                <wp:simplePos x="0" y="0"/>
                <wp:positionH relativeFrom="column">
                  <wp:posOffset>685800</wp:posOffset>
                </wp:positionH>
                <wp:positionV relativeFrom="paragraph">
                  <wp:posOffset>693420</wp:posOffset>
                </wp:positionV>
                <wp:extent cx="635" cy="334645"/>
                <wp:effectExtent l="4445" t="0" r="13970" b="8255"/>
                <wp:wrapNone/>
                <wp:docPr id="10" name="直线 1026"/>
                <wp:cNvGraphicFramePr/>
                <a:graphic xmlns:a="http://schemas.openxmlformats.org/drawingml/2006/main">
                  <a:graphicData uri="http://schemas.microsoft.com/office/word/2010/wordprocessingShape">
                    <wps:wsp xmlns:wps="http://schemas.microsoft.com/office/word/2010/wordprocessingShape">
                      <wps:cNvCnPr/>
                      <wps:spPr>
                        <a:xfrm>
                          <a:off x="0" y="0"/>
                          <a:ext cx="635" cy="334645"/>
                        </a:xfrm>
                        <a:prstGeom prst="line">
                          <a:avLst/>
                        </a:prstGeom>
                        <a:ln w="9525">
                          <a:solidFill>
                            <a:srgbClr val="000000"/>
                          </a:solidFill>
                          <a:prstDash val="solid"/>
                          <a:headEnd/>
                          <a:tailEnd/>
                        </a:ln>
                      </wps:spPr>
                      <wps:bodyPr upright="1"/>
                    </wps:wsp>
                  </a:graphicData>
                </a:graphic>
              </wp:anchor>
            </w:drawing>
          </mc:Choice>
          <mc:Fallback>
            <w:pict>
              <v:line id="直线 1026" o:spid="_x0000_s1027" style="mso-wrap-distance-bottom:0;mso-wrap-distance-left:9pt;mso-wrap-distance-right:9pt;mso-wrap-distance-top:0;position:absolute;v-text-anchor:top;z-index:251676672" from="54pt,54.6pt" to="54.05pt,80.95pt" fillcolor="this" stroked="t" strokecolor="black" strokeweight="0.75pt"/>
            </w:pict>
          </mc:Fallback>
        </mc:AlternateContent>
      </w:r>
      <w:r>
        <w:rPr>
          <w:rFonts w:hint="eastAsia"/>
          <w:sz w:val="28"/>
        </w:rPr>
        <mc:AlternateContent>
          <mc:Choice Requires="wps">
            <w:drawing>
              <wp:anchor distT="0" distB="0" distL="114300" distR="114300" simplePos="0" relativeHeight="251675648" behindDoc="0" locked="0" layoutInCell="1" allowOverlap="1">
                <wp:simplePos x="0" y="0"/>
                <wp:positionH relativeFrom="column">
                  <wp:posOffset>2628900</wp:posOffset>
                </wp:positionH>
                <wp:positionV relativeFrom="paragraph">
                  <wp:posOffset>693420</wp:posOffset>
                </wp:positionV>
                <wp:extent cx="2286000" cy="635"/>
                <wp:effectExtent l="0" t="0" r="0" b="0"/>
                <wp:wrapNone/>
                <wp:docPr id="9" name="直线 1027"/>
                <wp:cNvGraphicFramePr/>
                <a:graphic xmlns:a="http://schemas.openxmlformats.org/drawingml/2006/main">
                  <a:graphicData uri="http://schemas.microsoft.com/office/word/2010/wordprocessingShape">
                    <wps:wsp xmlns:wps="http://schemas.microsoft.com/office/word/2010/wordprocessingShape">
                      <wps:cNvCnPr/>
                      <wps:spPr>
                        <a:xfrm flipH="1">
                          <a:off x="0" y="0"/>
                          <a:ext cx="2286000" cy="635"/>
                        </a:xfrm>
                        <a:prstGeom prst="line">
                          <a:avLst/>
                        </a:prstGeom>
                        <a:ln w="9525">
                          <a:solidFill>
                            <a:srgbClr val="000000"/>
                          </a:solidFill>
                          <a:prstDash val="solid"/>
                          <a:headEnd/>
                          <a:tailEnd/>
                        </a:ln>
                      </wps:spPr>
                      <wps:bodyPr upright="1"/>
                    </wps:wsp>
                  </a:graphicData>
                </a:graphic>
              </wp:anchor>
            </w:drawing>
          </mc:Choice>
          <mc:Fallback>
            <w:pict>
              <v:line id="直线 1027" o:spid="_x0000_s1028" style="flip:x;mso-wrap-distance-bottom:0;mso-wrap-distance-left:9pt;mso-wrap-distance-right:9pt;mso-wrap-distance-top:0;position:absolute;v-text-anchor:top;z-index:251674624" from="207pt,54.6pt" to="387pt,54.65pt" fillcolor="this" stroked="t" strokecolor="black" strokeweight="0.75pt"/>
            </w:pict>
          </mc:Fallback>
        </mc:AlternateContent>
      </w:r>
      <w:r>
        <w:rPr>
          <w:rFonts w:hint="eastAsia"/>
          <w:sz w:val="28"/>
        </w:rPr>
        <mc:AlternateContent>
          <mc:Choice Requires="wps">
            <w:drawing>
              <wp:anchor distT="0" distB="0" distL="114300" distR="114300" simplePos="0" relativeHeight="251673600" behindDoc="0" locked="0" layoutInCell="1" allowOverlap="1">
                <wp:simplePos x="0" y="0"/>
                <wp:positionH relativeFrom="column">
                  <wp:posOffset>4914900</wp:posOffset>
                </wp:positionH>
                <wp:positionV relativeFrom="paragraph">
                  <wp:posOffset>396240</wp:posOffset>
                </wp:positionV>
                <wp:extent cx="635" cy="297180"/>
                <wp:effectExtent l="4445" t="0" r="13970" b="7620"/>
                <wp:wrapNone/>
                <wp:docPr id="8" name="直线 1028"/>
                <wp:cNvGraphicFramePr/>
                <a:graphic xmlns:a="http://schemas.openxmlformats.org/drawingml/2006/main">
                  <a:graphicData uri="http://schemas.microsoft.com/office/word/2010/wordprocessingShape">
                    <wps:wsp xmlns:wps="http://schemas.microsoft.com/office/word/2010/wordprocessingShape">
                      <wps:cNvCnPr/>
                      <wps:spPr>
                        <a:xfrm>
                          <a:off x="0" y="0"/>
                          <a:ext cx="635" cy="297180"/>
                        </a:xfrm>
                        <a:prstGeom prst="line">
                          <a:avLst/>
                        </a:prstGeom>
                        <a:ln w="9525">
                          <a:solidFill>
                            <a:srgbClr val="000000"/>
                          </a:solidFill>
                          <a:prstDash val="solid"/>
                          <a:headEnd/>
                          <a:tailEnd/>
                        </a:ln>
                      </wps:spPr>
                      <wps:bodyPr upright="1"/>
                    </wps:wsp>
                  </a:graphicData>
                </a:graphic>
              </wp:anchor>
            </w:drawing>
          </mc:Choice>
          <mc:Fallback>
            <w:pict>
              <v:line id="直线 1028" o:spid="_x0000_s1029" style="mso-wrap-distance-bottom:0;mso-wrap-distance-left:9pt;mso-wrap-distance-right:9pt;mso-wrap-distance-top:0;position:absolute;v-text-anchor:top;z-index:251672576" from="387pt,31.2pt" to="387.05pt,54.6pt" fillcolor="this" stroked="t" strokecolor="black" strokeweight="0.75pt"/>
            </w:pict>
          </mc:Fallback>
        </mc:AlternateContent>
      </w:r>
      <w:r>
        <w:rPr>
          <w:rFonts w:hint="eastAsia"/>
          <w:sz w:val="28"/>
        </w:rPr>
        <mc:AlternateContent>
          <mc:Choice Requires="wps">
            <w:drawing>
              <wp:anchor distT="0" distB="0" distL="114300" distR="114300" simplePos="0" relativeHeight="251671552" behindDoc="0" locked="0" layoutInCell="1" allowOverlap="1">
                <wp:simplePos x="0" y="0"/>
                <wp:positionH relativeFrom="column">
                  <wp:posOffset>4343400</wp:posOffset>
                </wp:positionH>
                <wp:positionV relativeFrom="paragraph">
                  <wp:posOffset>396240</wp:posOffset>
                </wp:positionV>
                <wp:extent cx="571500" cy="635"/>
                <wp:effectExtent l="0" t="0" r="0" b="0"/>
                <wp:wrapNone/>
                <wp:docPr id="7" name="直线 1029"/>
                <wp:cNvGraphicFramePr/>
                <a:graphic xmlns:a="http://schemas.openxmlformats.org/drawingml/2006/main">
                  <a:graphicData uri="http://schemas.microsoft.com/office/word/2010/wordprocessingShape">
                    <wps:wsp xmlns:wps="http://schemas.microsoft.com/office/word/2010/wordprocessingShape">
                      <wps:cNvCnPr/>
                      <wps:spPr>
                        <a:xfrm>
                          <a:off x="0" y="0"/>
                          <a:ext cx="571500" cy="635"/>
                        </a:xfrm>
                        <a:prstGeom prst="line">
                          <a:avLst/>
                        </a:prstGeom>
                        <a:ln w="9525">
                          <a:solidFill>
                            <a:srgbClr val="000000"/>
                          </a:solidFill>
                          <a:prstDash val="solid"/>
                          <a:headEnd/>
                          <a:tailEnd/>
                        </a:ln>
                      </wps:spPr>
                      <wps:bodyPr upright="1"/>
                    </wps:wsp>
                  </a:graphicData>
                </a:graphic>
              </wp:anchor>
            </w:drawing>
          </mc:Choice>
          <mc:Fallback>
            <w:pict>
              <v:line id="直线 1029" o:spid="_x0000_s1030" style="mso-wrap-distance-bottom:0;mso-wrap-distance-left:9pt;mso-wrap-distance-right:9pt;mso-wrap-distance-top:0;position:absolute;v-text-anchor:top;z-index:251670528" from="342pt,31.2pt" to="387pt,31.25pt" fillcolor="this" stroked="t" strokecolor="black" strokeweight="0.75pt"/>
            </w:pict>
          </mc:Fallback>
        </mc:AlternateContent>
      </w:r>
      <w:r>
        <w:rPr>
          <w:rFonts w:hint="eastAsia"/>
          <w:sz w:val="28"/>
        </w:rPr>
        <mc:AlternateContent>
          <mc:Choice Requires="wps">
            <w:drawing>
              <wp:anchor distT="0" distB="0" distL="114300" distR="114300" simplePos="0" relativeHeight="251667456" behindDoc="0" locked="0" layoutInCell="1" allowOverlap="1">
                <wp:simplePos x="0" y="0"/>
                <wp:positionH relativeFrom="column">
                  <wp:posOffset>2743200</wp:posOffset>
                </wp:positionH>
                <wp:positionV relativeFrom="paragraph">
                  <wp:posOffset>396240</wp:posOffset>
                </wp:positionV>
                <wp:extent cx="685800" cy="635"/>
                <wp:effectExtent l="0" t="37465" r="0" b="38100"/>
                <wp:wrapNone/>
                <wp:docPr id="5" name="直线 1030"/>
                <wp:cNvGraphicFramePr/>
                <a:graphic xmlns:a="http://schemas.openxmlformats.org/drawingml/2006/main">
                  <a:graphicData uri="http://schemas.microsoft.com/office/word/2010/wordprocessingShape">
                    <wps:wsp xmlns:wps="http://schemas.microsoft.com/office/word/2010/wordprocessingShape">
                      <wps:cNvCnPr/>
                      <wps:spPr>
                        <a:xfrm>
                          <a:off x="0" y="0"/>
                          <a:ext cx="685800" cy="635"/>
                        </a:xfrm>
                        <a:prstGeom prst="line">
                          <a:avLst/>
                        </a:prstGeom>
                        <a:ln w="9525">
                          <a:solidFill>
                            <a:srgbClr val="000000"/>
                          </a:solidFill>
                          <a:prstDash val="solid"/>
                          <a:headEnd/>
                          <a:tailEnd type="triangle"/>
                        </a:ln>
                      </wps:spPr>
                      <wps:bodyPr upright="1"/>
                    </wps:wsp>
                  </a:graphicData>
                </a:graphic>
              </wp:anchor>
            </w:drawing>
          </mc:Choice>
          <mc:Fallback>
            <w:pict>
              <v:line id="直线 1030" o:spid="_x0000_s1031" style="mso-wrap-distance-bottom:0;mso-wrap-distance-left:9pt;mso-wrap-distance-right:9pt;mso-wrap-distance-top:0;position:absolute;v-text-anchor:top;z-index:251666432" from="3in,31.2pt" to="270pt,31.25pt" fillcolor="this" stroked="t" strokecolor="black" strokeweight="0.75pt">
                <v:stroke endarrow="block"/>
              </v:line>
            </w:pict>
          </mc:Fallback>
        </mc:AlternateContent>
      </w:r>
      <w:r>
        <w:rPr>
          <w:rFonts w:hint="eastAsia"/>
          <w:sz w:val="28"/>
        </w:rPr>
        <mc:AlternateContent>
          <mc:Choice Requires="wps">
            <w:drawing>
              <wp:anchor distT="0" distB="0" distL="114300" distR="114300" simplePos="0" relativeHeight="251694080" behindDoc="0" locked="0" layoutInCell="1" allowOverlap="1">
                <wp:simplePos x="0" y="0"/>
                <wp:positionH relativeFrom="column">
                  <wp:posOffset>3664585</wp:posOffset>
                </wp:positionH>
                <wp:positionV relativeFrom="paragraph">
                  <wp:posOffset>891540</wp:posOffset>
                </wp:positionV>
                <wp:extent cx="914400" cy="297180"/>
                <wp:effectExtent l="4445" t="4445" r="14605" b="22225"/>
                <wp:wrapNone/>
                <wp:docPr id="18" name="矩形 1031"/>
                <wp:cNvGraphicFramePr/>
                <a:graphic xmlns:a="http://schemas.openxmlformats.org/drawingml/2006/main">
                  <a:graphicData uri="http://schemas.microsoft.com/office/word/2010/wordprocessingShape">
                    <wps:wsp xmlns:wps="http://schemas.microsoft.com/office/word/2010/wordprocessingShape">
                      <wps:cNvSpPr/>
                      <wps:spPr>
                        <a:xfrm>
                          <a:off x="0" y="0"/>
                          <a:ext cx="914400" cy="297180"/>
                        </a:xfrm>
                        <a:prstGeom prst="rect">
                          <a:avLst/>
                        </a:prstGeom>
                        <a:solidFill>
                          <a:srgbClr val="FFFFFF"/>
                        </a:solidFill>
                        <a:ln w="9525">
                          <a:solidFill>
                            <a:srgbClr val="000000"/>
                          </a:solidFill>
                          <a:prstDash val="solid"/>
                          <a:miter lim="0"/>
                          <a:headEnd/>
                          <a:tailEnd/>
                        </a:ln>
                      </wps:spPr>
                      <wps:txbx>
                        <w:txbxContent>
                          <w:p>
                            <w:pPr>
                              <w:jc w:val="center"/>
                              <w:rPr>
                                <w:rFonts w:hint="eastAsia"/>
                              </w:rPr>
                            </w:pPr>
                            <w:r>
                              <w:rPr>
                                <w:rFonts w:hint="eastAsia"/>
                              </w:rPr>
                              <w:t>CNG汽车</w:t>
                            </w:r>
                          </w:p>
                        </w:txbxContent>
                      </wps:txbx>
                      <wps:bodyPr wrap="square" upright="1"/>
                    </wps:wsp>
                  </a:graphicData>
                </a:graphic>
              </wp:anchor>
            </w:drawing>
          </mc:Choice>
          <mc:Fallback>
            <w:pict>
              <v:shapetype id="_x0000_t202" coordsize="21600,21600" o:spt="202" path="m,l,21600r21600,l21600,xe">
                <v:stroke joinstyle="miter"/>
                <v:path gradientshapeok="t" o:connecttype="rect"/>
              </v:shapetype>
              <v:shape id="矩形 1031" o:spid="_x0000_s1032" type="#_x0000_t202" style="width:1in;height:23.4pt;margin-top:70.2pt;margin-left:288.55pt;mso-wrap-distance-bottom:0;mso-wrap-distance-left:9pt;mso-wrap-distance-right:9pt;mso-wrap-distance-top:0;position:absolute;v-text-anchor:top;z-index:251693056" fillcolor="white" stroked="t" strokecolor="black" strokeweight="0.75pt">
                <v:stroke joinstyle="miter"/>
                <v:textbox>
                  <w:txbxContent>
                    <w:p>
                      <w:pPr>
                        <w:jc w:val="center"/>
                        <w:rPr>
                          <w:rFonts w:hint="eastAsia"/>
                        </w:rPr>
                      </w:pPr>
                      <w:r>
                        <w:rPr>
                          <w:rFonts w:hint="eastAsia"/>
                        </w:rPr>
                        <w:t>CNG汽车</w:t>
                      </w:r>
                    </w:p>
                  </w:txbxContent>
                </v:textbox>
              </v:shape>
            </w:pict>
          </mc:Fallback>
        </mc:AlternateContent>
      </w:r>
      <w:r>
        <w:rPr>
          <w:rFonts w:hint="eastAsia"/>
          <w:sz w:val="28"/>
        </w:rPr>
        <mc:AlternateContent>
          <mc:Choice Requires="wps">
            <w:drawing>
              <wp:anchor distT="0" distB="0" distL="114300" distR="114300" simplePos="0" relativeHeight="251692032" behindDoc="0" locked="0" layoutInCell="1" allowOverlap="1">
                <wp:simplePos x="0" y="0"/>
                <wp:positionH relativeFrom="column">
                  <wp:posOffset>3086100</wp:posOffset>
                </wp:positionH>
                <wp:positionV relativeFrom="paragraph">
                  <wp:posOffset>1023620</wp:posOffset>
                </wp:positionV>
                <wp:extent cx="571500" cy="635"/>
                <wp:effectExtent l="0" t="37465" r="0" b="38100"/>
                <wp:wrapNone/>
                <wp:docPr id="17" name="直线 1032"/>
                <wp:cNvGraphicFramePr/>
                <a:graphic xmlns:a="http://schemas.openxmlformats.org/drawingml/2006/main">
                  <a:graphicData uri="http://schemas.microsoft.com/office/word/2010/wordprocessingShape">
                    <wps:wsp xmlns:wps="http://schemas.microsoft.com/office/word/2010/wordprocessingShape">
                      <wps:cNvCnPr/>
                      <wps:spPr>
                        <a:xfrm>
                          <a:off x="0" y="0"/>
                          <a:ext cx="571500" cy="635"/>
                        </a:xfrm>
                        <a:prstGeom prst="line">
                          <a:avLst/>
                        </a:prstGeom>
                        <a:ln w="9525">
                          <a:solidFill>
                            <a:srgbClr val="000000"/>
                          </a:solidFill>
                          <a:prstDash val="solid"/>
                          <a:headEnd/>
                          <a:tailEnd type="triangle"/>
                        </a:ln>
                      </wps:spPr>
                      <wps:bodyPr upright="1"/>
                    </wps:wsp>
                  </a:graphicData>
                </a:graphic>
              </wp:anchor>
            </w:drawing>
          </mc:Choice>
          <mc:Fallback>
            <w:pict>
              <v:line id="直线 1032" o:spid="_x0000_s1033" style="mso-wrap-distance-bottom:0;mso-wrap-distance-left:9pt;mso-wrap-distance-right:9pt;mso-wrap-distance-top:0;position:absolute;v-text-anchor:top;z-index:251691008" from="243pt,80.6pt" to="4in,80.65pt" fillcolor="this" stroked="t" strokecolor="black" strokeweight="0.75pt">
                <v:stroke endarrow="block"/>
              </v:line>
            </w:pict>
          </mc:Fallback>
        </mc:AlternateContent>
      </w:r>
      <w:r>
        <w:rPr>
          <w:rFonts w:hint="eastAsia"/>
          <w:sz w:val="28"/>
        </w:rPr>
        <mc:AlternateContent>
          <mc:Choice Requires="wps">
            <w:drawing>
              <wp:anchor distT="0" distB="0" distL="114300" distR="114300" simplePos="0" relativeHeight="251689984" behindDoc="0" locked="0" layoutInCell="1" allowOverlap="1">
                <wp:simplePos x="0" y="0"/>
                <wp:positionH relativeFrom="column">
                  <wp:posOffset>2400300</wp:posOffset>
                </wp:positionH>
                <wp:positionV relativeFrom="paragraph">
                  <wp:posOffset>899795</wp:posOffset>
                </wp:positionV>
                <wp:extent cx="685800" cy="297180"/>
                <wp:effectExtent l="4445" t="4445" r="14605" b="22225"/>
                <wp:wrapNone/>
                <wp:docPr id="16" name="矩形 1033"/>
                <wp:cNvGraphicFramePr/>
                <a:graphic xmlns:a="http://schemas.openxmlformats.org/drawingml/2006/main">
                  <a:graphicData uri="http://schemas.microsoft.com/office/word/2010/wordprocessingShape">
                    <wps:wsp xmlns:wps="http://schemas.microsoft.com/office/word/2010/wordprocessingShape">
                      <wps:cNvSpPr/>
                      <wps:spPr>
                        <a:xfrm>
                          <a:off x="0" y="0"/>
                          <a:ext cx="685800" cy="297180"/>
                        </a:xfrm>
                        <a:prstGeom prst="rect">
                          <a:avLst/>
                        </a:prstGeom>
                        <a:solidFill>
                          <a:srgbClr val="FFFFFF"/>
                        </a:solidFill>
                        <a:ln w="9525">
                          <a:solidFill>
                            <a:srgbClr val="000000"/>
                          </a:solidFill>
                          <a:prstDash val="solid"/>
                          <a:miter lim="0"/>
                          <a:headEnd/>
                          <a:tailEnd/>
                        </a:ln>
                      </wps:spPr>
                      <wps:txbx>
                        <w:txbxContent>
                          <w:p>
                            <w:pPr>
                              <w:jc w:val="center"/>
                              <w:rPr>
                                <w:rFonts w:hint="eastAsia"/>
                              </w:rPr>
                            </w:pPr>
                            <w:r>
                              <w:rPr>
                                <w:rFonts w:hint="eastAsia"/>
                              </w:rPr>
                              <w:t>加气机</w:t>
                            </w:r>
                          </w:p>
                        </w:txbxContent>
                      </wps:txbx>
                      <wps:bodyPr wrap="square" upright="1"/>
                    </wps:wsp>
                  </a:graphicData>
                </a:graphic>
              </wp:anchor>
            </w:drawing>
          </mc:Choice>
          <mc:Fallback>
            <w:pict>
              <v:shape id="矩形 1033" o:spid="_x0000_s1034" type="#_x0000_t202" style="width:54pt;height:23.4pt;margin-top:70.85pt;margin-left:189pt;mso-wrap-distance-bottom:0;mso-wrap-distance-left:9pt;mso-wrap-distance-right:9pt;mso-wrap-distance-top:0;position:absolute;v-text-anchor:top;z-index:251688960" fillcolor="white" stroked="t" strokecolor="black" strokeweight="0.75pt">
                <v:stroke joinstyle="miter"/>
                <v:textbox>
                  <w:txbxContent>
                    <w:p>
                      <w:pPr>
                        <w:jc w:val="center"/>
                        <w:rPr>
                          <w:rFonts w:hint="eastAsia"/>
                        </w:rPr>
                      </w:pPr>
                      <w:r>
                        <w:rPr>
                          <w:rFonts w:hint="eastAsia"/>
                        </w:rPr>
                        <w:t>加气机</w:t>
                      </w:r>
                    </w:p>
                  </w:txbxContent>
                </v:textbox>
              </v:shape>
            </w:pict>
          </mc:Fallback>
        </mc:AlternateContent>
      </w:r>
      <w:r>
        <w:rPr>
          <w:rFonts w:hint="eastAsia"/>
          <w:sz w:val="28"/>
        </w:rPr>
        <mc:AlternateContent>
          <mc:Choice Requires="wps">
            <w:drawing>
              <wp:anchor distT="0" distB="0" distL="114300" distR="114300" simplePos="0" relativeHeight="251687936" behindDoc="0" locked="0" layoutInCell="1" allowOverlap="1">
                <wp:simplePos x="0" y="0"/>
                <wp:positionH relativeFrom="column">
                  <wp:posOffset>1828800</wp:posOffset>
                </wp:positionH>
                <wp:positionV relativeFrom="paragraph">
                  <wp:posOffset>1040130</wp:posOffset>
                </wp:positionV>
                <wp:extent cx="571500" cy="635"/>
                <wp:effectExtent l="0" t="37465" r="0" b="38100"/>
                <wp:wrapNone/>
                <wp:docPr id="15" name="直线 1034"/>
                <wp:cNvGraphicFramePr/>
                <a:graphic xmlns:a="http://schemas.openxmlformats.org/drawingml/2006/main">
                  <a:graphicData uri="http://schemas.microsoft.com/office/word/2010/wordprocessingShape">
                    <wps:wsp xmlns:wps="http://schemas.microsoft.com/office/word/2010/wordprocessingShape">
                      <wps:cNvCnPr/>
                      <wps:spPr>
                        <a:xfrm>
                          <a:off x="0" y="0"/>
                          <a:ext cx="571500" cy="635"/>
                        </a:xfrm>
                        <a:prstGeom prst="line">
                          <a:avLst/>
                        </a:prstGeom>
                        <a:ln w="9525">
                          <a:solidFill>
                            <a:srgbClr val="000000"/>
                          </a:solidFill>
                          <a:prstDash val="solid"/>
                          <a:headEnd/>
                          <a:tailEnd type="triangle"/>
                        </a:ln>
                      </wps:spPr>
                      <wps:bodyPr upright="1"/>
                    </wps:wsp>
                  </a:graphicData>
                </a:graphic>
              </wp:anchor>
            </w:drawing>
          </mc:Choice>
          <mc:Fallback>
            <w:pict>
              <v:line id="直线 1034" o:spid="_x0000_s1035" style="mso-wrap-distance-bottom:0;mso-wrap-distance-left:9pt;mso-wrap-distance-right:9pt;mso-wrap-distance-top:0;position:absolute;v-text-anchor:top;z-index:251686912" from="2in,81.9pt" to="189pt,81.95pt" fillcolor="this" stroked="t" strokecolor="black" strokeweight="0.75pt">
                <v:stroke endarrow="block"/>
              </v:line>
            </w:pict>
          </mc:Fallback>
        </mc:AlternateContent>
      </w:r>
      <w:r>
        <w:rPr>
          <w:rFonts w:hint="eastAsia"/>
          <w:sz w:val="28"/>
        </w:rPr>
        <mc:AlternateContent>
          <mc:Choice Requires="wps">
            <w:drawing>
              <wp:anchor distT="0" distB="0" distL="114300" distR="114300" simplePos="0" relativeHeight="251685888" behindDoc="0" locked="0" layoutInCell="1" allowOverlap="1">
                <wp:simplePos x="0" y="0"/>
                <wp:positionH relativeFrom="column">
                  <wp:posOffset>1143000</wp:posOffset>
                </wp:positionH>
                <wp:positionV relativeFrom="paragraph">
                  <wp:posOffset>891540</wp:posOffset>
                </wp:positionV>
                <wp:extent cx="685800" cy="297180"/>
                <wp:effectExtent l="4445" t="4445" r="14605" b="22225"/>
                <wp:wrapNone/>
                <wp:docPr id="14" name="矩形 1035"/>
                <wp:cNvGraphicFramePr/>
                <a:graphic xmlns:a="http://schemas.openxmlformats.org/drawingml/2006/main">
                  <a:graphicData uri="http://schemas.microsoft.com/office/word/2010/wordprocessingShape">
                    <wps:wsp xmlns:wps="http://schemas.microsoft.com/office/word/2010/wordprocessingShape">
                      <wps:cNvSpPr/>
                      <wps:spPr>
                        <a:xfrm>
                          <a:off x="0" y="0"/>
                          <a:ext cx="685800" cy="297180"/>
                        </a:xfrm>
                        <a:prstGeom prst="rect">
                          <a:avLst/>
                        </a:prstGeom>
                        <a:solidFill>
                          <a:srgbClr val="FFFFFF"/>
                        </a:solidFill>
                        <a:ln w="9525">
                          <a:solidFill>
                            <a:srgbClr val="000000"/>
                          </a:solidFill>
                          <a:prstDash val="solid"/>
                          <a:miter lim="0"/>
                          <a:headEnd/>
                          <a:tailEnd/>
                        </a:ln>
                      </wps:spPr>
                      <wps:txbx>
                        <w:txbxContent>
                          <w:p>
                            <w:pPr>
                              <w:jc w:val="center"/>
                              <w:rPr>
                                <w:rFonts w:hint="eastAsia"/>
                              </w:rPr>
                            </w:pPr>
                            <w:r>
                              <w:rPr>
                                <w:rFonts w:hint="eastAsia"/>
                              </w:rPr>
                              <w:t>储气瓶</w:t>
                            </w:r>
                          </w:p>
                        </w:txbxContent>
                      </wps:txbx>
                      <wps:bodyPr wrap="square" upright="1"/>
                    </wps:wsp>
                  </a:graphicData>
                </a:graphic>
              </wp:anchor>
            </w:drawing>
          </mc:Choice>
          <mc:Fallback>
            <w:pict>
              <v:shape id="矩形 1035" o:spid="_x0000_s1036" type="#_x0000_t202" style="width:54pt;height:23.4pt;margin-top:70.2pt;margin-left:90pt;mso-wrap-distance-bottom:0;mso-wrap-distance-left:9pt;mso-wrap-distance-right:9pt;mso-wrap-distance-top:0;position:absolute;v-text-anchor:top;z-index:251684864" fillcolor="white" stroked="t" strokecolor="black" strokeweight="0.75pt">
                <v:stroke joinstyle="miter"/>
                <v:textbox>
                  <w:txbxContent>
                    <w:p>
                      <w:pPr>
                        <w:jc w:val="center"/>
                        <w:rPr>
                          <w:rFonts w:hint="eastAsia"/>
                        </w:rPr>
                      </w:pPr>
                      <w:r>
                        <w:rPr>
                          <w:rFonts w:hint="eastAsia"/>
                        </w:rPr>
                        <w:t>储气瓶</w:t>
                      </w:r>
                    </w:p>
                  </w:txbxContent>
                </v:textbox>
              </v:shape>
            </w:pict>
          </mc:Fallback>
        </mc:AlternateContent>
      </w:r>
      <w:r>
        <w:rPr>
          <w:rFonts w:hint="eastAsia"/>
          <w:sz w:val="28"/>
        </w:rPr>
        <mc:AlternateContent>
          <mc:Choice Requires="wps">
            <w:drawing>
              <wp:anchor distT="0" distB="0" distL="114300" distR="114300" simplePos="0" relativeHeight="251683840" behindDoc="0" locked="0" layoutInCell="1" allowOverlap="1">
                <wp:simplePos x="0" y="0"/>
                <wp:positionH relativeFrom="column">
                  <wp:posOffset>684530</wp:posOffset>
                </wp:positionH>
                <wp:positionV relativeFrom="paragraph">
                  <wp:posOffset>1031875</wp:posOffset>
                </wp:positionV>
                <wp:extent cx="457200" cy="635"/>
                <wp:effectExtent l="0" t="37465" r="0" b="38100"/>
                <wp:wrapNone/>
                <wp:docPr id="13" name="直线 1036"/>
                <wp:cNvGraphicFramePr/>
                <a:graphic xmlns:a="http://schemas.openxmlformats.org/drawingml/2006/main">
                  <a:graphicData uri="http://schemas.microsoft.com/office/word/2010/wordprocessingShape">
                    <wps:wsp xmlns:wps="http://schemas.microsoft.com/office/word/2010/wordprocessingShape">
                      <wps:cNvCnPr/>
                      <wps:spPr>
                        <a:xfrm>
                          <a:off x="0" y="0"/>
                          <a:ext cx="457200" cy="635"/>
                        </a:xfrm>
                        <a:prstGeom prst="line">
                          <a:avLst/>
                        </a:prstGeom>
                        <a:ln w="9525">
                          <a:solidFill>
                            <a:srgbClr val="000000"/>
                          </a:solidFill>
                          <a:prstDash val="solid"/>
                          <a:headEnd/>
                          <a:tailEnd type="triangle"/>
                        </a:ln>
                      </wps:spPr>
                      <wps:bodyPr upright="1"/>
                    </wps:wsp>
                  </a:graphicData>
                </a:graphic>
              </wp:anchor>
            </w:drawing>
          </mc:Choice>
          <mc:Fallback>
            <w:pict>
              <v:line id="直线 1036" o:spid="_x0000_s1037" style="mso-wrap-distance-bottom:0;mso-wrap-distance-left:9pt;mso-wrap-distance-right:9pt;mso-wrap-distance-top:0;position:absolute;v-text-anchor:top;z-index:251682816" from="53.9pt,81.25pt" to="89.9pt,81.3pt" fillcolor="this" stroked="t" strokecolor="black" strokeweight="0.75pt">
                <v:stroke endarrow="block"/>
              </v:line>
            </w:pict>
          </mc:Fallback>
        </mc:AlternateContent>
      </w:r>
      <w:r>
        <w:rPr>
          <w:rFonts w:hint="eastAsia"/>
          <w:sz w:val="28"/>
        </w:rPr>
        <mc:AlternateContent>
          <mc:Choice Requires="wps">
            <w:drawing>
              <wp:anchor distT="0" distB="0" distL="114300" distR="114300" simplePos="0" relativeHeight="251669504" behindDoc="0" locked="0" layoutInCell="1" allowOverlap="1">
                <wp:simplePos x="0" y="0"/>
                <wp:positionH relativeFrom="column">
                  <wp:posOffset>3429000</wp:posOffset>
                </wp:positionH>
                <wp:positionV relativeFrom="paragraph">
                  <wp:posOffset>264160</wp:posOffset>
                </wp:positionV>
                <wp:extent cx="914400" cy="297180"/>
                <wp:effectExtent l="4445" t="4445" r="14605" b="22225"/>
                <wp:wrapNone/>
                <wp:docPr id="6" name="矩形 1037"/>
                <wp:cNvGraphicFramePr/>
                <a:graphic xmlns:a="http://schemas.openxmlformats.org/drawingml/2006/main">
                  <a:graphicData uri="http://schemas.microsoft.com/office/word/2010/wordprocessingShape">
                    <wps:wsp xmlns:wps="http://schemas.microsoft.com/office/word/2010/wordprocessingShape">
                      <wps:cNvSpPr/>
                      <wps:spPr>
                        <a:xfrm>
                          <a:off x="0" y="0"/>
                          <a:ext cx="914400" cy="297180"/>
                        </a:xfrm>
                        <a:prstGeom prst="rect">
                          <a:avLst/>
                        </a:prstGeom>
                        <a:solidFill>
                          <a:srgbClr val="FFFFFF"/>
                        </a:solidFill>
                        <a:ln w="9525">
                          <a:solidFill>
                            <a:srgbClr val="000000"/>
                          </a:solidFill>
                          <a:prstDash val="solid"/>
                          <a:miter lim="0"/>
                          <a:headEnd/>
                          <a:tailEnd/>
                        </a:ln>
                      </wps:spPr>
                      <wps:txbx>
                        <w:txbxContent>
                          <w:p>
                            <w:pPr>
                              <w:jc w:val="center"/>
                              <w:rPr>
                                <w:rFonts w:hint="eastAsia"/>
                              </w:rPr>
                            </w:pPr>
                            <w:r>
                              <w:rPr>
                                <w:rFonts w:hint="eastAsia"/>
                              </w:rPr>
                              <w:t>压缩机组</w:t>
                            </w:r>
                          </w:p>
                        </w:txbxContent>
                      </wps:txbx>
                      <wps:bodyPr wrap="square" upright="1"/>
                    </wps:wsp>
                  </a:graphicData>
                </a:graphic>
              </wp:anchor>
            </w:drawing>
          </mc:Choice>
          <mc:Fallback>
            <w:pict>
              <v:shape id="矩形 1037" o:spid="_x0000_s1038" type="#_x0000_t202" style="width:1in;height:23.4pt;margin-top:20.8pt;margin-left:270pt;mso-wrap-distance-bottom:0;mso-wrap-distance-left:9pt;mso-wrap-distance-right:9pt;mso-wrap-distance-top:0;position:absolute;v-text-anchor:top;z-index:251668480" fillcolor="white" stroked="t" strokecolor="black" strokeweight="0.75pt">
                <v:stroke joinstyle="miter"/>
                <v:textbox>
                  <w:txbxContent>
                    <w:p>
                      <w:pPr>
                        <w:jc w:val="center"/>
                        <w:rPr>
                          <w:rFonts w:hint="eastAsia"/>
                        </w:rPr>
                      </w:pPr>
                      <w:r>
                        <w:rPr>
                          <w:rFonts w:hint="eastAsia"/>
                        </w:rPr>
                        <w:t>压缩机组</w:t>
                      </w:r>
                    </w:p>
                  </w:txbxContent>
                </v:textbox>
              </v:shape>
            </w:pict>
          </mc:Fallback>
        </mc:AlternateContent>
      </w:r>
      <w:r>
        <w:rPr>
          <w:rFonts w:hint="eastAsia"/>
          <w:sz w:val="28"/>
        </w:rPr>
        <mc:AlternateContent>
          <mc:Choice Requires="wps">
            <w:drawing>
              <wp:anchor distT="0" distB="0" distL="114300" distR="114300" simplePos="0" relativeHeight="251665408" behindDoc="0" locked="0" layoutInCell="1" allowOverlap="1">
                <wp:simplePos x="0" y="0"/>
                <wp:positionH relativeFrom="column">
                  <wp:posOffset>735330</wp:posOffset>
                </wp:positionH>
                <wp:positionV relativeFrom="paragraph">
                  <wp:posOffset>99060</wp:posOffset>
                </wp:positionV>
                <wp:extent cx="1053465" cy="297180"/>
                <wp:effectExtent l="0" t="0" r="0" b="0"/>
                <wp:wrapNone/>
                <wp:docPr id="4" name="矩形 1038"/>
                <wp:cNvGraphicFramePr/>
                <a:graphic xmlns:a="http://schemas.openxmlformats.org/drawingml/2006/main">
                  <a:graphicData uri="http://schemas.microsoft.com/office/word/2010/wordprocessingShape">
                    <wps:wsp xmlns:wps="http://schemas.microsoft.com/office/word/2010/wordprocessingShape">
                      <wps:cNvSpPr/>
                      <wps:spPr>
                        <a:xfrm>
                          <a:off x="0" y="0"/>
                          <a:ext cx="1053465" cy="297180"/>
                        </a:xfrm>
                        <a:prstGeom prst="rect">
                          <a:avLst/>
                        </a:prstGeom>
                        <a:noFill/>
                        <a:ln>
                          <a:noFill/>
                        </a:ln>
                      </wps:spPr>
                      <wps:txbx>
                        <w:txbxContent>
                          <w:p>
                            <w:pPr>
                              <w:jc w:val="center"/>
                              <w:rPr>
                                <w:rFonts w:hint="eastAsia"/>
                              </w:rPr>
                            </w:pPr>
                            <w:r>
                              <w:rPr>
                                <w:rFonts w:hint="eastAsia"/>
                              </w:rPr>
                              <w:t>天然气</w:t>
                            </w:r>
                          </w:p>
                        </w:txbxContent>
                      </wps:txbx>
                      <wps:bodyPr wrap="square" upright="1"/>
                    </wps:wsp>
                  </a:graphicData>
                </a:graphic>
              </wp:anchor>
            </w:drawing>
          </mc:Choice>
          <mc:Fallback>
            <w:pict>
              <v:shape id="矩形 1038" o:spid="_x0000_s1039" type="#_x0000_t202" style="width:82.95pt;height:23.4pt;margin-top:7.8pt;margin-left:57.9pt;mso-wrap-distance-bottom:0;mso-wrap-distance-left:9pt;mso-wrap-distance-right:9pt;mso-wrap-distance-top:0;position:absolute;v-text-anchor:top;z-index:251664384" filled="f" fillcolor="this" stroked="f">
                <v:textbox>
                  <w:txbxContent>
                    <w:p>
                      <w:pPr>
                        <w:jc w:val="center"/>
                        <w:rPr>
                          <w:rFonts w:hint="eastAsia"/>
                        </w:rPr>
                      </w:pPr>
                      <w:r>
                        <w:rPr>
                          <w:rFonts w:hint="eastAsia"/>
                        </w:rPr>
                        <w:t>天然气</w:t>
                      </w:r>
                    </w:p>
                  </w:txbxContent>
                </v:textbox>
              </v:shape>
            </w:pict>
          </mc:Fallback>
        </mc:AlternateContent>
      </w:r>
      <w:r>
        <w:rPr>
          <w:rFonts w:hint="eastAsia"/>
          <w:sz w:val="28"/>
        </w:rPr>
        <mc:AlternateContent>
          <mc:Choice Requires="wps">
            <w:drawing>
              <wp:anchor distT="0" distB="0" distL="114300" distR="114300" simplePos="0" relativeHeight="251663360" behindDoc="0" locked="0" layoutInCell="1" allowOverlap="1">
                <wp:simplePos x="0" y="0"/>
                <wp:positionH relativeFrom="column">
                  <wp:posOffset>701040</wp:posOffset>
                </wp:positionH>
                <wp:positionV relativeFrom="paragraph">
                  <wp:posOffset>313690</wp:posOffset>
                </wp:positionV>
                <wp:extent cx="1053465" cy="297180"/>
                <wp:effectExtent l="0" t="0" r="0" b="0"/>
                <wp:wrapNone/>
                <wp:docPr id="3" name="矩形 1039"/>
                <wp:cNvGraphicFramePr/>
                <a:graphic xmlns:a="http://schemas.openxmlformats.org/drawingml/2006/main">
                  <a:graphicData uri="http://schemas.microsoft.com/office/word/2010/wordprocessingShape">
                    <wps:wsp xmlns:wps="http://schemas.microsoft.com/office/word/2010/wordprocessingShape">
                      <wps:cNvSpPr/>
                      <wps:spPr>
                        <a:xfrm>
                          <a:off x="0" y="0"/>
                          <a:ext cx="1053465" cy="297180"/>
                        </a:xfrm>
                        <a:prstGeom prst="rect">
                          <a:avLst/>
                        </a:prstGeom>
                        <a:noFill/>
                        <a:ln>
                          <a:noFill/>
                        </a:ln>
                      </wps:spPr>
                      <wps:txbx>
                        <w:txbxContent>
                          <w:p>
                            <w:pPr>
                              <w:jc w:val="center"/>
                              <w:rPr>
                                <w:rFonts w:hint="eastAsia"/>
                              </w:rPr>
                            </w:pPr>
                            <w:r>
                              <w:rPr>
                                <w:rFonts w:hint="eastAsia"/>
                              </w:rPr>
                              <w:t>来自CNG拖车</w:t>
                            </w:r>
                          </w:p>
                        </w:txbxContent>
                      </wps:txbx>
                      <wps:bodyPr wrap="square" upright="1"/>
                    </wps:wsp>
                  </a:graphicData>
                </a:graphic>
              </wp:anchor>
            </w:drawing>
          </mc:Choice>
          <mc:Fallback>
            <w:pict>
              <v:shape id="矩形 1039" o:spid="_x0000_s1040" type="#_x0000_t202" style="width:82.95pt;height:23.4pt;margin-top:24.7pt;margin-left:55.2pt;mso-wrap-distance-bottom:0;mso-wrap-distance-left:9pt;mso-wrap-distance-right:9pt;mso-wrap-distance-top:0;position:absolute;v-text-anchor:top;z-index:251662336" filled="f" fillcolor="this" stroked="f">
                <v:textbox>
                  <w:txbxContent>
                    <w:p>
                      <w:pPr>
                        <w:jc w:val="center"/>
                        <w:rPr>
                          <w:rFonts w:hint="eastAsia"/>
                        </w:rPr>
                      </w:pPr>
                      <w:r>
                        <w:rPr>
                          <w:rFonts w:hint="eastAsia"/>
                        </w:rPr>
                        <w:t>来自CNG拖车</w:t>
                      </w:r>
                    </w:p>
                  </w:txbxContent>
                </v:textbox>
              </v:shape>
            </w:pict>
          </mc:Fallback>
        </mc:AlternateContent>
      </w:r>
      <w:r>
        <w:rPr>
          <w:rFonts w:hint="eastAsia"/>
          <w:sz w:val="28"/>
        </w:rPr>
        <mc:AlternateContent>
          <mc:Choice Requires="wps">
            <w:drawing>
              <wp:anchor distT="0" distB="0" distL="114300" distR="114300" simplePos="0" relativeHeight="251661312" behindDoc="0" locked="0" layoutInCell="1" allowOverlap="1">
                <wp:simplePos x="0" y="0"/>
                <wp:positionH relativeFrom="column">
                  <wp:posOffset>1828800</wp:posOffset>
                </wp:positionH>
                <wp:positionV relativeFrom="paragraph">
                  <wp:posOffset>239395</wp:posOffset>
                </wp:positionV>
                <wp:extent cx="914400" cy="297180"/>
                <wp:effectExtent l="4445" t="4445" r="14605" b="22225"/>
                <wp:wrapNone/>
                <wp:docPr id="2" name="矩形 1040"/>
                <wp:cNvGraphicFramePr/>
                <a:graphic xmlns:a="http://schemas.openxmlformats.org/drawingml/2006/main">
                  <a:graphicData uri="http://schemas.microsoft.com/office/word/2010/wordprocessingShape">
                    <wps:wsp xmlns:wps="http://schemas.microsoft.com/office/word/2010/wordprocessingShape">
                      <wps:cNvSpPr/>
                      <wps:spPr>
                        <a:xfrm>
                          <a:off x="0" y="0"/>
                          <a:ext cx="914400" cy="297180"/>
                        </a:xfrm>
                        <a:prstGeom prst="rect">
                          <a:avLst/>
                        </a:prstGeom>
                        <a:solidFill>
                          <a:srgbClr val="FFFFFF"/>
                        </a:solidFill>
                        <a:ln w="9525">
                          <a:solidFill>
                            <a:srgbClr val="000000"/>
                          </a:solidFill>
                          <a:prstDash val="solid"/>
                          <a:miter lim="0"/>
                          <a:headEnd/>
                          <a:tailEnd/>
                        </a:ln>
                      </wps:spPr>
                      <wps:txbx>
                        <w:txbxContent>
                          <w:p>
                            <w:pPr>
                              <w:jc w:val="center"/>
                              <w:rPr>
                                <w:rFonts w:hint="eastAsia"/>
                              </w:rPr>
                            </w:pPr>
                            <w:r>
                              <w:rPr>
                                <w:rFonts w:hint="eastAsia"/>
                              </w:rPr>
                              <w:t>卸气柱</w:t>
                            </w:r>
                          </w:p>
                        </w:txbxContent>
                      </wps:txbx>
                      <wps:bodyPr wrap="square" upright="1"/>
                    </wps:wsp>
                  </a:graphicData>
                </a:graphic>
              </wp:anchor>
            </w:drawing>
          </mc:Choice>
          <mc:Fallback>
            <w:pict>
              <v:shape id="矩形 1040" o:spid="_x0000_s1041" type="#_x0000_t202" style="width:1in;height:23.4pt;margin-top:18.85pt;margin-left:2in;mso-wrap-distance-bottom:0;mso-wrap-distance-left:9pt;mso-wrap-distance-right:9pt;mso-wrap-distance-top:0;position:absolute;v-text-anchor:top;z-index:251660288" fillcolor="white" stroked="t" strokecolor="black" strokeweight="0.75pt">
                <v:stroke joinstyle="miter"/>
                <v:textbox>
                  <w:txbxContent>
                    <w:p>
                      <w:pPr>
                        <w:jc w:val="center"/>
                        <w:rPr>
                          <w:rFonts w:hint="eastAsia"/>
                        </w:rPr>
                      </w:pPr>
                      <w:r>
                        <w:rPr>
                          <w:rFonts w:hint="eastAsia"/>
                        </w:rPr>
                        <w:t>卸气柱</w:t>
                      </w:r>
                    </w:p>
                  </w:txbxContent>
                </v:textbox>
              </v:shape>
            </w:pict>
          </mc:Fallback>
        </mc:AlternateContent>
      </w:r>
      <w:r>
        <w:rPr>
          <w:rFonts w:hint="eastAsia"/>
          <w:sz w:val="28"/>
        </w:rPr>
        <mc:AlternateContent>
          <mc:Choice Requires="wps">
            <w:drawing>
              <wp:anchor distT="0" distB="0" distL="114300" distR="114300" simplePos="0" relativeHeight="251659264" behindDoc="0" locked="0" layoutInCell="1" allowOverlap="1">
                <wp:simplePos x="0" y="0"/>
                <wp:positionH relativeFrom="column">
                  <wp:posOffset>685800</wp:posOffset>
                </wp:positionH>
                <wp:positionV relativeFrom="paragraph">
                  <wp:posOffset>346710</wp:posOffset>
                </wp:positionV>
                <wp:extent cx="1143000" cy="635"/>
                <wp:effectExtent l="0" t="37465" r="0" b="38100"/>
                <wp:wrapNone/>
                <wp:docPr id="1" name="直线 1041"/>
                <wp:cNvGraphicFramePr/>
                <a:graphic xmlns:a="http://schemas.openxmlformats.org/drawingml/2006/main">
                  <a:graphicData uri="http://schemas.microsoft.com/office/word/2010/wordprocessingShape">
                    <wps:wsp xmlns:wps="http://schemas.microsoft.com/office/word/2010/wordprocessingShape">
                      <wps:cNvCnPr/>
                      <wps:spPr>
                        <a:xfrm>
                          <a:off x="0" y="0"/>
                          <a:ext cx="1143000" cy="635"/>
                        </a:xfrm>
                        <a:prstGeom prst="line">
                          <a:avLst/>
                        </a:prstGeom>
                        <a:ln w="9525">
                          <a:solidFill>
                            <a:srgbClr val="000000"/>
                          </a:solidFill>
                          <a:prstDash val="solid"/>
                          <a:headEnd/>
                          <a:tailEnd type="triangle"/>
                        </a:ln>
                      </wps:spPr>
                      <wps:bodyPr upright="1"/>
                    </wps:wsp>
                  </a:graphicData>
                </a:graphic>
              </wp:anchor>
            </w:drawing>
          </mc:Choice>
          <mc:Fallback>
            <w:pict>
              <v:line id="直线 1041" o:spid="_x0000_s1042" style="mso-wrap-distance-bottom:0;mso-wrap-distance-left:9pt;mso-wrap-distance-right:9pt;mso-wrap-distance-top:0;position:absolute;v-text-anchor:top;z-index:251658240" from="54pt,27.3pt" to="2in,27.35pt" fillcolor="this" stroked="t" strokecolor="black" strokeweight="0.75pt">
                <v:stroke endarrow="block"/>
              </v:line>
            </w:pict>
          </mc:Fallback>
        </mc:AlternateContent>
      </w:r>
    </w:p>
    <w:p>
      <w:pPr>
        <w:spacing w:line="720" w:lineRule="exact"/>
        <w:ind w:firstLine="560" w:firstLineChars="200"/>
        <w:textAlignment w:val="baseline"/>
        <w:rPr>
          <w:rFonts w:hint="eastAsia"/>
          <w:sz w:val="28"/>
        </w:rPr>
      </w:pPr>
      <w:r>
        <w:rPr>
          <w:rFonts w:hint="eastAsia"/>
          <w:sz w:val="28"/>
        </w:rPr>
        <mc:AlternateContent>
          <mc:Choice Requires="wps">
            <w:drawing>
              <wp:anchor distT="0" distB="0" distL="114300" distR="114300" simplePos="0" relativeHeight="251681792" behindDoc="0" locked="0" layoutInCell="1" allowOverlap="1">
                <wp:simplePos x="0" y="0"/>
                <wp:positionH relativeFrom="column">
                  <wp:posOffset>2628900</wp:posOffset>
                </wp:positionH>
                <wp:positionV relativeFrom="paragraph">
                  <wp:posOffset>236220</wp:posOffset>
                </wp:positionV>
                <wp:extent cx="635" cy="198120"/>
                <wp:effectExtent l="37465" t="0" r="38100" b="11430"/>
                <wp:wrapNone/>
                <wp:docPr id="12" name="直线 1042"/>
                <wp:cNvGraphicFramePr/>
                <a:graphic xmlns:a="http://schemas.openxmlformats.org/drawingml/2006/main">
                  <a:graphicData uri="http://schemas.microsoft.com/office/word/2010/wordprocessingShape">
                    <wps:wsp xmlns:wps="http://schemas.microsoft.com/office/word/2010/wordprocessingShape">
                      <wps:cNvCnPr/>
                      <wps:spPr>
                        <a:xfrm>
                          <a:off x="0" y="0"/>
                          <a:ext cx="635" cy="198120"/>
                        </a:xfrm>
                        <a:prstGeom prst="line">
                          <a:avLst/>
                        </a:prstGeom>
                        <a:ln w="9525">
                          <a:solidFill>
                            <a:srgbClr val="000000"/>
                          </a:solidFill>
                          <a:prstDash val="solid"/>
                          <a:headEnd/>
                          <a:tailEnd type="triangle"/>
                        </a:ln>
                      </wps:spPr>
                      <wps:bodyPr upright="1"/>
                    </wps:wsp>
                  </a:graphicData>
                </a:graphic>
              </wp:anchor>
            </w:drawing>
          </mc:Choice>
          <mc:Fallback>
            <w:pict>
              <v:line id="直线 1042" o:spid="_x0000_s1043" style="mso-wrap-distance-bottom:0;mso-wrap-distance-left:9pt;mso-wrap-distance-right:9pt;mso-wrap-distance-top:0;position:absolute;v-text-anchor:top;z-index:251680768" from="207pt,18.6pt" to="207.05pt,34.2pt" fillcolor="this" stroked="t" strokecolor="black" strokeweight="0.75pt">
                <v:stroke endarrow="block"/>
              </v:line>
            </w:pict>
          </mc:Fallback>
        </mc:AlternateContent>
      </w:r>
    </w:p>
    <w:p>
      <w:pPr>
        <w:spacing w:line="720" w:lineRule="exact"/>
        <w:ind w:firstLine="560" w:firstLineChars="200"/>
        <w:textAlignment w:val="baseline"/>
        <w:rPr>
          <w:rFonts w:hint="eastAsia"/>
          <w:sz w:val="28"/>
        </w:rPr>
      </w:pPr>
    </w:p>
    <w:p>
      <w:pPr>
        <w:ind w:firstLine="560" w:firstLineChars="200"/>
        <w:textAlignment w:val="baseline"/>
        <w:rPr>
          <w:rFonts w:ascii="宋体" w:hAnsi="宋体" w:hint="eastAsia"/>
          <w:sz w:val="28"/>
        </w:rPr>
      </w:pPr>
      <w:r>
        <w:rPr>
          <w:rFonts w:ascii="宋体" w:hAnsi="宋体" w:hint="eastAsia"/>
          <w:sz w:val="28"/>
        </w:rPr>
        <w:t>CNG拖车运来的高压天然气通过卸气柱，进入子站压缩机组增压，达到25MPa，增压后的天然气进入储气瓶储存，并通过加气机向CNG汽车加气。</w:t>
      </w:r>
    </w:p>
    <w:p>
      <w:pPr>
        <w:pStyle w:val="Heading3"/>
        <w:rPr>
          <w:rFonts w:hint="eastAsia"/>
          <w:sz w:val="28"/>
          <w:szCs w:val="28"/>
        </w:rPr>
      </w:pPr>
      <w:bookmarkStart w:id="35" w:name="_Toc359868145"/>
      <w:bookmarkStart w:id="36" w:name="_Toc19900"/>
      <w:r>
        <w:rPr>
          <w:rFonts w:hint="eastAsia"/>
          <w:sz w:val="28"/>
          <w:szCs w:val="28"/>
        </w:rPr>
        <w:t>3.2.2天然气质量标准</w:t>
      </w:r>
      <w:bookmarkEnd w:id="35"/>
      <w:bookmarkEnd w:id="36"/>
    </w:p>
    <w:p>
      <w:pPr>
        <w:spacing w:line="660" w:lineRule="exact"/>
        <w:ind w:firstLine="570"/>
        <w:textAlignment w:val="baseline"/>
        <w:rPr>
          <w:rFonts w:ascii="宋体" w:hAnsi="宋体" w:hint="eastAsia"/>
          <w:sz w:val="28"/>
        </w:rPr>
        <w:sectPr>
          <w:headerReference w:type="default" r:id="rId15"/>
          <w:footerReference w:type="default" r:id="rId16"/>
          <w:type w:val="nextPage"/>
          <w:pgSz w:w="11906" w:h="16838"/>
          <w:pgMar w:top="1134" w:right="1588" w:bottom="1418" w:left="1134" w:header="851" w:footer="992" w:gutter="0"/>
          <w:pgNumType w:start="55"/>
          <w:cols w:num="1" w:space="720"/>
          <w:titlePg w:val="0"/>
          <w:docGrid w:type="lines" w:linePitch="290" w:charSpace="0"/>
        </w:sectPr>
      </w:pPr>
      <w:r>
        <w:rPr>
          <w:rFonts w:ascii="宋体" w:hAnsi="宋体" w:hint="eastAsia"/>
          <w:sz w:val="28"/>
        </w:rPr>
        <w:t>由长管拖车运来的压缩天然气经过了母站脱硫脱水处理后，天然气的质量符合国家GB17820《天然气》中规定的Ⅱ类气质标准，进入压缩机的天然气质量符合压缩运行要求的有关规定，天然气符合GB18047《汽车用压缩天然气》中规定的气质标准。</w:t>
      </w:r>
    </w:p>
    <w:p>
      <w:pPr>
        <w:pStyle w:val="Heading2"/>
        <w:rPr>
          <w:rFonts w:hint="eastAsia"/>
          <w:sz w:val="30"/>
          <w:szCs w:val="30"/>
        </w:rPr>
      </w:pPr>
      <w:bookmarkStart w:id="37" w:name="_Toc5292"/>
      <w:bookmarkStart w:id="38" w:name="_Toc359868146"/>
      <w:r>
        <w:rPr>
          <w:rFonts w:hint="eastAsia"/>
          <w:sz w:val="30"/>
          <w:szCs w:val="30"/>
        </w:rPr>
        <w:t>3.3加气工艺设施</w:t>
      </w:r>
      <w:bookmarkEnd w:id="37"/>
      <w:bookmarkEnd w:id="38"/>
    </w:p>
    <w:p>
      <w:pPr>
        <w:pStyle w:val="Heading3"/>
        <w:rPr>
          <w:rFonts w:hint="eastAsia"/>
          <w:sz w:val="28"/>
          <w:szCs w:val="28"/>
        </w:rPr>
      </w:pPr>
      <w:bookmarkStart w:id="39" w:name="_Toc359868147"/>
      <w:bookmarkStart w:id="40" w:name="_Toc21014"/>
      <w:r>
        <w:rPr>
          <w:rFonts w:hint="eastAsia"/>
          <w:sz w:val="28"/>
          <w:szCs w:val="28"/>
        </w:rPr>
        <w:t>3.3.1压缩机</w:t>
      </w:r>
      <w:bookmarkEnd w:id="39"/>
      <w:bookmarkEnd w:id="40"/>
    </w:p>
    <w:p>
      <w:pPr>
        <w:spacing w:line="660" w:lineRule="exact"/>
        <w:ind w:firstLine="570"/>
        <w:textAlignment w:val="baseline"/>
        <w:rPr>
          <w:rFonts w:ascii="宋体" w:hAnsi="宋体" w:hint="eastAsia"/>
          <w:sz w:val="28"/>
        </w:rPr>
      </w:pPr>
      <w:r>
        <w:rPr>
          <w:rFonts w:ascii="宋体" w:hAnsi="宋体" w:hint="eastAsia"/>
          <w:sz w:val="28"/>
        </w:rPr>
        <w:t>加气站选择国产全撬式风冷CNG压缩机，其设备结构特点如下：</w:t>
      </w:r>
    </w:p>
    <w:p>
      <w:pPr>
        <w:spacing w:line="660" w:lineRule="exact"/>
        <w:ind w:firstLine="570"/>
        <w:textAlignment w:val="baseline"/>
        <w:rPr>
          <w:rFonts w:ascii="宋体" w:hAnsi="宋体" w:hint="eastAsia"/>
          <w:sz w:val="28"/>
        </w:rPr>
      </w:pPr>
      <w:r>
        <w:rPr>
          <w:rFonts w:ascii="宋体" w:hAnsi="宋体" w:hint="eastAsia"/>
          <w:sz w:val="28"/>
        </w:rPr>
        <w:t>1、立式结构，可使压缩机在运行中振动实现最小；</w:t>
      </w:r>
    </w:p>
    <w:p>
      <w:pPr>
        <w:spacing w:line="660" w:lineRule="exact"/>
        <w:ind w:firstLine="570"/>
        <w:textAlignment w:val="baseline"/>
        <w:rPr>
          <w:rFonts w:ascii="宋体" w:hAnsi="宋体" w:hint="eastAsia"/>
          <w:sz w:val="28"/>
        </w:rPr>
      </w:pPr>
      <w:r>
        <w:rPr>
          <w:rFonts w:ascii="宋体" w:hAnsi="宋体" w:hint="eastAsia"/>
          <w:sz w:val="28"/>
        </w:rPr>
        <w:t>2、压缩机气缸不加水套，级间气体采用风冷，适用于高寒冷气候干燥的地区；</w:t>
      </w:r>
    </w:p>
    <w:p>
      <w:pPr>
        <w:spacing w:line="660" w:lineRule="exact"/>
        <w:ind w:firstLine="570"/>
        <w:textAlignment w:val="baseline"/>
        <w:rPr>
          <w:rFonts w:ascii="宋体" w:hAnsi="宋体" w:hint="eastAsia"/>
          <w:sz w:val="28"/>
        </w:rPr>
      </w:pPr>
      <w:r>
        <w:rPr>
          <w:rFonts w:ascii="宋体" w:hAnsi="宋体" w:hint="eastAsia"/>
          <w:sz w:val="28"/>
        </w:rPr>
        <w:t>3、压缩机气缸为无油结构，少油润滑，可最大限度延长气缸内易损件的使用寿命，一般可达8000小时以上，压缩机传动系统为强制润滑；</w:t>
      </w:r>
    </w:p>
    <w:p>
      <w:pPr>
        <w:spacing w:line="660" w:lineRule="exact"/>
        <w:ind w:firstLine="570"/>
        <w:textAlignment w:val="baseline"/>
        <w:rPr>
          <w:rFonts w:ascii="宋体" w:hAnsi="宋体" w:hint="eastAsia"/>
          <w:sz w:val="28"/>
        </w:rPr>
      </w:pPr>
      <w:r>
        <w:rPr>
          <w:rFonts w:ascii="宋体" w:hAnsi="宋体" w:hint="eastAsia"/>
          <w:sz w:val="28"/>
        </w:rPr>
        <w:t>4、压缩机气缸镜面采用等离子氧化技术，使气缸内表面硬度增强，可最大限度减少气缸风腔的磨损；</w:t>
      </w:r>
    </w:p>
    <w:p>
      <w:pPr>
        <w:spacing w:line="660" w:lineRule="exact"/>
        <w:ind w:firstLine="570"/>
        <w:textAlignment w:val="baseline"/>
        <w:rPr>
          <w:rFonts w:ascii="宋体" w:hAnsi="宋体" w:hint="eastAsia"/>
          <w:sz w:val="28"/>
        </w:rPr>
      </w:pPr>
      <w:r>
        <w:rPr>
          <w:rFonts w:ascii="宋体" w:hAnsi="宋体" w:hint="eastAsia"/>
          <w:sz w:val="28"/>
        </w:rPr>
        <w:t>5、压缩机整机无故障时间至少为8000小时以上；</w:t>
      </w:r>
    </w:p>
    <w:p>
      <w:pPr>
        <w:spacing w:line="660" w:lineRule="exact"/>
        <w:ind w:firstLine="570"/>
        <w:textAlignment w:val="baseline"/>
        <w:rPr>
          <w:rFonts w:ascii="宋体" w:hAnsi="宋体" w:hint="eastAsia"/>
          <w:sz w:val="28"/>
        </w:rPr>
      </w:pPr>
      <w:r>
        <w:rPr>
          <w:rFonts w:ascii="宋体" w:hAnsi="宋体" w:hint="eastAsia"/>
          <w:sz w:val="28"/>
        </w:rPr>
        <w:t>6、整体撬装式带有全天候防风雨外罩，可直接露天放置；</w:t>
      </w:r>
    </w:p>
    <w:p>
      <w:pPr>
        <w:spacing w:line="660" w:lineRule="exact"/>
        <w:ind w:firstLine="570"/>
        <w:textAlignment w:val="baseline"/>
        <w:rPr>
          <w:rFonts w:ascii="宋体" w:hAnsi="宋体" w:hint="eastAsia"/>
          <w:sz w:val="28"/>
        </w:rPr>
      </w:pPr>
      <w:r>
        <w:rPr>
          <w:rFonts w:ascii="宋体" w:hAnsi="宋体" w:hint="eastAsia"/>
          <w:sz w:val="28"/>
        </w:rPr>
        <w:t>7、全自动无人值守。</w:t>
      </w:r>
    </w:p>
    <w:p>
      <w:pPr>
        <w:spacing w:line="660" w:lineRule="exact"/>
        <w:ind w:firstLine="570"/>
        <w:textAlignment w:val="baseline"/>
        <w:rPr>
          <w:rFonts w:ascii="宋体" w:hAnsi="宋体" w:hint="eastAsia"/>
          <w:sz w:val="28"/>
        </w:rPr>
      </w:pPr>
      <w:r>
        <w:rPr>
          <w:rFonts w:ascii="宋体" w:hAnsi="宋体" w:hint="eastAsia"/>
          <w:sz w:val="28"/>
        </w:rPr>
        <w:t>压缩机整个系统PLC对整个系统进行信号采集、故障诊断、故障显示、优先顺序控制、顺序启动、停机等过程管理，以无人值守全自动方式工作。压缩机组主要参数见表1-1：</w:t>
      </w:r>
    </w:p>
    <w:p>
      <w:pPr>
        <w:ind w:left="570"/>
        <w:textAlignment w:val="baseline"/>
        <w:rPr>
          <w:rFonts w:hint="eastAsia"/>
          <w:b/>
          <w:color w:val="FF0000"/>
          <w:sz w:val="28"/>
        </w:rPr>
      </w:pPr>
      <w:r>
        <w:rPr>
          <w:rFonts w:hint="eastAsia"/>
          <w:b/>
          <w:sz w:val="28"/>
        </w:rPr>
        <w:t>表1-1               压缩机主要技术参数表</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174"/>
        <w:gridCol w:w="2126"/>
        <w:gridCol w:w="4594"/>
        <w:gridCol w:w="1354"/>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174" w:type="dxa"/>
            <w:noWrap w:val="0"/>
            <w:vAlign w:val="top"/>
          </w:tcPr>
          <w:p>
            <w:pPr>
              <w:jc w:val="center"/>
              <w:rPr>
                <w:rFonts w:ascii="宋体" w:hAnsi="宋体" w:hint="eastAsia"/>
                <w:szCs w:val="21"/>
              </w:rPr>
            </w:pPr>
            <w:r>
              <w:rPr>
                <w:rFonts w:ascii="宋体" w:hAnsi="宋体" w:hint="eastAsia"/>
                <w:szCs w:val="21"/>
              </w:rPr>
              <w:t>序号</w:t>
            </w:r>
          </w:p>
        </w:tc>
        <w:tc>
          <w:tcPr>
            <w:tcW w:w="2126" w:type="dxa"/>
            <w:noWrap w:val="0"/>
            <w:vAlign w:val="top"/>
          </w:tcPr>
          <w:p>
            <w:pPr>
              <w:jc w:val="center"/>
              <w:rPr>
                <w:rFonts w:ascii="宋体" w:hAnsi="宋体" w:hint="eastAsia"/>
                <w:szCs w:val="21"/>
              </w:rPr>
            </w:pPr>
            <w:r>
              <w:rPr>
                <w:rFonts w:ascii="宋体" w:hAnsi="宋体" w:hint="eastAsia"/>
                <w:szCs w:val="21"/>
              </w:rPr>
              <w:t>项目</w:t>
            </w:r>
          </w:p>
        </w:tc>
        <w:tc>
          <w:tcPr>
            <w:tcW w:w="4594" w:type="dxa"/>
            <w:noWrap w:val="0"/>
            <w:vAlign w:val="top"/>
          </w:tcPr>
          <w:p>
            <w:pPr>
              <w:jc w:val="center"/>
              <w:rPr>
                <w:rFonts w:ascii="宋体" w:hAnsi="宋体" w:hint="eastAsia"/>
                <w:szCs w:val="21"/>
              </w:rPr>
            </w:pPr>
            <w:r>
              <w:rPr>
                <w:rFonts w:ascii="宋体" w:hAnsi="宋体" w:hint="eastAsia"/>
                <w:szCs w:val="21"/>
              </w:rPr>
              <w:t>技术参数</w:t>
            </w:r>
          </w:p>
        </w:tc>
        <w:tc>
          <w:tcPr>
            <w:tcW w:w="1354" w:type="dxa"/>
            <w:noWrap w:val="0"/>
            <w:vAlign w:val="top"/>
          </w:tcPr>
          <w:p>
            <w:pPr>
              <w:jc w:val="center"/>
              <w:rPr>
                <w:rFonts w:ascii="宋体" w:hAnsi="宋体" w:hint="eastAsia"/>
                <w:szCs w:val="21"/>
              </w:rPr>
            </w:pPr>
            <w:r>
              <w:rPr>
                <w:rFonts w:ascii="宋体" w:hAnsi="宋体" w:hint="eastAsia"/>
                <w:szCs w:val="21"/>
              </w:rPr>
              <w:t>备注</w:t>
            </w:r>
          </w:p>
        </w:tc>
      </w:tr>
      <w:tr>
        <w:tblPrEx>
          <w:tblW w:w="0" w:type="auto"/>
          <w:tblInd w:w="0" w:type="dxa"/>
          <w:tblLayout w:type="fixed"/>
          <w:tblCellMar>
            <w:top w:w="0" w:type="dxa"/>
            <w:left w:w="108" w:type="dxa"/>
            <w:bottom w:w="0" w:type="dxa"/>
            <w:right w:w="108" w:type="dxa"/>
          </w:tblCellMar>
        </w:tblPrEx>
        <w:tc>
          <w:tcPr>
            <w:tcW w:w="1174" w:type="dxa"/>
            <w:noWrap w:val="0"/>
            <w:vAlign w:val="top"/>
          </w:tcPr>
          <w:p>
            <w:pPr>
              <w:jc w:val="center"/>
              <w:rPr>
                <w:rFonts w:ascii="宋体" w:hAnsi="宋体" w:hint="eastAsia"/>
                <w:szCs w:val="21"/>
              </w:rPr>
            </w:pPr>
            <w:r>
              <w:rPr>
                <w:rFonts w:ascii="宋体" w:hAnsi="宋体" w:hint="eastAsia"/>
                <w:szCs w:val="21"/>
              </w:rPr>
              <w:t>1</w:t>
            </w:r>
          </w:p>
        </w:tc>
        <w:tc>
          <w:tcPr>
            <w:tcW w:w="2126" w:type="dxa"/>
            <w:noWrap w:val="0"/>
            <w:vAlign w:val="top"/>
          </w:tcPr>
          <w:p>
            <w:pPr>
              <w:jc w:val="center"/>
              <w:rPr>
                <w:rFonts w:ascii="宋体" w:hAnsi="宋体" w:hint="eastAsia"/>
                <w:szCs w:val="21"/>
              </w:rPr>
            </w:pPr>
            <w:r>
              <w:rPr>
                <w:rFonts w:ascii="宋体" w:hAnsi="宋体" w:hint="eastAsia"/>
                <w:szCs w:val="21"/>
              </w:rPr>
              <w:t>型号</w:t>
            </w:r>
          </w:p>
        </w:tc>
        <w:tc>
          <w:tcPr>
            <w:tcW w:w="4594" w:type="dxa"/>
            <w:noWrap w:val="0"/>
            <w:vAlign w:val="top"/>
          </w:tcPr>
          <w:p>
            <w:pPr>
              <w:jc w:val="center"/>
              <w:rPr>
                <w:rFonts w:ascii="宋体" w:hAnsi="宋体" w:hint="eastAsia"/>
                <w:szCs w:val="21"/>
              </w:rPr>
            </w:pPr>
            <w:r>
              <w:rPr>
                <w:rFonts w:ascii="宋体" w:hAnsi="宋体" w:hint="eastAsia"/>
                <w:szCs w:val="21"/>
              </w:rPr>
              <w:t>XD-11/35-250</w:t>
            </w:r>
          </w:p>
        </w:tc>
        <w:tc>
          <w:tcPr>
            <w:tcW w:w="1354"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c>
          <w:tcPr>
            <w:tcW w:w="1174" w:type="dxa"/>
            <w:noWrap w:val="0"/>
            <w:vAlign w:val="top"/>
          </w:tcPr>
          <w:p>
            <w:pPr>
              <w:jc w:val="center"/>
              <w:rPr>
                <w:rFonts w:ascii="宋体" w:hAnsi="宋体" w:hint="eastAsia"/>
                <w:szCs w:val="21"/>
              </w:rPr>
            </w:pPr>
            <w:r>
              <w:rPr>
                <w:rFonts w:ascii="宋体" w:hAnsi="宋体" w:hint="eastAsia"/>
                <w:szCs w:val="21"/>
              </w:rPr>
              <w:t>2</w:t>
            </w:r>
          </w:p>
        </w:tc>
        <w:tc>
          <w:tcPr>
            <w:tcW w:w="2126" w:type="dxa"/>
            <w:noWrap w:val="0"/>
            <w:vAlign w:val="top"/>
          </w:tcPr>
          <w:p>
            <w:pPr>
              <w:jc w:val="center"/>
              <w:rPr>
                <w:rFonts w:ascii="宋体" w:hAnsi="宋体" w:hint="eastAsia"/>
                <w:szCs w:val="21"/>
              </w:rPr>
            </w:pPr>
            <w:r>
              <w:rPr>
                <w:rFonts w:ascii="宋体" w:hAnsi="宋体" w:hint="eastAsia"/>
                <w:szCs w:val="21"/>
              </w:rPr>
              <w:t>配置数量</w:t>
            </w:r>
          </w:p>
        </w:tc>
        <w:tc>
          <w:tcPr>
            <w:tcW w:w="4594" w:type="dxa"/>
            <w:noWrap w:val="0"/>
            <w:vAlign w:val="top"/>
          </w:tcPr>
          <w:p>
            <w:pPr>
              <w:jc w:val="center"/>
              <w:rPr>
                <w:rFonts w:ascii="宋体" w:hAnsi="宋体" w:hint="eastAsia"/>
                <w:szCs w:val="21"/>
              </w:rPr>
            </w:pPr>
            <w:r>
              <w:rPr>
                <w:rFonts w:ascii="宋体" w:hAnsi="宋体" w:hint="eastAsia"/>
                <w:szCs w:val="21"/>
              </w:rPr>
              <w:t>2</w:t>
            </w:r>
            <w:r>
              <w:rPr>
                <w:rFonts w:ascii="宋体" w:hAnsi="宋体" w:hint="eastAsia"/>
                <w:szCs w:val="21"/>
                <w:lang w:eastAsia="zh-CN"/>
              </w:rPr>
              <w:t>台</w:t>
            </w:r>
          </w:p>
        </w:tc>
        <w:tc>
          <w:tcPr>
            <w:tcW w:w="1354"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c>
          <w:tcPr>
            <w:tcW w:w="1174" w:type="dxa"/>
            <w:noWrap w:val="0"/>
            <w:vAlign w:val="top"/>
          </w:tcPr>
          <w:p>
            <w:pPr>
              <w:jc w:val="center"/>
              <w:rPr>
                <w:rFonts w:ascii="宋体" w:hAnsi="宋体" w:hint="eastAsia"/>
                <w:szCs w:val="21"/>
              </w:rPr>
            </w:pPr>
            <w:r>
              <w:rPr>
                <w:rFonts w:ascii="宋体" w:hAnsi="宋体" w:hint="eastAsia"/>
                <w:szCs w:val="21"/>
              </w:rPr>
              <w:t>3</w:t>
            </w:r>
          </w:p>
        </w:tc>
        <w:tc>
          <w:tcPr>
            <w:tcW w:w="2126" w:type="dxa"/>
            <w:noWrap w:val="0"/>
            <w:vAlign w:val="top"/>
          </w:tcPr>
          <w:p>
            <w:pPr>
              <w:jc w:val="center"/>
              <w:rPr>
                <w:rFonts w:ascii="宋体" w:hAnsi="宋体" w:hint="eastAsia"/>
                <w:szCs w:val="21"/>
              </w:rPr>
            </w:pPr>
            <w:r>
              <w:rPr>
                <w:rFonts w:ascii="宋体" w:hAnsi="宋体" w:hint="eastAsia"/>
                <w:szCs w:val="21"/>
              </w:rPr>
              <w:t>制冷方式</w:t>
            </w:r>
          </w:p>
        </w:tc>
        <w:tc>
          <w:tcPr>
            <w:tcW w:w="4594" w:type="dxa"/>
            <w:noWrap w:val="0"/>
            <w:vAlign w:val="top"/>
          </w:tcPr>
          <w:p>
            <w:pPr>
              <w:jc w:val="center"/>
              <w:rPr>
                <w:rFonts w:ascii="宋体" w:hAnsi="宋体" w:hint="eastAsia"/>
                <w:szCs w:val="21"/>
              </w:rPr>
            </w:pPr>
            <w:r>
              <w:rPr>
                <w:rFonts w:ascii="宋体" w:hAnsi="宋体" w:hint="eastAsia"/>
                <w:szCs w:val="21"/>
              </w:rPr>
              <w:t>天然气采用风冷，气缸与润滑油采用循环水冷</w:t>
            </w:r>
          </w:p>
        </w:tc>
        <w:tc>
          <w:tcPr>
            <w:tcW w:w="1354"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c>
          <w:tcPr>
            <w:tcW w:w="1174" w:type="dxa"/>
            <w:noWrap w:val="0"/>
            <w:vAlign w:val="top"/>
          </w:tcPr>
          <w:p>
            <w:pPr>
              <w:jc w:val="center"/>
              <w:rPr>
                <w:rFonts w:ascii="宋体" w:hAnsi="宋体" w:hint="eastAsia"/>
                <w:szCs w:val="21"/>
              </w:rPr>
            </w:pPr>
            <w:r>
              <w:rPr>
                <w:rFonts w:ascii="宋体" w:hAnsi="宋体" w:hint="eastAsia"/>
                <w:szCs w:val="21"/>
              </w:rPr>
              <w:t>4</w:t>
            </w:r>
          </w:p>
        </w:tc>
        <w:tc>
          <w:tcPr>
            <w:tcW w:w="2126" w:type="dxa"/>
            <w:noWrap w:val="0"/>
            <w:vAlign w:val="top"/>
          </w:tcPr>
          <w:p>
            <w:pPr>
              <w:jc w:val="center"/>
              <w:rPr>
                <w:rFonts w:ascii="宋体" w:hAnsi="宋体" w:hint="eastAsia"/>
                <w:szCs w:val="21"/>
              </w:rPr>
            </w:pPr>
            <w:r>
              <w:rPr>
                <w:rFonts w:ascii="宋体" w:hAnsi="宋体" w:hint="eastAsia"/>
                <w:szCs w:val="21"/>
              </w:rPr>
              <w:t>介质</w:t>
            </w:r>
          </w:p>
        </w:tc>
        <w:tc>
          <w:tcPr>
            <w:tcW w:w="4594" w:type="dxa"/>
            <w:noWrap w:val="0"/>
            <w:vAlign w:val="top"/>
          </w:tcPr>
          <w:p>
            <w:pPr>
              <w:rPr>
                <w:rFonts w:ascii="宋体" w:hAnsi="宋体" w:hint="eastAsia"/>
                <w:szCs w:val="21"/>
              </w:rPr>
            </w:pPr>
            <w:r>
              <w:rPr>
                <w:rFonts w:ascii="宋体" w:hAnsi="宋体" w:hint="eastAsia"/>
                <w:szCs w:val="21"/>
              </w:rPr>
              <w:t xml:space="preserve">                天然气</w:t>
            </w:r>
          </w:p>
        </w:tc>
        <w:tc>
          <w:tcPr>
            <w:tcW w:w="1354"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c>
          <w:tcPr>
            <w:tcW w:w="1174" w:type="dxa"/>
            <w:noWrap w:val="0"/>
            <w:vAlign w:val="top"/>
          </w:tcPr>
          <w:p>
            <w:pPr>
              <w:jc w:val="center"/>
              <w:rPr>
                <w:rFonts w:ascii="宋体" w:hAnsi="宋体" w:hint="eastAsia"/>
                <w:szCs w:val="21"/>
              </w:rPr>
            </w:pPr>
            <w:r>
              <w:rPr>
                <w:rFonts w:ascii="宋体" w:hAnsi="宋体" w:hint="eastAsia"/>
                <w:szCs w:val="21"/>
              </w:rPr>
              <w:t>5</w:t>
            </w:r>
          </w:p>
        </w:tc>
        <w:tc>
          <w:tcPr>
            <w:tcW w:w="2126" w:type="dxa"/>
            <w:noWrap w:val="0"/>
            <w:vAlign w:val="top"/>
          </w:tcPr>
          <w:p>
            <w:pPr>
              <w:jc w:val="center"/>
              <w:rPr>
                <w:rFonts w:ascii="宋体" w:hAnsi="宋体" w:hint="eastAsia"/>
                <w:szCs w:val="21"/>
              </w:rPr>
            </w:pPr>
            <w:r>
              <w:rPr>
                <w:rFonts w:ascii="宋体" w:hAnsi="宋体" w:hint="eastAsia"/>
                <w:szCs w:val="21"/>
              </w:rPr>
              <w:t>吸气温度</w:t>
            </w:r>
          </w:p>
        </w:tc>
        <w:tc>
          <w:tcPr>
            <w:tcW w:w="4594" w:type="dxa"/>
            <w:noWrap w:val="0"/>
            <w:vAlign w:val="top"/>
          </w:tcPr>
          <w:p>
            <w:pPr>
              <w:jc w:val="center"/>
              <w:rPr>
                <w:rFonts w:ascii="宋体" w:hAnsi="宋体" w:hint="eastAsia"/>
                <w:szCs w:val="21"/>
              </w:rPr>
            </w:pPr>
            <w:r>
              <w:rPr>
                <w:rFonts w:ascii="宋体" w:hAnsi="宋体" w:hint="eastAsia"/>
                <w:szCs w:val="21"/>
              </w:rPr>
              <w:t>0～35</w:t>
            </w:r>
            <w:r>
              <w:rPr>
                <w:rFonts w:ascii="宋体" w:hAnsi="宋体"/>
                <w:szCs w:val="21"/>
              </w:rPr>
              <w:t>℃</w:t>
            </w:r>
          </w:p>
        </w:tc>
        <w:tc>
          <w:tcPr>
            <w:tcW w:w="1354"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c>
          <w:tcPr>
            <w:tcW w:w="1174" w:type="dxa"/>
            <w:noWrap w:val="0"/>
            <w:vAlign w:val="top"/>
          </w:tcPr>
          <w:p>
            <w:pPr>
              <w:jc w:val="center"/>
              <w:rPr>
                <w:rFonts w:ascii="宋体" w:hAnsi="宋体" w:hint="eastAsia"/>
                <w:szCs w:val="21"/>
              </w:rPr>
            </w:pPr>
            <w:r>
              <w:rPr>
                <w:rFonts w:ascii="宋体" w:hAnsi="宋体" w:hint="eastAsia"/>
                <w:szCs w:val="21"/>
              </w:rPr>
              <w:t>6</w:t>
            </w:r>
          </w:p>
        </w:tc>
        <w:tc>
          <w:tcPr>
            <w:tcW w:w="2126" w:type="dxa"/>
            <w:noWrap w:val="0"/>
            <w:vAlign w:val="top"/>
          </w:tcPr>
          <w:p>
            <w:pPr>
              <w:jc w:val="center"/>
              <w:rPr>
                <w:rFonts w:ascii="宋体" w:hAnsi="宋体" w:hint="eastAsia"/>
                <w:szCs w:val="21"/>
              </w:rPr>
            </w:pPr>
            <w:r>
              <w:rPr>
                <w:rFonts w:ascii="宋体" w:hAnsi="宋体" w:hint="eastAsia"/>
                <w:szCs w:val="21"/>
              </w:rPr>
              <w:t>吸气压力</w:t>
            </w:r>
          </w:p>
        </w:tc>
        <w:tc>
          <w:tcPr>
            <w:tcW w:w="4594" w:type="dxa"/>
            <w:noWrap w:val="0"/>
            <w:vAlign w:val="top"/>
          </w:tcPr>
          <w:p>
            <w:pPr>
              <w:jc w:val="center"/>
              <w:rPr>
                <w:rFonts w:ascii="宋体" w:hAnsi="宋体" w:hint="eastAsia"/>
                <w:szCs w:val="21"/>
              </w:rPr>
            </w:pPr>
            <w:r>
              <w:rPr>
                <w:rFonts w:ascii="宋体" w:hAnsi="宋体" w:hint="eastAsia"/>
                <w:szCs w:val="21"/>
              </w:rPr>
              <w:t>3～20MPa</w:t>
            </w:r>
          </w:p>
        </w:tc>
        <w:tc>
          <w:tcPr>
            <w:tcW w:w="1354"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c>
          <w:tcPr>
            <w:tcW w:w="1174" w:type="dxa"/>
            <w:noWrap w:val="0"/>
            <w:vAlign w:val="top"/>
          </w:tcPr>
          <w:p>
            <w:pPr>
              <w:jc w:val="center"/>
              <w:rPr>
                <w:rFonts w:ascii="宋体" w:hAnsi="宋体" w:hint="eastAsia"/>
                <w:szCs w:val="21"/>
              </w:rPr>
            </w:pPr>
            <w:r>
              <w:rPr>
                <w:rFonts w:ascii="宋体" w:hAnsi="宋体" w:hint="eastAsia"/>
                <w:szCs w:val="21"/>
              </w:rPr>
              <w:t>7</w:t>
            </w:r>
          </w:p>
        </w:tc>
        <w:tc>
          <w:tcPr>
            <w:tcW w:w="2126" w:type="dxa"/>
            <w:noWrap w:val="0"/>
            <w:vAlign w:val="top"/>
          </w:tcPr>
          <w:p>
            <w:pPr>
              <w:jc w:val="center"/>
              <w:rPr>
                <w:rFonts w:ascii="宋体" w:hAnsi="宋体" w:hint="eastAsia"/>
                <w:szCs w:val="21"/>
              </w:rPr>
            </w:pPr>
            <w:r>
              <w:rPr>
                <w:rFonts w:ascii="宋体" w:hAnsi="宋体" w:hint="eastAsia"/>
                <w:szCs w:val="21"/>
              </w:rPr>
              <w:t>排气温度（冷却后）</w:t>
            </w:r>
          </w:p>
        </w:tc>
        <w:tc>
          <w:tcPr>
            <w:tcW w:w="4594" w:type="dxa"/>
            <w:noWrap w:val="0"/>
            <w:vAlign w:val="top"/>
          </w:tcPr>
          <w:p>
            <w:pPr>
              <w:jc w:val="center"/>
              <w:rPr>
                <w:rFonts w:ascii="宋体" w:hAnsi="宋体" w:hint="eastAsia"/>
                <w:szCs w:val="21"/>
              </w:rPr>
            </w:pPr>
            <w:r>
              <w:rPr>
                <w:rFonts w:ascii="宋体" w:hAnsi="宋体" w:hint="eastAsia"/>
                <w:szCs w:val="21"/>
              </w:rPr>
              <w:t>不高于环境温度15℃</w:t>
            </w:r>
          </w:p>
        </w:tc>
        <w:tc>
          <w:tcPr>
            <w:tcW w:w="1354" w:type="dxa"/>
            <w:noWrap w:val="0"/>
            <w:vAlign w:val="top"/>
          </w:tcPr>
          <w:p>
            <w:pPr>
              <w:jc w:val="center"/>
              <w:rPr>
                <w:rFonts w:ascii="宋体" w:hAnsi="宋体" w:hint="eastAsia"/>
                <w:szCs w:val="21"/>
              </w:rPr>
            </w:pPr>
          </w:p>
        </w:tc>
      </w:tr>
    </w:tbl>
    <w:p>
      <w:pPr>
        <w:sectPr>
          <w:headerReference w:type="default" r:id="rId17"/>
          <w:footerReference w:type="default" r:id="rId18"/>
          <w:type w:val="nextPage"/>
          <w:pgSz w:w="11906" w:h="16838"/>
          <w:pgMar w:top="1134" w:right="1588" w:bottom="1418" w:left="1134" w:header="851" w:footer="992" w:gutter="0"/>
          <w:pgNumType w:start="56"/>
          <w:cols w:num="1" w:space="720"/>
          <w:titlePg w:val="0"/>
          <w:docGrid w:type="lines" w:linePitch="290" w:charSpace="0"/>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174"/>
        <w:gridCol w:w="2126"/>
        <w:gridCol w:w="4594"/>
        <w:gridCol w:w="1354"/>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174" w:type="dxa"/>
            <w:noWrap w:val="0"/>
            <w:vAlign w:val="top"/>
          </w:tcPr>
          <w:p>
            <w:pPr>
              <w:jc w:val="center"/>
              <w:rPr>
                <w:rFonts w:ascii="宋体" w:hAnsi="宋体" w:hint="eastAsia"/>
                <w:szCs w:val="21"/>
              </w:rPr>
            </w:pPr>
            <w:r>
              <w:rPr>
                <w:rFonts w:ascii="宋体" w:hAnsi="宋体" w:hint="eastAsia"/>
                <w:szCs w:val="21"/>
              </w:rPr>
              <w:t>8</w:t>
            </w:r>
          </w:p>
        </w:tc>
        <w:tc>
          <w:tcPr>
            <w:tcW w:w="2126" w:type="dxa"/>
            <w:noWrap w:val="0"/>
            <w:vAlign w:val="top"/>
          </w:tcPr>
          <w:p>
            <w:pPr>
              <w:jc w:val="center"/>
              <w:rPr>
                <w:rFonts w:ascii="宋体" w:hAnsi="宋体" w:hint="eastAsia"/>
                <w:szCs w:val="21"/>
              </w:rPr>
            </w:pPr>
            <w:r>
              <w:rPr>
                <w:rFonts w:ascii="宋体" w:hAnsi="宋体" w:hint="eastAsia"/>
                <w:szCs w:val="21"/>
              </w:rPr>
              <w:t>排气压力</w:t>
            </w:r>
          </w:p>
        </w:tc>
        <w:tc>
          <w:tcPr>
            <w:tcW w:w="4594" w:type="dxa"/>
            <w:noWrap w:val="0"/>
            <w:vAlign w:val="top"/>
          </w:tcPr>
          <w:p>
            <w:pPr>
              <w:jc w:val="center"/>
              <w:rPr>
                <w:rFonts w:ascii="宋体" w:hAnsi="宋体" w:hint="eastAsia"/>
                <w:szCs w:val="21"/>
              </w:rPr>
            </w:pPr>
            <w:r>
              <w:rPr>
                <w:rFonts w:ascii="宋体" w:hAnsi="宋体" w:hint="eastAsia"/>
                <w:szCs w:val="21"/>
              </w:rPr>
              <w:t>25MPa（表压）</w:t>
            </w:r>
          </w:p>
        </w:tc>
        <w:tc>
          <w:tcPr>
            <w:tcW w:w="1354"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c>
          <w:tcPr>
            <w:tcW w:w="1174" w:type="dxa"/>
            <w:noWrap w:val="0"/>
            <w:vAlign w:val="top"/>
          </w:tcPr>
          <w:p>
            <w:pPr>
              <w:jc w:val="center"/>
              <w:rPr>
                <w:rFonts w:ascii="宋体" w:hAnsi="宋体" w:hint="eastAsia"/>
                <w:szCs w:val="21"/>
              </w:rPr>
            </w:pPr>
            <w:r>
              <w:rPr>
                <w:rFonts w:ascii="宋体" w:hAnsi="宋体" w:hint="eastAsia"/>
                <w:szCs w:val="21"/>
              </w:rPr>
              <w:t>9</w:t>
            </w:r>
          </w:p>
        </w:tc>
        <w:tc>
          <w:tcPr>
            <w:tcW w:w="2126" w:type="dxa"/>
            <w:noWrap w:val="0"/>
            <w:vAlign w:val="top"/>
          </w:tcPr>
          <w:p>
            <w:pPr>
              <w:jc w:val="center"/>
              <w:rPr>
                <w:rFonts w:ascii="宋体" w:hAnsi="宋体" w:hint="eastAsia"/>
                <w:szCs w:val="21"/>
              </w:rPr>
            </w:pPr>
            <w:r>
              <w:rPr>
                <w:rFonts w:ascii="宋体" w:hAnsi="宋体" w:hint="eastAsia"/>
                <w:szCs w:val="21"/>
              </w:rPr>
              <w:t>压缩级数</w:t>
            </w:r>
          </w:p>
        </w:tc>
        <w:tc>
          <w:tcPr>
            <w:tcW w:w="4594" w:type="dxa"/>
            <w:noWrap w:val="0"/>
            <w:vAlign w:val="top"/>
          </w:tcPr>
          <w:p>
            <w:pPr>
              <w:jc w:val="center"/>
              <w:rPr>
                <w:rFonts w:ascii="宋体" w:hAnsi="宋体" w:hint="eastAsia"/>
                <w:szCs w:val="21"/>
              </w:rPr>
            </w:pPr>
            <w:r>
              <w:rPr>
                <w:rFonts w:ascii="宋体" w:hAnsi="宋体" w:hint="eastAsia"/>
                <w:szCs w:val="21"/>
              </w:rPr>
              <w:t>2级</w:t>
            </w:r>
          </w:p>
        </w:tc>
        <w:tc>
          <w:tcPr>
            <w:tcW w:w="1354"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c>
          <w:tcPr>
            <w:tcW w:w="1174" w:type="dxa"/>
            <w:noWrap w:val="0"/>
            <w:vAlign w:val="top"/>
          </w:tcPr>
          <w:p>
            <w:pPr>
              <w:jc w:val="center"/>
              <w:rPr>
                <w:rFonts w:ascii="宋体" w:hAnsi="宋体" w:hint="eastAsia"/>
                <w:szCs w:val="21"/>
              </w:rPr>
            </w:pPr>
            <w:r>
              <w:rPr>
                <w:rFonts w:ascii="宋体" w:hAnsi="宋体" w:hint="eastAsia"/>
                <w:szCs w:val="21"/>
              </w:rPr>
              <w:t>10</w:t>
            </w:r>
          </w:p>
        </w:tc>
        <w:tc>
          <w:tcPr>
            <w:tcW w:w="2126" w:type="dxa"/>
            <w:noWrap w:val="0"/>
            <w:vAlign w:val="top"/>
          </w:tcPr>
          <w:p>
            <w:pPr>
              <w:jc w:val="center"/>
              <w:rPr>
                <w:rFonts w:ascii="宋体" w:hAnsi="宋体" w:hint="eastAsia"/>
                <w:szCs w:val="21"/>
              </w:rPr>
            </w:pPr>
            <w:r>
              <w:rPr>
                <w:rFonts w:ascii="宋体" w:hAnsi="宋体" w:hint="eastAsia"/>
                <w:szCs w:val="21"/>
              </w:rPr>
              <w:t>供气量</w:t>
            </w:r>
          </w:p>
        </w:tc>
        <w:tc>
          <w:tcPr>
            <w:tcW w:w="4594" w:type="dxa"/>
            <w:noWrap w:val="0"/>
            <w:vAlign w:val="top"/>
          </w:tcPr>
          <w:p>
            <w:pPr>
              <w:jc w:val="center"/>
              <w:rPr>
                <w:rFonts w:ascii="宋体" w:hAnsi="宋体" w:hint="eastAsia"/>
                <w:szCs w:val="21"/>
              </w:rPr>
            </w:pPr>
            <w:r>
              <w:rPr>
                <w:rFonts w:ascii="宋体" w:hAnsi="宋体" w:hint="eastAsia"/>
                <w:szCs w:val="21"/>
              </w:rPr>
              <w:t>550～2000m</w:t>
            </w:r>
            <w:r>
              <w:rPr>
                <w:rFonts w:ascii="宋体" w:hAnsi="宋体" w:hint="eastAsia"/>
                <w:szCs w:val="21"/>
                <w:vertAlign w:val="superscript"/>
              </w:rPr>
              <w:t>3</w:t>
            </w:r>
            <w:r>
              <w:rPr>
                <w:rFonts w:ascii="宋体" w:hAnsi="宋体" w:hint="eastAsia"/>
                <w:szCs w:val="21"/>
              </w:rPr>
              <w:t>/h</w:t>
            </w:r>
          </w:p>
        </w:tc>
        <w:tc>
          <w:tcPr>
            <w:tcW w:w="1354"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c>
          <w:tcPr>
            <w:tcW w:w="1174" w:type="dxa"/>
            <w:noWrap w:val="0"/>
            <w:vAlign w:val="top"/>
          </w:tcPr>
          <w:p>
            <w:pPr>
              <w:jc w:val="center"/>
              <w:rPr>
                <w:rFonts w:ascii="宋体" w:hAnsi="宋体" w:hint="eastAsia"/>
                <w:szCs w:val="21"/>
              </w:rPr>
            </w:pPr>
            <w:r>
              <w:rPr>
                <w:rFonts w:ascii="宋体" w:hAnsi="宋体" w:hint="eastAsia"/>
                <w:szCs w:val="21"/>
              </w:rPr>
              <w:t>11</w:t>
            </w:r>
          </w:p>
        </w:tc>
        <w:tc>
          <w:tcPr>
            <w:tcW w:w="2126" w:type="dxa"/>
            <w:noWrap w:val="0"/>
            <w:vAlign w:val="top"/>
          </w:tcPr>
          <w:p>
            <w:pPr>
              <w:jc w:val="center"/>
              <w:rPr>
                <w:rFonts w:ascii="宋体" w:hAnsi="宋体" w:hint="eastAsia"/>
                <w:szCs w:val="21"/>
              </w:rPr>
            </w:pPr>
            <w:r>
              <w:rPr>
                <w:rFonts w:ascii="宋体" w:hAnsi="宋体" w:hint="eastAsia"/>
                <w:szCs w:val="21"/>
              </w:rPr>
              <w:t>传动方式</w:t>
            </w:r>
          </w:p>
        </w:tc>
        <w:tc>
          <w:tcPr>
            <w:tcW w:w="4594" w:type="dxa"/>
            <w:noWrap w:val="0"/>
            <w:vAlign w:val="top"/>
          </w:tcPr>
          <w:p>
            <w:pPr>
              <w:jc w:val="center"/>
              <w:rPr>
                <w:rFonts w:ascii="宋体" w:hAnsi="宋体" w:hint="eastAsia"/>
                <w:szCs w:val="21"/>
              </w:rPr>
            </w:pPr>
            <w:r>
              <w:rPr>
                <w:rFonts w:ascii="宋体" w:hAnsi="宋体" w:hint="eastAsia"/>
                <w:szCs w:val="21"/>
              </w:rPr>
              <w:t>弹性联动器直接驱动</w:t>
            </w:r>
          </w:p>
        </w:tc>
        <w:tc>
          <w:tcPr>
            <w:tcW w:w="1354"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c>
          <w:tcPr>
            <w:tcW w:w="1174" w:type="dxa"/>
            <w:noWrap w:val="0"/>
            <w:vAlign w:val="top"/>
          </w:tcPr>
          <w:p>
            <w:pPr>
              <w:jc w:val="center"/>
              <w:rPr>
                <w:rFonts w:ascii="宋体" w:hAnsi="宋体" w:hint="eastAsia"/>
                <w:szCs w:val="21"/>
              </w:rPr>
            </w:pPr>
            <w:r>
              <w:rPr>
                <w:rFonts w:ascii="宋体" w:hAnsi="宋体" w:hint="eastAsia"/>
                <w:szCs w:val="21"/>
              </w:rPr>
              <w:t>12</w:t>
            </w:r>
          </w:p>
        </w:tc>
        <w:tc>
          <w:tcPr>
            <w:tcW w:w="2126" w:type="dxa"/>
            <w:noWrap w:val="0"/>
            <w:vAlign w:val="top"/>
          </w:tcPr>
          <w:p>
            <w:pPr>
              <w:jc w:val="center"/>
              <w:rPr>
                <w:rFonts w:ascii="宋体" w:hAnsi="宋体" w:hint="eastAsia"/>
                <w:szCs w:val="21"/>
              </w:rPr>
            </w:pPr>
            <w:r>
              <w:rPr>
                <w:rFonts w:ascii="宋体" w:hAnsi="宋体" w:hint="eastAsia"/>
                <w:szCs w:val="21"/>
              </w:rPr>
              <w:t>压缩机转速</w:t>
            </w:r>
          </w:p>
        </w:tc>
        <w:tc>
          <w:tcPr>
            <w:tcW w:w="4594" w:type="dxa"/>
            <w:noWrap w:val="0"/>
            <w:vAlign w:val="top"/>
          </w:tcPr>
          <w:p>
            <w:pPr>
              <w:jc w:val="center"/>
              <w:rPr>
                <w:rFonts w:ascii="宋体" w:hAnsi="宋体" w:hint="eastAsia"/>
                <w:szCs w:val="21"/>
              </w:rPr>
            </w:pPr>
            <w:r>
              <w:rPr>
                <w:rFonts w:ascii="宋体" w:hAnsi="宋体" w:hint="eastAsia"/>
                <w:szCs w:val="21"/>
              </w:rPr>
              <w:t>740r/min</w:t>
            </w:r>
          </w:p>
        </w:tc>
        <w:tc>
          <w:tcPr>
            <w:tcW w:w="1354"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c>
          <w:tcPr>
            <w:tcW w:w="1174" w:type="dxa"/>
            <w:noWrap w:val="0"/>
            <w:vAlign w:val="top"/>
          </w:tcPr>
          <w:p>
            <w:pPr>
              <w:jc w:val="center"/>
              <w:rPr>
                <w:rFonts w:ascii="宋体" w:hAnsi="宋体" w:hint="eastAsia"/>
                <w:szCs w:val="21"/>
              </w:rPr>
            </w:pPr>
            <w:r>
              <w:rPr>
                <w:rFonts w:ascii="宋体" w:hAnsi="宋体" w:hint="eastAsia"/>
                <w:szCs w:val="21"/>
              </w:rPr>
              <w:t>13</w:t>
            </w:r>
          </w:p>
        </w:tc>
        <w:tc>
          <w:tcPr>
            <w:tcW w:w="2126" w:type="dxa"/>
            <w:noWrap w:val="0"/>
            <w:vAlign w:val="top"/>
          </w:tcPr>
          <w:p>
            <w:pPr>
              <w:jc w:val="center"/>
              <w:rPr>
                <w:rFonts w:ascii="宋体" w:hAnsi="宋体" w:hint="eastAsia"/>
                <w:szCs w:val="21"/>
              </w:rPr>
            </w:pPr>
            <w:r>
              <w:rPr>
                <w:rFonts w:ascii="宋体" w:hAnsi="宋体" w:hint="eastAsia"/>
                <w:szCs w:val="21"/>
              </w:rPr>
              <w:t>电机功率</w:t>
            </w:r>
          </w:p>
        </w:tc>
        <w:tc>
          <w:tcPr>
            <w:tcW w:w="4594" w:type="dxa"/>
            <w:noWrap w:val="0"/>
            <w:vAlign w:val="top"/>
          </w:tcPr>
          <w:p>
            <w:pPr>
              <w:jc w:val="center"/>
              <w:rPr>
                <w:rFonts w:ascii="宋体" w:hAnsi="宋体" w:hint="eastAsia"/>
                <w:szCs w:val="21"/>
              </w:rPr>
            </w:pPr>
            <w:r>
              <w:rPr>
                <w:rFonts w:ascii="宋体" w:hAnsi="宋体" w:hint="eastAsia"/>
                <w:szCs w:val="21"/>
              </w:rPr>
              <w:t>90KW</w:t>
            </w:r>
          </w:p>
        </w:tc>
        <w:tc>
          <w:tcPr>
            <w:tcW w:w="1354" w:type="dxa"/>
            <w:noWrap w:val="0"/>
            <w:vAlign w:val="top"/>
          </w:tcPr>
          <w:p>
            <w:pPr>
              <w:jc w:val="center"/>
              <w:rPr>
                <w:rFonts w:ascii="宋体" w:hAnsi="宋体" w:hint="eastAsia"/>
                <w:szCs w:val="21"/>
              </w:rPr>
            </w:pPr>
          </w:p>
        </w:tc>
      </w:tr>
    </w:tbl>
    <w:p>
      <w:pPr>
        <w:pStyle w:val="Heading3"/>
        <w:rPr>
          <w:rFonts w:hint="eastAsia"/>
          <w:sz w:val="28"/>
          <w:szCs w:val="28"/>
        </w:rPr>
      </w:pPr>
      <w:bookmarkStart w:id="41" w:name="_Toc25244"/>
      <w:bookmarkStart w:id="42" w:name="_Toc359868148"/>
      <w:r>
        <w:rPr>
          <w:rFonts w:hint="eastAsia"/>
          <w:sz w:val="28"/>
          <w:szCs w:val="28"/>
        </w:rPr>
        <w:t>3.3.2储气设施</w:t>
      </w:r>
      <w:bookmarkEnd w:id="41"/>
      <w:bookmarkEnd w:id="42"/>
    </w:p>
    <w:p>
      <w:pPr>
        <w:ind w:firstLine="570"/>
        <w:textAlignment w:val="baseline"/>
        <w:rPr>
          <w:rFonts w:hint="eastAsia"/>
          <w:sz w:val="28"/>
        </w:rPr>
      </w:pPr>
      <w:r>
        <w:rPr>
          <w:rFonts w:ascii="宋体" w:hAnsi="宋体" w:hint="eastAsia"/>
          <w:sz w:val="28"/>
        </w:rPr>
        <w:t>加气站储气设施主要有储气瓶组、储气罐和地下储气瓶。井式储气装置采用石油钻井技术，其技术符合SY/T6535-2002行业标准的储气瓶专用套管连接接入地下，并用耐高压专用密封脂进行密封，实行全井段水泥封固成型。储气瓶组具有以下优点：投资省、占地面积小、建设周期短、操作简单、运行安全可靠等特点。</w:t>
      </w:r>
    </w:p>
    <w:p>
      <w:pPr>
        <w:pStyle w:val="Heading3"/>
        <w:rPr>
          <w:rFonts w:hint="eastAsia"/>
          <w:sz w:val="28"/>
          <w:szCs w:val="28"/>
        </w:rPr>
      </w:pPr>
      <w:bookmarkStart w:id="43" w:name="_Toc359868149"/>
      <w:bookmarkStart w:id="44" w:name="_Toc6252"/>
      <w:r>
        <w:rPr>
          <w:rFonts w:hint="eastAsia"/>
          <w:sz w:val="28"/>
          <w:szCs w:val="28"/>
        </w:rPr>
        <w:t>3.3.</w:t>
      </w:r>
      <w:bookmarkEnd w:id="43"/>
      <w:r>
        <w:rPr>
          <w:rFonts w:hint="eastAsia"/>
          <w:sz w:val="28"/>
          <w:szCs w:val="28"/>
        </w:rPr>
        <w:t>3加气机</w:t>
      </w:r>
      <w:bookmarkEnd w:id="44"/>
    </w:p>
    <w:p>
      <w:pPr>
        <w:ind w:firstLine="570"/>
        <w:textAlignment w:val="baseline"/>
        <w:rPr>
          <w:rFonts w:ascii="宋体" w:hAnsi="宋体" w:hint="eastAsia"/>
          <w:sz w:val="28"/>
        </w:rPr>
      </w:pPr>
      <w:r>
        <w:rPr>
          <w:rFonts w:ascii="宋体" w:hAnsi="宋体" w:hint="eastAsia"/>
          <w:sz w:val="28"/>
        </w:rPr>
        <w:t>加气机采用国产加气机，其特点如下：</w:t>
      </w:r>
    </w:p>
    <w:p>
      <w:pPr>
        <w:ind w:firstLine="570"/>
        <w:textAlignment w:val="baseline"/>
        <w:rPr>
          <w:rFonts w:ascii="宋体" w:hAnsi="宋体" w:hint="eastAsia"/>
          <w:sz w:val="28"/>
        </w:rPr>
      </w:pPr>
      <w:r>
        <w:rPr>
          <w:rFonts w:ascii="宋体" w:hAnsi="宋体" w:hint="eastAsia"/>
          <w:sz w:val="28"/>
        </w:rPr>
        <w:t>⑴悬挂式拉断阀，可使CNG车辆在任意位置拉断。</w:t>
      </w:r>
    </w:p>
    <w:p>
      <w:pPr>
        <w:ind w:firstLine="570"/>
        <w:textAlignment w:val="baseline"/>
        <w:rPr>
          <w:rFonts w:ascii="宋体" w:hAnsi="宋体" w:hint="eastAsia"/>
          <w:sz w:val="28"/>
        </w:rPr>
      </w:pPr>
      <w:r>
        <w:rPr>
          <w:rFonts w:ascii="宋体" w:hAnsi="宋体" w:hint="eastAsia"/>
          <w:sz w:val="28"/>
        </w:rPr>
        <w:t>⑵机器工作状态（指示灯）自动显示。</w:t>
      </w:r>
    </w:p>
    <w:p>
      <w:pPr>
        <w:ind w:firstLine="573"/>
        <w:textAlignment w:val="baseline"/>
        <w:rPr>
          <w:rFonts w:ascii="宋体" w:hAnsi="宋体" w:hint="eastAsia"/>
          <w:sz w:val="28"/>
        </w:rPr>
      </w:pPr>
      <w:r>
        <w:rPr>
          <w:rFonts w:ascii="宋体" w:hAnsi="宋体" w:hint="eastAsia"/>
          <w:sz w:val="28"/>
        </w:rPr>
        <w:t>⑶IC卡加气自动结算，同步小票打印，网络管理报表自动生成。</w:t>
      </w:r>
    </w:p>
    <w:p>
      <w:pPr>
        <w:ind w:firstLine="573"/>
        <w:textAlignment w:val="baseline"/>
        <w:rPr>
          <w:rFonts w:ascii="宋体" w:hAnsi="宋体" w:hint="eastAsia"/>
          <w:sz w:val="28"/>
        </w:rPr>
      </w:pPr>
      <w:r>
        <w:rPr>
          <w:rFonts w:ascii="宋体" w:hAnsi="宋体" w:hint="eastAsia"/>
          <w:sz w:val="28"/>
        </w:rPr>
        <w:t>⑷密度、单价、累计量等参数设置采用了电子锁及密码双重保护，为加气站数据提供安全保证。</w:t>
      </w:r>
    </w:p>
    <w:p>
      <w:pPr>
        <w:ind w:firstLine="573"/>
        <w:textAlignment w:val="baseline"/>
        <w:rPr>
          <w:rFonts w:ascii="宋体" w:hAnsi="宋体" w:hint="eastAsia"/>
          <w:sz w:val="28"/>
        </w:rPr>
      </w:pPr>
      <w:r>
        <w:rPr>
          <w:rFonts w:ascii="宋体" w:hAnsi="宋体" w:hint="eastAsia"/>
          <w:sz w:val="28"/>
        </w:rPr>
        <w:t>⑸用大通径、大扭矩进口气动阀门，其密封性好，动作准确可靠，使用寿命长，故障率低。</w:t>
      </w:r>
    </w:p>
    <w:p>
      <w:pPr>
        <w:ind w:firstLine="573"/>
        <w:textAlignment w:val="baseline"/>
        <w:rPr>
          <w:rFonts w:ascii="宋体" w:hAnsi="宋体" w:hint="eastAsia"/>
          <w:sz w:val="28"/>
        </w:rPr>
      </w:pPr>
      <w:r>
        <w:rPr>
          <w:rFonts w:ascii="宋体" w:hAnsi="宋体" w:hint="eastAsia"/>
          <w:sz w:val="28"/>
        </w:rPr>
        <w:t>⑹进口气动阀门配合进口空气过滤减压器，对仪表风进行过滤及压力阀调整，经维护和延长气动阀使用寿命。</w:t>
      </w:r>
    </w:p>
    <w:p>
      <w:pPr>
        <w:ind w:firstLine="573"/>
        <w:textAlignment w:val="baseline"/>
        <w:rPr>
          <w:rFonts w:ascii="宋体" w:hAnsi="宋体" w:hint="eastAsia"/>
          <w:sz w:val="28"/>
        </w:rPr>
        <w:sectPr>
          <w:headerReference w:type="default" r:id="rId19"/>
          <w:footerReference w:type="default" r:id="rId20"/>
          <w:type w:val="nextPage"/>
          <w:pgSz w:w="11906" w:h="16838"/>
          <w:pgMar w:top="1134" w:right="1588" w:bottom="1418" w:left="1134" w:header="851" w:footer="992" w:gutter="0"/>
          <w:pgNumType w:start="57"/>
          <w:cols w:num="1" w:space="720"/>
          <w:titlePg w:val="0"/>
          <w:docGrid w:type="lines" w:linePitch="290" w:charSpace="0"/>
        </w:sectPr>
      </w:pPr>
      <w:r>
        <w:rPr>
          <w:rFonts w:ascii="宋体" w:hAnsi="宋体" w:hint="eastAsia"/>
          <w:sz w:val="28"/>
        </w:rPr>
        <w:t>⑺采用进口CNG加气机专用质量流量计，确保加气机能够准确计量的稳定工作，加气机主要技术参数见表1-3。</w:t>
      </w:r>
    </w:p>
    <w:p>
      <w:pPr>
        <w:textAlignment w:val="baseline"/>
        <w:rPr>
          <w:rFonts w:ascii="宋体" w:hAnsi="宋体" w:hint="eastAsia"/>
          <w:sz w:val="28"/>
        </w:rPr>
      </w:pPr>
    </w:p>
    <w:p>
      <w:pPr>
        <w:ind w:firstLine="560" w:firstLineChars="200"/>
        <w:rPr>
          <w:b/>
          <w:sz w:val="28"/>
          <w:szCs w:val="28"/>
        </w:rPr>
      </w:pPr>
      <w:r>
        <w:rPr>
          <w:rFonts w:hAnsi="宋体"/>
          <w:b/>
          <w:sz w:val="28"/>
          <w:szCs w:val="28"/>
        </w:rPr>
        <w:t>表</w:t>
      </w:r>
      <w:r>
        <w:rPr>
          <w:rFonts w:hint="eastAsia"/>
          <w:b/>
          <w:sz w:val="28"/>
          <w:szCs w:val="28"/>
        </w:rPr>
        <w:t>1</w:t>
      </w:r>
      <w:r>
        <w:rPr>
          <w:b/>
          <w:sz w:val="28"/>
          <w:szCs w:val="28"/>
        </w:rPr>
        <w:t xml:space="preserve">-3             </w:t>
      </w:r>
      <w:r>
        <w:rPr>
          <w:rFonts w:hAnsi="宋体"/>
          <w:b/>
          <w:sz w:val="28"/>
          <w:szCs w:val="28"/>
        </w:rPr>
        <w:t>加气机主要技术参数表</w:t>
      </w:r>
      <w:r>
        <w:rPr>
          <w:b/>
          <w:sz w:val="28"/>
          <w:szCs w:val="28"/>
        </w:rPr>
        <w:t xml:space="preserve"> </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004"/>
        <w:gridCol w:w="2331"/>
        <w:gridCol w:w="4842"/>
        <w:gridCol w:w="1203"/>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序号</w:t>
            </w:r>
          </w:p>
        </w:tc>
        <w:tc>
          <w:tcPr>
            <w:tcW w:w="2331" w:type="dxa"/>
            <w:noWrap w:val="0"/>
            <w:vAlign w:val="top"/>
          </w:tcPr>
          <w:p>
            <w:pPr>
              <w:jc w:val="center"/>
              <w:rPr>
                <w:rFonts w:ascii="宋体" w:hAnsi="宋体" w:hint="eastAsia"/>
                <w:szCs w:val="21"/>
              </w:rPr>
            </w:pPr>
            <w:r>
              <w:rPr>
                <w:rFonts w:ascii="宋体" w:hAnsi="宋体" w:hint="eastAsia"/>
                <w:szCs w:val="21"/>
              </w:rPr>
              <w:t>项目</w:t>
            </w:r>
          </w:p>
        </w:tc>
        <w:tc>
          <w:tcPr>
            <w:tcW w:w="4842" w:type="dxa"/>
            <w:noWrap w:val="0"/>
            <w:vAlign w:val="top"/>
          </w:tcPr>
          <w:p>
            <w:pPr>
              <w:jc w:val="center"/>
              <w:rPr>
                <w:rFonts w:ascii="宋体" w:hAnsi="宋体" w:hint="eastAsia"/>
                <w:szCs w:val="21"/>
              </w:rPr>
            </w:pPr>
            <w:r>
              <w:rPr>
                <w:rFonts w:ascii="宋体" w:hAnsi="宋体" w:hint="eastAsia"/>
                <w:szCs w:val="21"/>
              </w:rPr>
              <w:t>技术参数</w:t>
            </w:r>
          </w:p>
        </w:tc>
        <w:tc>
          <w:tcPr>
            <w:tcW w:w="1203" w:type="dxa"/>
            <w:noWrap w:val="0"/>
            <w:vAlign w:val="top"/>
          </w:tcPr>
          <w:p>
            <w:pPr>
              <w:jc w:val="center"/>
              <w:rPr>
                <w:rFonts w:ascii="宋体" w:hAnsi="宋体" w:hint="eastAsia"/>
                <w:szCs w:val="21"/>
              </w:rPr>
            </w:pPr>
            <w:r>
              <w:rPr>
                <w:rFonts w:ascii="宋体" w:hAnsi="宋体" w:hint="eastAsia"/>
                <w:szCs w:val="21"/>
              </w:rPr>
              <w:t>备注</w:t>
            </w: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w:t>
            </w:r>
          </w:p>
        </w:tc>
        <w:tc>
          <w:tcPr>
            <w:tcW w:w="2331" w:type="dxa"/>
            <w:noWrap w:val="0"/>
            <w:vAlign w:val="top"/>
          </w:tcPr>
          <w:p>
            <w:pPr>
              <w:jc w:val="center"/>
              <w:rPr>
                <w:rFonts w:ascii="宋体" w:hAnsi="宋体" w:hint="eastAsia"/>
                <w:szCs w:val="21"/>
              </w:rPr>
            </w:pPr>
            <w:r>
              <w:rPr>
                <w:rFonts w:ascii="宋体" w:hAnsi="宋体" w:hint="eastAsia"/>
                <w:szCs w:val="21"/>
              </w:rPr>
              <w:t>型号</w:t>
            </w:r>
          </w:p>
        </w:tc>
        <w:tc>
          <w:tcPr>
            <w:tcW w:w="4842" w:type="dxa"/>
            <w:noWrap w:val="0"/>
            <w:vAlign w:val="top"/>
          </w:tcPr>
          <w:p>
            <w:pPr>
              <w:jc w:val="center"/>
              <w:rPr>
                <w:rFonts w:ascii="宋体" w:hAnsi="宋体" w:hint="eastAsia"/>
                <w:szCs w:val="21"/>
              </w:rPr>
            </w:pPr>
            <w:r>
              <w:rPr>
                <w:rFonts w:ascii="宋体" w:hAnsi="宋体" w:hint="eastAsia"/>
                <w:szCs w:val="21"/>
              </w:rPr>
              <w:t>HQHP-JQJ-30-IV-L</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2</w:t>
            </w:r>
          </w:p>
        </w:tc>
        <w:tc>
          <w:tcPr>
            <w:tcW w:w="2331" w:type="dxa"/>
            <w:noWrap w:val="0"/>
            <w:vAlign w:val="top"/>
          </w:tcPr>
          <w:p>
            <w:pPr>
              <w:jc w:val="center"/>
              <w:rPr>
                <w:rFonts w:ascii="宋体" w:hAnsi="宋体" w:hint="eastAsia"/>
                <w:szCs w:val="21"/>
              </w:rPr>
            </w:pPr>
            <w:r>
              <w:rPr>
                <w:rFonts w:ascii="宋体" w:hAnsi="宋体" w:hint="eastAsia"/>
                <w:szCs w:val="21"/>
              </w:rPr>
              <w:t>数量</w:t>
            </w:r>
          </w:p>
        </w:tc>
        <w:tc>
          <w:tcPr>
            <w:tcW w:w="4842" w:type="dxa"/>
            <w:noWrap w:val="0"/>
            <w:vAlign w:val="top"/>
          </w:tcPr>
          <w:p>
            <w:pPr>
              <w:jc w:val="center"/>
              <w:rPr>
                <w:rFonts w:ascii="宋体" w:hAnsi="宋体" w:hint="eastAsia"/>
                <w:szCs w:val="21"/>
              </w:rPr>
            </w:pPr>
            <w:r>
              <w:rPr>
                <w:rFonts w:ascii="宋体" w:hAnsi="宋体" w:hint="eastAsia"/>
                <w:szCs w:val="21"/>
                <w:lang w:val="en-US" w:eastAsia="zh-CN"/>
              </w:rPr>
              <w:t>3</w:t>
            </w:r>
            <w:r>
              <w:rPr>
                <w:rFonts w:ascii="宋体" w:hAnsi="宋体" w:hint="eastAsia"/>
                <w:szCs w:val="21"/>
              </w:rPr>
              <w:t>台</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3</w:t>
            </w:r>
          </w:p>
        </w:tc>
        <w:tc>
          <w:tcPr>
            <w:tcW w:w="2331" w:type="dxa"/>
            <w:noWrap w:val="0"/>
            <w:vAlign w:val="top"/>
          </w:tcPr>
          <w:p>
            <w:pPr>
              <w:jc w:val="center"/>
              <w:rPr>
                <w:rFonts w:ascii="宋体" w:hAnsi="宋体" w:hint="eastAsia"/>
                <w:szCs w:val="21"/>
              </w:rPr>
            </w:pPr>
            <w:r>
              <w:rPr>
                <w:rFonts w:ascii="宋体" w:hAnsi="宋体" w:hint="eastAsia"/>
                <w:szCs w:val="21"/>
              </w:rPr>
              <w:t>额定工作压力</w:t>
            </w:r>
          </w:p>
        </w:tc>
        <w:tc>
          <w:tcPr>
            <w:tcW w:w="4842" w:type="dxa"/>
            <w:noWrap w:val="0"/>
            <w:vAlign w:val="top"/>
          </w:tcPr>
          <w:p>
            <w:pPr>
              <w:jc w:val="center"/>
              <w:rPr>
                <w:rFonts w:ascii="宋体" w:hAnsi="宋体" w:hint="eastAsia"/>
                <w:szCs w:val="21"/>
              </w:rPr>
            </w:pPr>
            <w:r>
              <w:rPr>
                <w:rFonts w:ascii="宋体" w:hAnsi="宋体" w:hint="eastAsia"/>
                <w:szCs w:val="21"/>
              </w:rPr>
              <w:t>20MPa</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4</w:t>
            </w:r>
          </w:p>
        </w:tc>
        <w:tc>
          <w:tcPr>
            <w:tcW w:w="2331" w:type="dxa"/>
            <w:noWrap w:val="0"/>
            <w:vAlign w:val="top"/>
          </w:tcPr>
          <w:p>
            <w:pPr>
              <w:jc w:val="center"/>
              <w:rPr>
                <w:rFonts w:ascii="宋体" w:hAnsi="宋体" w:hint="eastAsia"/>
                <w:szCs w:val="21"/>
              </w:rPr>
            </w:pPr>
            <w:r>
              <w:rPr>
                <w:rFonts w:ascii="宋体" w:hAnsi="宋体" w:hint="eastAsia"/>
                <w:szCs w:val="21"/>
              </w:rPr>
              <w:t>最大工作压力</w:t>
            </w:r>
          </w:p>
        </w:tc>
        <w:tc>
          <w:tcPr>
            <w:tcW w:w="4842" w:type="dxa"/>
            <w:noWrap w:val="0"/>
            <w:vAlign w:val="top"/>
          </w:tcPr>
          <w:p>
            <w:pPr>
              <w:jc w:val="center"/>
              <w:rPr>
                <w:rFonts w:ascii="宋体" w:hAnsi="宋体" w:hint="eastAsia"/>
                <w:szCs w:val="21"/>
              </w:rPr>
            </w:pPr>
            <w:r>
              <w:rPr>
                <w:rFonts w:ascii="宋体" w:hAnsi="宋体" w:hint="eastAsia"/>
                <w:szCs w:val="21"/>
              </w:rPr>
              <w:t>25MPa</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5</w:t>
            </w:r>
          </w:p>
        </w:tc>
        <w:tc>
          <w:tcPr>
            <w:tcW w:w="2331" w:type="dxa"/>
            <w:noWrap w:val="0"/>
            <w:vAlign w:val="top"/>
          </w:tcPr>
          <w:p>
            <w:pPr>
              <w:jc w:val="center"/>
              <w:rPr>
                <w:rFonts w:ascii="宋体" w:hAnsi="宋体" w:hint="eastAsia"/>
                <w:szCs w:val="21"/>
              </w:rPr>
            </w:pPr>
            <w:r>
              <w:rPr>
                <w:rFonts w:ascii="宋体" w:hAnsi="宋体" w:hint="eastAsia"/>
                <w:szCs w:val="21"/>
              </w:rPr>
              <w:t>设计压力</w:t>
            </w:r>
          </w:p>
        </w:tc>
        <w:tc>
          <w:tcPr>
            <w:tcW w:w="4842" w:type="dxa"/>
            <w:noWrap w:val="0"/>
            <w:vAlign w:val="top"/>
          </w:tcPr>
          <w:p>
            <w:pPr>
              <w:jc w:val="center"/>
              <w:rPr>
                <w:rFonts w:ascii="宋体" w:hAnsi="宋体" w:hint="eastAsia"/>
                <w:szCs w:val="21"/>
              </w:rPr>
            </w:pPr>
            <w:r>
              <w:rPr>
                <w:rFonts w:ascii="宋体" w:hAnsi="宋体" w:hint="eastAsia"/>
                <w:szCs w:val="21"/>
              </w:rPr>
              <w:t>27.5MPa</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6</w:t>
            </w:r>
          </w:p>
        </w:tc>
        <w:tc>
          <w:tcPr>
            <w:tcW w:w="2331" w:type="dxa"/>
            <w:noWrap w:val="0"/>
            <w:vAlign w:val="top"/>
          </w:tcPr>
          <w:p>
            <w:pPr>
              <w:jc w:val="center"/>
              <w:rPr>
                <w:rFonts w:ascii="宋体" w:hAnsi="宋体" w:hint="eastAsia"/>
                <w:szCs w:val="21"/>
              </w:rPr>
            </w:pPr>
            <w:r>
              <w:rPr>
                <w:rFonts w:ascii="宋体" w:hAnsi="宋体" w:hint="eastAsia"/>
                <w:szCs w:val="21"/>
              </w:rPr>
              <w:t>耐压强度</w:t>
            </w:r>
          </w:p>
        </w:tc>
        <w:tc>
          <w:tcPr>
            <w:tcW w:w="4842" w:type="dxa"/>
            <w:noWrap w:val="0"/>
            <w:vAlign w:val="top"/>
          </w:tcPr>
          <w:p>
            <w:pPr>
              <w:jc w:val="center"/>
              <w:rPr>
                <w:rFonts w:ascii="宋体" w:hAnsi="宋体" w:hint="eastAsia"/>
                <w:szCs w:val="21"/>
              </w:rPr>
            </w:pPr>
            <w:r>
              <w:rPr>
                <w:rFonts w:ascii="宋体" w:hAnsi="宋体" w:hint="eastAsia"/>
                <w:szCs w:val="21"/>
              </w:rPr>
              <w:t>37.5MPa</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7</w:t>
            </w:r>
          </w:p>
        </w:tc>
        <w:tc>
          <w:tcPr>
            <w:tcW w:w="2331" w:type="dxa"/>
            <w:noWrap w:val="0"/>
            <w:vAlign w:val="top"/>
          </w:tcPr>
          <w:p>
            <w:pPr>
              <w:jc w:val="center"/>
              <w:rPr>
                <w:rFonts w:ascii="宋体" w:hAnsi="宋体" w:hint="eastAsia"/>
                <w:szCs w:val="21"/>
              </w:rPr>
            </w:pPr>
            <w:r>
              <w:rPr>
                <w:rFonts w:ascii="宋体" w:hAnsi="宋体" w:hint="eastAsia"/>
                <w:szCs w:val="21"/>
              </w:rPr>
              <w:t>流量范围</w:t>
            </w:r>
          </w:p>
        </w:tc>
        <w:tc>
          <w:tcPr>
            <w:tcW w:w="4842" w:type="dxa"/>
            <w:noWrap w:val="0"/>
            <w:vAlign w:val="top"/>
          </w:tcPr>
          <w:p>
            <w:pPr>
              <w:jc w:val="center"/>
              <w:rPr>
                <w:rFonts w:ascii="宋体" w:hAnsi="宋体" w:hint="eastAsia"/>
                <w:szCs w:val="21"/>
              </w:rPr>
            </w:pPr>
            <w:r>
              <w:rPr>
                <w:rFonts w:ascii="宋体" w:hAnsi="宋体" w:hint="eastAsia"/>
                <w:szCs w:val="21"/>
              </w:rPr>
              <w:t>2～30m</w:t>
            </w:r>
            <w:r>
              <w:rPr>
                <w:rFonts w:ascii="宋体" w:hAnsi="宋体" w:hint="eastAsia"/>
                <w:szCs w:val="21"/>
                <w:vertAlign w:val="superscript"/>
              </w:rPr>
              <w:t>3</w:t>
            </w:r>
            <w:r>
              <w:rPr>
                <w:rFonts w:ascii="宋体" w:hAnsi="宋体" w:hint="eastAsia"/>
                <w:szCs w:val="21"/>
              </w:rPr>
              <w:t>/min</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8</w:t>
            </w:r>
          </w:p>
        </w:tc>
        <w:tc>
          <w:tcPr>
            <w:tcW w:w="2331" w:type="dxa"/>
            <w:noWrap w:val="0"/>
            <w:vAlign w:val="top"/>
          </w:tcPr>
          <w:p>
            <w:pPr>
              <w:jc w:val="center"/>
              <w:rPr>
                <w:rFonts w:ascii="宋体" w:hAnsi="宋体" w:hint="eastAsia"/>
                <w:szCs w:val="21"/>
              </w:rPr>
            </w:pPr>
            <w:r>
              <w:rPr>
                <w:rFonts w:ascii="宋体" w:hAnsi="宋体" w:hint="eastAsia"/>
                <w:szCs w:val="21"/>
              </w:rPr>
              <w:t>计量精度</w:t>
            </w:r>
          </w:p>
        </w:tc>
        <w:tc>
          <w:tcPr>
            <w:tcW w:w="4842" w:type="dxa"/>
            <w:noWrap w:val="0"/>
            <w:vAlign w:val="top"/>
          </w:tcPr>
          <w:p>
            <w:pPr>
              <w:jc w:val="center"/>
              <w:rPr>
                <w:rFonts w:ascii="宋体" w:hAnsi="宋体" w:hint="eastAsia"/>
                <w:szCs w:val="21"/>
              </w:rPr>
            </w:pPr>
            <w:r>
              <w:rPr>
                <w:rFonts w:ascii="宋体" w:hAnsi="宋体" w:hint="eastAsia"/>
                <w:szCs w:val="21"/>
              </w:rPr>
              <w:t>±0.5%</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9</w:t>
            </w:r>
          </w:p>
        </w:tc>
        <w:tc>
          <w:tcPr>
            <w:tcW w:w="2331" w:type="dxa"/>
            <w:noWrap w:val="0"/>
            <w:vAlign w:val="top"/>
          </w:tcPr>
          <w:p>
            <w:pPr>
              <w:jc w:val="center"/>
              <w:rPr>
                <w:rFonts w:ascii="宋体" w:hAnsi="宋体" w:hint="eastAsia"/>
                <w:szCs w:val="21"/>
              </w:rPr>
            </w:pPr>
            <w:r>
              <w:rPr>
                <w:rFonts w:ascii="宋体" w:hAnsi="宋体" w:hint="eastAsia"/>
                <w:szCs w:val="21"/>
              </w:rPr>
              <w:t>环境温度</w:t>
            </w:r>
          </w:p>
        </w:tc>
        <w:tc>
          <w:tcPr>
            <w:tcW w:w="4842" w:type="dxa"/>
            <w:noWrap w:val="0"/>
            <w:vAlign w:val="top"/>
          </w:tcPr>
          <w:p>
            <w:pPr>
              <w:jc w:val="center"/>
              <w:rPr>
                <w:rFonts w:ascii="宋体" w:hAnsi="宋体"/>
                <w:szCs w:val="21"/>
              </w:rPr>
            </w:pPr>
            <w:r>
              <w:rPr>
                <w:rFonts w:ascii="宋体" w:hAnsi="宋体"/>
                <w:szCs w:val="21"/>
              </w:rPr>
              <w:t>-</w:t>
            </w:r>
            <w:r>
              <w:rPr>
                <w:rFonts w:ascii="宋体" w:hAnsi="宋体" w:hint="eastAsia"/>
                <w:szCs w:val="21"/>
              </w:rPr>
              <w:t>30</w:t>
            </w:r>
            <w:r>
              <w:rPr>
                <w:rFonts w:ascii="宋体" w:hAnsi="宋体"/>
                <w:szCs w:val="21"/>
              </w:rPr>
              <w:t>℃～+50℃</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10</w:t>
            </w:r>
          </w:p>
        </w:tc>
        <w:tc>
          <w:tcPr>
            <w:tcW w:w="2331" w:type="dxa"/>
            <w:noWrap w:val="0"/>
            <w:vAlign w:val="top"/>
          </w:tcPr>
          <w:p>
            <w:pPr>
              <w:jc w:val="center"/>
              <w:rPr>
                <w:rFonts w:ascii="宋体" w:hAnsi="宋体" w:hint="eastAsia"/>
                <w:szCs w:val="21"/>
              </w:rPr>
            </w:pPr>
            <w:r>
              <w:rPr>
                <w:rFonts w:ascii="宋体" w:hAnsi="宋体" w:hint="eastAsia"/>
                <w:szCs w:val="21"/>
              </w:rPr>
              <w:t>单次计量范围</w:t>
            </w:r>
          </w:p>
        </w:tc>
        <w:tc>
          <w:tcPr>
            <w:tcW w:w="4842" w:type="dxa"/>
            <w:noWrap w:val="0"/>
            <w:vAlign w:val="top"/>
          </w:tcPr>
          <w:p>
            <w:pPr>
              <w:jc w:val="center"/>
              <w:rPr>
                <w:rFonts w:ascii="宋体" w:hAnsi="宋体" w:hint="eastAsia"/>
                <w:szCs w:val="21"/>
              </w:rPr>
            </w:pPr>
            <w:r>
              <w:rPr>
                <w:rFonts w:ascii="宋体" w:hAnsi="宋体" w:hint="eastAsia"/>
                <w:szCs w:val="21"/>
              </w:rPr>
              <w:t>0</w:t>
            </w:r>
            <w:r>
              <w:rPr>
                <w:rFonts w:ascii="宋体" w:hAnsi="宋体"/>
                <w:szCs w:val="21"/>
              </w:rPr>
              <w:t>～</w:t>
            </w:r>
            <w:r>
              <w:rPr>
                <w:rFonts w:ascii="宋体" w:hAnsi="宋体" w:hint="eastAsia"/>
                <w:szCs w:val="21"/>
              </w:rPr>
              <w:t>9999.99m</w:t>
            </w:r>
            <w:r>
              <w:rPr>
                <w:rFonts w:ascii="宋体" w:hAnsi="宋体" w:hint="eastAsia"/>
                <w:szCs w:val="21"/>
                <w:vertAlign w:val="superscript"/>
              </w:rPr>
              <w:t>3</w:t>
            </w:r>
            <w:r>
              <w:rPr>
                <w:rFonts w:ascii="宋体" w:hAnsi="宋体" w:hint="eastAsia"/>
                <w:szCs w:val="21"/>
              </w:rPr>
              <w:t>或元</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11</w:t>
            </w:r>
          </w:p>
        </w:tc>
        <w:tc>
          <w:tcPr>
            <w:tcW w:w="2331" w:type="dxa"/>
            <w:noWrap w:val="0"/>
            <w:vAlign w:val="top"/>
          </w:tcPr>
          <w:p>
            <w:pPr>
              <w:jc w:val="center"/>
              <w:rPr>
                <w:rFonts w:ascii="宋体" w:hAnsi="宋体" w:hint="eastAsia"/>
                <w:szCs w:val="21"/>
              </w:rPr>
            </w:pPr>
            <w:r>
              <w:rPr>
                <w:rFonts w:ascii="宋体" w:hAnsi="宋体" w:hint="eastAsia"/>
                <w:szCs w:val="21"/>
              </w:rPr>
              <w:t>累计计量范围</w:t>
            </w:r>
          </w:p>
        </w:tc>
        <w:tc>
          <w:tcPr>
            <w:tcW w:w="4842" w:type="dxa"/>
            <w:noWrap w:val="0"/>
            <w:vAlign w:val="top"/>
          </w:tcPr>
          <w:p>
            <w:pPr>
              <w:jc w:val="center"/>
              <w:rPr>
                <w:rFonts w:ascii="宋体" w:hAnsi="宋体" w:hint="eastAsia"/>
                <w:szCs w:val="21"/>
              </w:rPr>
            </w:pPr>
            <w:r>
              <w:rPr>
                <w:rFonts w:ascii="宋体" w:hAnsi="宋体" w:hint="eastAsia"/>
                <w:szCs w:val="21"/>
              </w:rPr>
              <w:t>0</w:t>
            </w:r>
            <w:r>
              <w:rPr>
                <w:rFonts w:ascii="宋体" w:hAnsi="宋体"/>
                <w:szCs w:val="21"/>
              </w:rPr>
              <w:t>～</w:t>
            </w:r>
            <w:r>
              <w:rPr>
                <w:rFonts w:ascii="宋体" w:hAnsi="宋体" w:hint="eastAsia"/>
                <w:szCs w:val="21"/>
              </w:rPr>
              <w:t>999999.99m</w:t>
            </w:r>
            <w:r>
              <w:rPr>
                <w:rFonts w:ascii="宋体" w:hAnsi="宋体" w:hint="eastAsia"/>
                <w:szCs w:val="21"/>
                <w:vertAlign w:val="superscript"/>
              </w:rPr>
              <w:t>3</w:t>
            </w:r>
            <w:r>
              <w:rPr>
                <w:rFonts w:ascii="宋体" w:hAnsi="宋体" w:hint="eastAsia"/>
                <w:szCs w:val="21"/>
              </w:rPr>
              <w:t>或元</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12</w:t>
            </w:r>
          </w:p>
        </w:tc>
        <w:tc>
          <w:tcPr>
            <w:tcW w:w="2331" w:type="dxa"/>
            <w:noWrap w:val="0"/>
            <w:vAlign w:val="top"/>
          </w:tcPr>
          <w:p>
            <w:pPr>
              <w:jc w:val="center"/>
              <w:rPr>
                <w:rFonts w:ascii="宋体" w:hAnsi="宋体" w:hint="eastAsia"/>
                <w:szCs w:val="21"/>
              </w:rPr>
            </w:pPr>
            <w:r>
              <w:rPr>
                <w:rFonts w:ascii="宋体" w:hAnsi="宋体" w:hint="eastAsia"/>
                <w:szCs w:val="21"/>
              </w:rPr>
              <w:t>单价预制范围</w:t>
            </w:r>
          </w:p>
        </w:tc>
        <w:tc>
          <w:tcPr>
            <w:tcW w:w="4842" w:type="dxa"/>
            <w:noWrap w:val="0"/>
            <w:vAlign w:val="top"/>
          </w:tcPr>
          <w:p>
            <w:pPr>
              <w:jc w:val="center"/>
              <w:rPr>
                <w:rFonts w:ascii="宋体" w:hAnsi="宋体" w:hint="eastAsia"/>
                <w:szCs w:val="21"/>
              </w:rPr>
            </w:pPr>
            <w:r>
              <w:rPr>
                <w:rFonts w:ascii="宋体" w:hAnsi="宋体" w:hint="eastAsia"/>
                <w:szCs w:val="21"/>
              </w:rPr>
              <w:t>0.01</w:t>
            </w:r>
            <w:r>
              <w:rPr>
                <w:rFonts w:ascii="宋体" w:hAnsi="宋体"/>
                <w:szCs w:val="21"/>
              </w:rPr>
              <w:t>～</w:t>
            </w:r>
            <w:r>
              <w:rPr>
                <w:rFonts w:ascii="宋体" w:hAnsi="宋体" w:hint="eastAsia"/>
                <w:szCs w:val="21"/>
              </w:rPr>
              <w:t>99.99元/m</w:t>
            </w:r>
            <w:r>
              <w:rPr>
                <w:rFonts w:ascii="宋体" w:hAnsi="宋体" w:hint="eastAsia"/>
                <w:szCs w:val="21"/>
                <w:vertAlign w:val="superscript"/>
              </w:rPr>
              <w:t>3</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13</w:t>
            </w:r>
          </w:p>
        </w:tc>
        <w:tc>
          <w:tcPr>
            <w:tcW w:w="2331" w:type="dxa"/>
            <w:noWrap w:val="0"/>
            <w:vAlign w:val="top"/>
          </w:tcPr>
          <w:p>
            <w:pPr>
              <w:jc w:val="center"/>
              <w:rPr>
                <w:rFonts w:ascii="宋体" w:hAnsi="宋体" w:hint="eastAsia"/>
                <w:szCs w:val="21"/>
              </w:rPr>
            </w:pPr>
            <w:r>
              <w:rPr>
                <w:rFonts w:ascii="宋体" w:hAnsi="宋体" w:hint="eastAsia"/>
                <w:szCs w:val="21"/>
              </w:rPr>
              <w:t>密度预制范围</w:t>
            </w:r>
          </w:p>
        </w:tc>
        <w:tc>
          <w:tcPr>
            <w:tcW w:w="4842" w:type="dxa"/>
            <w:noWrap w:val="0"/>
            <w:vAlign w:val="top"/>
          </w:tcPr>
          <w:p>
            <w:pPr>
              <w:jc w:val="center"/>
              <w:rPr>
                <w:rFonts w:ascii="宋体" w:hAnsi="宋体" w:hint="eastAsia"/>
                <w:szCs w:val="21"/>
              </w:rPr>
            </w:pPr>
            <w:r>
              <w:rPr>
                <w:rFonts w:ascii="宋体" w:hAnsi="宋体" w:hint="eastAsia"/>
                <w:szCs w:val="21"/>
              </w:rPr>
              <w:t>0.0001</w:t>
            </w:r>
            <w:r>
              <w:rPr>
                <w:rFonts w:ascii="宋体" w:hAnsi="宋体"/>
                <w:szCs w:val="21"/>
              </w:rPr>
              <w:t>～</w:t>
            </w:r>
            <w:r>
              <w:rPr>
                <w:rFonts w:ascii="宋体" w:hAnsi="宋体" w:hint="eastAsia"/>
                <w:szCs w:val="21"/>
              </w:rPr>
              <w:t>0.9999</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14</w:t>
            </w:r>
          </w:p>
        </w:tc>
        <w:tc>
          <w:tcPr>
            <w:tcW w:w="2331" w:type="dxa"/>
            <w:noWrap w:val="0"/>
            <w:vAlign w:val="top"/>
          </w:tcPr>
          <w:p>
            <w:pPr>
              <w:jc w:val="center"/>
              <w:rPr>
                <w:rFonts w:ascii="宋体" w:hAnsi="宋体" w:hint="eastAsia"/>
                <w:szCs w:val="21"/>
              </w:rPr>
            </w:pPr>
            <w:r>
              <w:rPr>
                <w:rFonts w:ascii="宋体" w:hAnsi="宋体" w:hint="eastAsia"/>
                <w:szCs w:val="21"/>
              </w:rPr>
              <w:t>读数最小分度值</w:t>
            </w:r>
          </w:p>
        </w:tc>
        <w:tc>
          <w:tcPr>
            <w:tcW w:w="4842" w:type="dxa"/>
            <w:noWrap w:val="0"/>
            <w:vAlign w:val="top"/>
          </w:tcPr>
          <w:p>
            <w:pPr>
              <w:jc w:val="center"/>
              <w:rPr>
                <w:rFonts w:ascii="宋体" w:hAnsi="宋体" w:hint="eastAsia"/>
                <w:szCs w:val="21"/>
              </w:rPr>
            </w:pPr>
            <w:r>
              <w:rPr>
                <w:rFonts w:ascii="宋体" w:hAnsi="宋体" w:hint="eastAsia"/>
                <w:szCs w:val="21"/>
              </w:rPr>
              <w:t>0.01m</w:t>
            </w:r>
            <w:r>
              <w:rPr>
                <w:rFonts w:ascii="宋体" w:hAnsi="宋体" w:hint="eastAsia"/>
                <w:szCs w:val="21"/>
                <w:vertAlign w:val="superscript"/>
              </w:rPr>
              <w:t>3</w:t>
            </w:r>
            <w:r>
              <w:rPr>
                <w:rFonts w:ascii="宋体" w:hAnsi="宋体" w:hint="eastAsia"/>
                <w:szCs w:val="21"/>
              </w:rPr>
              <w:t>；0.01元</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15</w:t>
            </w:r>
          </w:p>
        </w:tc>
        <w:tc>
          <w:tcPr>
            <w:tcW w:w="2331" w:type="dxa"/>
            <w:noWrap w:val="0"/>
            <w:vAlign w:val="top"/>
          </w:tcPr>
          <w:p>
            <w:pPr>
              <w:jc w:val="center"/>
              <w:rPr>
                <w:rFonts w:ascii="宋体" w:hAnsi="宋体" w:hint="eastAsia"/>
                <w:szCs w:val="21"/>
              </w:rPr>
            </w:pPr>
            <w:r>
              <w:rPr>
                <w:rFonts w:ascii="宋体" w:hAnsi="宋体" w:hint="eastAsia"/>
                <w:szCs w:val="21"/>
              </w:rPr>
              <w:t>电源</w:t>
            </w:r>
          </w:p>
        </w:tc>
        <w:tc>
          <w:tcPr>
            <w:tcW w:w="4842" w:type="dxa"/>
            <w:noWrap w:val="0"/>
            <w:vAlign w:val="top"/>
          </w:tcPr>
          <w:p>
            <w:pPr>
              <w:jc w:val="center"/>
              <w:rPr>
                <w:rFonts w:ascii="宋体" w:hAnsi="宋体" w:hint="eastAsia"/>
                <w:szCs w:val="21"/>
              </w:rPr>
            </w:pPr>
            <w:r>
              <w:rPr>
                <w:rFonts w:ascii="宋体" w:hAnsi="宋体" w:hint="eastAsia"/>
                <w:szCs w:val="21"/>
              </w:rPr>
              <w:t>220V±15% 50HZ±1HZ</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16</w:t>
            </w:r>
          </w:p>
        </w:tc>
        <w:tc>
          <w:tcPr>
            <w:tcW w:w="2331" w:type="dxa"/>
            <w:noWrap w:val="0"/>
            <w:vAlign w:val="top"/>
          </w:tcPr>
          <w:p>
            <w:pPr>
              <w:jc w:val="center"/>
              <w:rPr>
                <w:rFonts w:ascii="宋体" w:hAnsi="宋体" w:hint="eastAsia"/>
                <w:szCs w:val="21"/>
              </w:rPr>
            </w:pPr>
            <w:r>
              <w:rPr>
                <w:rFonts w:ascii="宋体" w:hAnsi="宋体" w:hint="eastAsia"/>
                <w:szCs w:val="21"/>
              </w:rPr>
              <w:t>功率</w:t>
            </w:r>
          </w:p>
        </w:tc>
        <w:tc>
          <w:tcPr>
            <w:tcW w:w="4842" w:type="dxa"/>
            <w:noWrap w:val="0"/>
            <w:vAlign w:val="top"/>
          </w:tcPr>
          <w:p>
            <w:pPr>
              <w:jc w:val="center"/>
              <w:rPr>
                <w:rFonts w:ascii="宋体" w:hAnsi="宋体" w:hint="eastAsia"/>
                <w:szCs w:val="21"/>
              </w:rPr>
            </w:pPr>
            <w:r>
              <w:rPr>
                <w:rFonts w:ascii="宋体" w:hAnsi="宋体" w:hint="eastAsia"/>
                <w:szCs w:val="21"/>
              </w:rPr>
              <w:t>&lt;200W</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17</w:t>
            </w:r>
          </w:p>
        </w:tc>
        <w:tc>
          <w:tcPr>
            <w:tcW w:w="2331" w:type="dxa"/>
            <w:noWrap w:val="0"/>
            <w:vAlign w:val="top"/>
          </w:tcPr>
          <w:p>
            <w:pPr>
              <w:jc w:val="center"/>
              <w:rPr>
                <w:rFonts w:ascii="宋体" w:hAnsi="宋体" w:hint="eastAsia"/>
                <w:szCs w:val="21"/>
              </w:rPr>
            </w:pPr>
            <w:r>
              <w:rPr>
                <w:rFonts w:ascii="宋体" w:hAnsi="宋体" w:hint="eastAsia"/>
                <w:szCs w:val="21"/>
              </w:rPr>
              <w:t>主管线</w:t>
            </w:r>
          </w:p>
        </w:tc>
        <w:tc>
          <w:tcPr>
            <w:tcW w:w="4842" w:type="dxa"/>
            <w:noWrap w:val="0"/>
            <w:vAlign w:val="top"/>
          </w:tcPr>
          <w:p>
            <w:pPr>
              <w:jc w:val="center"/>
              <w:rPr>
                <w:rFonts w:ascii="宋体" w:hAnsi="宋体" w:hint="eastAsia"/>
                <w:szCs w:val="21"/>
              </w:rPr>
            </w:pPr>
            <w:r>
              <w:rPr>
                <w:rFonts w:ascii="宋体" w:hAnsi="宋体" w:hint="eastAsia"/>
                <w:szCs w:val="21"/>
              </w:rPr>
              <w:t>Φ10X2</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18</w:t>
            </w:r>
          </w:p>
        </w:tc>
        <w:tc>
          <w:tcPr>
            <w:tcW w:w="2331" w:type="dxa"/>
            <w:noWrap w:val="0"/>
            <w:vAlign w:val="top"/>
          </w:tcPr>
          <w:p>
            <w:pPr>
              <w:jc w:val="center"/>
              <w:rPr>
                <w:rFonts w:ascii="宋体" w:hAnsi="宋体" w:hint="eastAsia"/>
                <w:szCs w:val="21"/>
              </w:rPr>
            </w:pPr>
            <w:r>
              <w:rPr>
                <w:rFonts w:ascii="宋体" w:hAnsi="宋体" w:hint="eastAsia"/>
                <w:szCs w:val="21"/>
              </w:rPr>
              <w:t>计量方式</w:t>
            </w:r>
          </w:p>
        </w:tc>
        <w:tc>
          <w:tcPr>
            <w:tcW w:w="4842" w:type="dxa"/>
            <w:noWrap w:val="0"/>
            <w:vAlign w:val="top"/>
          </w:tcPr>
          <w:p>
            <w:pPr>
              <w:jc w:val="center"/>
              <w:rPr>
                <w:rFonts w:ascii="宋体" w:hAnsi="宋体" w:hint="eastAsia"/>
                <w:szCs w:val="21"/>
              </w:rPr>
            </w:pPr>
            <w:r>
              <w:rPr>
                <w:rFonts w:ascii="宋体" w:hAnsi="宋体" w:hint="eastAsia"/>
                <w:szCs w:val="21"/>
              </w:rPr>
              <w:t>自动计量带夜光显示</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19</w:t>
            </w:r>
          </w:p>
        </w:tc>
        <w:tc>
          <w:tcPr>
            <w:tcW w:w="2331" w:type="dxa"/>
            <w:noWrap w:val="0"/>
            <w:vAlign w:val="top"/>
          </w:tcPr>
          <w:p>
            <w:pPr>
              <w:jc w:val="center"/>
              <w:rPr>
                <w:rFonts w:ascii="宋体" w:hAnsi="宋体" w:hint="eastAsia"/>
                <w:szCs w:val="21"/>
              </w:rPr>
            </w:pPr>
            <w:r>
              <w:rPr>
                <w:rFonts w:ascii="宋体" w:hAnsi="宋体" w:hint="eastAsia"/>
                <w:szCs w:val="21"/>
              </w:rPr>
              <w:t>防爆等级</w:t>
            </w:r>
          </w:p>
        </w:tc>
        <w:tc>
          <w:tcPr>
            <w:tcW w:w="4842" w:type="dxa"/>
            <w:noWrap w:val="0"/>
            <w:vAlign w:val="top"/>
          </w:tcPr>
          <w:p>
            <w:pPr>
              <w:jc w:val="center"/>
              <w:rPr>
                <w:rFonts w:ascii="宋体" w:hAnsi="宋体" w:hint="eastAsia"/>
                <w:szCs w:val="21"/>
              </w:rPr>
            </w:pPr>
            <w:r>
              <w:rPr>
                <w:rFonts w:ascii="宋体" w:hAnsi="宋体" w:hint="eastAsia"/>
                <w:szCs w:val="21"/>
              </w:rPr>
              <w:t>ExdemibⅡAT4</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20</w:t>
            </w:r>
          </w:p>
        </w:tc>
        <w:tc>
          <w:tcPr>
            <w:tcW w:w="2331" w:type="dxa"/>
            <w:noWrap w:val="0"/>
            <w:vAlign w:val="top"/>
          </w:tcPr>
          <w:p>
            <w:pPr>
              <w:jc w:val="center"/>
              <w:rPr>
                <w:rFonts w:ascii="宋体" w:hAnsi="宋体" w:hint="eastAsia"/>
                <w:szCs w:val="21"/>
              </w:rPr>
            </w:pPr>
            <w:r>
              <w:rPr>
                <w:rFonts w:ascii="宋体" w:hAnsi="宋体" w:hint="eastAsia"/>
                <w:szCs w:val="21"/>
              </w:rPr>
              <w:t>质量流量计</w:t>
            </w:r>
          </w:p>
        </w:tc>
        <w:tc>
          <w:tcPr>
            <w:tcW w:w="4842" w:type="dxa"/>
            <w:noWrap w:val="0"/>
            <w:vAlign w:val="top"/>
          </w:tcPr>
          <w:p>
            <w:pPr>
              <w:jc w:val="center"/>
              <w:rPr>
                <w:rFonts w:ascii="宋体" w:hAnsi="宋体" w:hint="eastAsia"/>
                <w:szCs w:val="21"/>
              </w:rPr>
            </w:pPr>
            <w:r>
              <w:rPr>
                <w:rFonts w:ascii="宋体" w:hAnsi="宋体" w:hint="eastAsia"/>
                <w:szCs w:val="21"/>
              </w:rPr>
              <w:t>进口产品并带有温度传感器进行补偿</w:t>
            </w:r>
          </w:p>
        </w:tc>
        <w:tc>
          <w:tcPr>
            <w:tcW w:w="1203" w:type="dxa"/>
            <w:noWrap w:val="0"/>
            <w:vAlign w:val="top"/>
          </w:tcPr>
          <w:p>
            <w:pPr>
              <w:jc w:val="center"/>
              <w:rPr>
                <w:rFonts w:ascii="宋体" w:hAnsi="宋体" w:hint="eastAsia"/>
                <w:szCs w:val="21"/>
              </w:rPr>
            </w:pPr>
          </w:p>
        </w:tc>
      </w:tr>
    </w:tbl>
    <w:p>
      <w:pPr>
        <w:pStyle w:val="Heading3"/>
        <w:rPr>
          <w:rFonts w:hint="eastAsia"/>
          <w:sz w:val="28"/>
          <w:szCs w:val="28"/>
        </w:rPr>
      </w:pPr>
      <w:bookmarkStart w:id="45" w:name="_Toc359868150"/>
      <w:bookmarkStart w:id="46" w:name="_Toc15303"/>
      <w:r>
        <w:rPr>
          <w:rFonts w:hint="eastAsia"/>
          <w:sz w:val="28"/>
          <w:szCs w:val="28"/>
        </w:rPr>
        <w:t>3.3.4卸气柱</w:t>
      </w:r>
      <w:bookmarkEnd w:id="45"/>
      <w:bookmarkEnd w:id="46"/>
    </w:p>
    <w:p>
      <w:pPr>
        <w:ind w:firstLine="570"/>
        <w:rPr>
          <w:rFonts w:ascii="宋体" w:hAnsi="宋体" w:hint="eastAsia"/>
          <w:sz w:val="28"/>
        </w:rPr>
      </w:pPr>
      <w:r>
        <w:rPr>
          <w:rFonts w:ascii="宋体" w:hAnsi="宋体" w:hint="eastAsia"/>
          <w:sz w:val="28"/>
        </w:rPr>
        <w:t>子站设置一台卸气柱，采用国产卸气柱，主要技术参数见表1-4。</w:t>
      </w:r>
    </w:p>
    <w:p>
      <w:pPr>
        <w:ind w:firstLine="570"/>
        <w:rPr>
          <w:rFonts w:hint="eastAsia"/>
          <w:b/>
          <w:sz w:val="28"/>
        </w:rPr>
      </w:pPr>
      <w:r>
        <w:rPr>
          <w:rFonts w:hint="eastAsia"/>
          <w:b/>
          <w:sz w:val="28"/>
        </w:rPr>
        <w:t>表1-4              卸气柱主要技术参数表</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004"/>
        <w:gridCol w:w="2331"/>
        <w:gridCol w:w="4842"/>
        <w:gridCol w:w="1203"/>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序号</w:t>
            </w:r>
          </w:p>
        </w:tc>
        <w:tc>
          <w:tcPr>
            <w:tcW w:w="2331" w:type="dxa"/>
            <w:noWrap w:val="0"/>
            <w:vAlign w:val="top"/>
          </w:tcPr>
          <w:p>
            <w:pPr>
              <w:jc w:val="center"/>
              <w:rPr>
                <w:rFonts w:ascii="宋体" w:hAnsi="宋体" w:hint="eastAsia"/>
                <w:szCs w:val="21"/>
              </w:rPr>
            </w:pPr>
            <w:r>
              <w:rPr>
                <w:rFonts w:ascii="宋体" w:hAnsi="宋体" w:hint="eastAsia"/>
                <w:szCs w:val="21"/>
              </w:rPr>
              <w:t>项目</w:t>
            </w:r>
          </w:p>
        </w:tc>
        <w:tc>
          <w:tcPr>
            <w:tcW w:w="4842" w:type="dxa"/>
            <w:noWrap w:val="0"/>
            <w:vAlign w:val="top"/>
          </w:tcPr>
          <w:p>
            <w:pPr>
              <w:jc w:val="center"/>
              <w:rPr>
                <w:rFonts w:ascii="宋体" w:hAnsi="宋体" w:hint="eastAsia"/>
                <w:szCs w:val="21"/>
              </w:rPr>
            </w:pPr>
            <w:r>
              <w:rPr>
                <w:rFonts w:ascii="宋体" w:hAnsi="宋体" w:hint="eastAsia"/>
                <w:szCs w:val="21"/>
              </w:rPr>
              <w:t>技术参数</w:t>
            </w:r>
          </w:p>
        </w:tc>
        <w:tc>
          <w:tcPr>
            <w:tcW w:w="1203" w:type="dxa"/>
            <w:noWrap w:val="0"/>
            <w:vAlign w:val="top"/>
          </w:tcPr>
          <w:p>
            <w:pPr>
              <w:jc w:val="center"/>
              <w:rPr>
                <w:rFonts w:ascii="宋体" w:hAnsi="宋体" w:hint="eastAsia"/>
                <w:szCs w:val="21"/>
              </w:rPr>
            </w:pPr>
            <w:r>
              <w:rPr>
                <w:rFonts w:ascii="宋体" w:hAnsi="宋体" w:hint="eastAsia"/>
                <w:szCs w:val="21"/>
              </w:rPr>
              <w:t>备注</w:t>
            </w: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w:t>
            </w:r>
          </w:p>
        </w:tc>
        <w:tc>
          <w:tcPr>
            <w:tcW w:w="2331" w:type="dxa"/>
            <w:noWrap w:val="0"/>
            <w:vAlign w:val="top"/>
          </w:tcPr>
          <w:p>
            <w:pPr>
              <w:jc w:val="center"/>
              <w:rPr>
                <w:rFonts w:ascii="宋体" w:hAnsi="宋体" w:hint="eastAsia"/>
                <w:szCs w:val="21"/>
              </w:rPr>
            </w:pPr>
            <w:r>
              <w:rPr>
                <w:rFonts w:ascii="宋体" w:hAnsi="宋体" w:hint="eastAsia"/>
                <w:szCs w:val="21"/>
              </w:rPr>
              <w:t>数量</w:t>
            </w:r>
          </w:p>
        </w:tc>
        <w:tc>
          <w:tcPr>
            <w:tcW w:w="4842" w:type="dxa"/>
            <w:noWrap w:val="0"/>
            <w:vAlign w:val="top"/>
          </w:tcPr>
          <w:p>
            <w:pPr>
              <w:jc w:val="center"/>
              <w:rPr>
                <w:rFonts w:ascii="宋体" w:hAnsi="宋体" w:hint="eastAsia"/>
                <w:szCs w:val="21"/>
              </w:rPr>
            </w:pPr>
            <w:r>
              <w:rPr>
                <w:rFonts w:ascii="宋体" w:hAnsi="宋体" w:hint="eastAsia"/>
                <w:szCs w:val="21"/>
              </w:rPr>
              <w:t>1台</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2</w:t>
            </w:r>
          </w:p>
        </w:tc>
        <w:tc>
          <w:tcPr>
            <w:tcW w:w="2331" w:type="dxa"/>
            <w:noWrap w:val="0"/>
            <w:vAlign w:val="top"/>
          </w:tcPr>
          <w:p>
            <w:pPr>
              <w:jc w:val="center"/>
              <w:rPr>
                <w:rFonts w:ascii="宋体" w:hAnsi="宋体" w:hint="eastAsia"/>
                <w:szCs w:val="21"/>
              </w:rPr>
            </w:pPr>
            <w:r>
              <w:rPr>
                <w:rFonts w:ascii="宋体" w:hAnsi="宋体" w:hint="eastAsia"/>
                <w:szCs w:val="21"/>
              </w:rPr>
              <w:t>额定工作压力</w:t>
            </w:r>
          </w:p>
        </w:tc>
        <w:tc>
          <w:tcPr>
            <w:tcW w:w="4842" w:type="dxa"/>
            <w:noWrap w:val="0"/>
            <w:vAlign w:val="top"/>
          </w:tcPr>
          <w:p>
            <w:pPr>
              <w:jc w:val="center"/>
              <w:rPr>
                <w:rFonts w:ascii="宋体" w:hAnsi="宋体" w:hint="eastAsia"/>
                <w:szCs w:val="21"/>
              </w:rPr>
            </w:pPr>
            <w:r>
              <w:rPr>
                <w:rFonts w:ascii="宋体" w:hAnsi="宋体" w:hint="eastAsia"/>
                <w:szCs w:val="21"/>
              </w:rPr>
              <w:t>20MPa</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3</w:t>
            </w:r>
          </w:p>
        </w:tc>
        <w:tc>
          <w:tcPr>
            <w:tcW w:w="2331" w:type="dxa"/>
            <w:noWrap w:val="0"/>
            <w:vAlign w:val="top"/>
          </w:tcPr>
          <w:p>
            <w:pPr>
              <w:jc w:val="center"/>
              <w:rPr>
                <w:rFonts w:ascii="宋体" w:hAnsi="宋体" w:hint="eastAsia"/>
                <w:szCs w:val="21"/>
              </w:rPr>
            </w:pPr>
            <w:r>
              <w:rPr>
                <w:rFonts w:ascii="宋体" w:hAnsi="宋体" w:hint="eastAsia"/>
                <w:szCs w:val="21"/>
              </w:rPr>
              <w:t>最大工作压力</w:t>
            </w:r>
          </w:p>
        </w:tc>
        <w:tc>
          <w:tcPr>
            <w:tcW w:w="4842" w:type="dxa"/>
            <w:noWrap w:val="0"/>
            <w:vAlign w:val="top"/>
          </w:tcPr>
          <w:p>
            <w:pPr>
              <w:jc w:val="center"/>
              <w:rPr>
                <w:rFonts w:ascii="宋体" w:hAnsi="宋体" w:hint="eastAsia"/>
                <w:szCs w:val="21"/>
              </w:rPr>
            </w:pPr>
            <w:r>
              <w:rPr>
                <w:rFonts w:ascii="宋体" w:hAnsi="宋体" w:hint="eastAsia"/>
                <w:szCs w:val="21"/>
              </w:rPr>
              <w:t>25MPa</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4</w:t>
            </w:r>
          </w:p>
        </w:tc>
        <w:tc>
          <w:tcPr>
            <w:tcW w:w="2331" w:type="dxa"/>
            <w:noWrap w:val="0"/>
            <w:vAlign w:val="top"/>
          </w:tcPr>
          <w:p>
            <w:pPr>
              <w:jc w:val="center"/>
              <w:rPr>
                <w:rFonts w:ascii="宋体" w:hAnsi="宋体" w:hint="eastAsia"/>
                <w:szCs w:val="21"/>
              </w:rPr>
            </w:pPr>
            <w:r>
              <w:rPr>
                <w:rFonts w:ascii="宋体" w:hAnsi="宋体" w:hint="eastAsia"/>
                <w:szCs w:val="21"/>
              </w:rPr>
              <w:t>设计压力</w:t>
            </w:r>
          </w:p>
        </w:tc>
        <w:tc>
          <w:tcPr>
            <w:tcW w:w="4842" w:type="dxa"/>
            <w:noWrap w:val="0"/>
            <w:vAlign w:val="top"/>
          </w:tcPr>
          <w:p>
            <w:pPr>
              <w:jc w:val="center"/>
              <w:rPr>
                <w:rFonts w:ascii="宋体" w:hAnsi="宋体" w:hint="eastAsia"/>
                <w:szCs w:val="21"/>
              </w:rPr>
            </w:pPr>
            <w:r>
              <w:rPr>
                <w:rFonts w:ascii="宋体" w:hAnsi="宋体" w:hint="eastAsia"/>
                <w:szCs w:val="21"/>
              </w:rPr>
              <w:t>27.5MPa</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5</w:t>
            </w:r>
          </w:p>
        </w:tc>
        <w:tc>
          <w:tcPr>
            <w:tcW w:w="2331" w:type="dxa"/>
            <w:noWrap w:val="0"/>
            <w:vAlign w:val="top"/>
          </w:tcPr>
          <w:p>
            <w:pPr>
              <w:jc w:val="center"/>
              <w:rPr>
                <w:rFonts w:ascii="宋体" w:hAnsi="宋体" w:hint="eastAsia"/>
                <w:szCs w:val="21"/>
              </w:rPr>
            </w:pPr>
            <w:r>
              <w:rPr>
                <w:rFonts w:ascii="宋体" w:hAnsi="宋体" w:hint="eastAsia"/>
                <w:szCs w:val="21"/>
              </w:rPr>
              <w:t>耐压强度</w:t>
            </w:r>
          </w:p>
        </w:tc>
        <w:tc>
          <w:tcPr>
            <w:tcW w:w="4842" w:type="dxa"/>
            <w:noWrap w:val="0"/>
            <w:vAlign w:val="top"/>
          </w:tcPr>
          <w:p>
            <w:pPr>
              <w:jc w:val="center"/>
              <w:rPr>
                <w:rFonts w:ascii="宋体" w:hAnsi="宋体" w:hint="eastAsia"/>
                <w:szCs w:val="21"/>
              </w:rPr>
            </w:pPr>
            <w:r>
              <w:rPr>
                <w:rFonts w:ascii="宋体" w:hAnsi="宋体" w:hint="eastAsia"/>
                <w:szCs w:val="21"/>
              </w:rPr>
              <w:t>37.5MPa</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6</w:t>
            </w:r>
          </w:p>
        </w:tc>
        <w:tc>
          <w:tcPr>
            <w:tcW w:w="2331" w:type="dxa"/>
            <w:noWrap w:val="0"/>
            <w:vAlign w:val="top"/>
          </w:tcPr>
          <w:p>
            <w:pPr>
              <w:jc w:val="center"/>
              <w:rPr>
                <w:rFonts w:ascii="宋体" w:hAnsi="宋体" w:hint="eastAsia"/>
                <w:szCs w:val="21"/>
              </w:rPr>
            </w:pPr>
            <w:r>
              <w:rPr>
                <w:rFonts w:ascii="宋体" w:hAnsi="宋体" w:hint="eastAsia"/>
                <w:szCs w:val="21"/>
              </w:rPr>
              <w:t>最大流量</w:t>
            </w:r>
          </w:p>
        </w:tc>
        <w:tc>
          <w:tcPr>
            <w:tcW w:w="4842" w:type="dxa"/>
            <w:noWrap w:val="0"/>
            <w:vAlign w:val="top"/>
          </w:tcPr>
          <w:p>
            <w:pPr>
              <w:jc w:val="center"/>
              <w:rPr>
                <w:rFonts w:ascii="宋体" w:hAnsi="宋体" w:hint="eastAsia"/>
                <w:szCs w:val="21"/>
              </w:rPr>
            </w:pPr>
            <w:r>
              <w:rPr>
                <w:rFonts w:ascii="宋体" w:hAnsi="宋体" w:hint="eastAsia"/>
                <w:szCs w:val="21"/>
              </w:rPr>
              <w:t>5000m</w:t>
            </w:r>
            <w:r>
              <w:rPr>
                <w:rFonts w:ascii="宋体" w:hAnsi="宋体" w:hint="eastAsia"/>
                <w:szCs w:val="21"/>
                <w:vertAlign w:val="superscript"/>
              </w:rPr>
              <w:t>3</w:t>
            </w:r>
            <w:r>
              <w:rPr>
                <w:rFonts w:ascii="宋体" w:hAnsi="宋体" w:hint="eastAsia"/>
                <w:szCs w:val="21"/>
              </w:rPr>
              <w:t>/h</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7</w:t>
            </w:r>
          </w:p>
        </w:tc>
        <w:tc>
          <w:tcPr>
            <w:tcW w:w="2331" w:type="dxa"/>
            <w:noWrap w:val="0"/>
            <w:vAlign w:val="top"/>
          </w:tcPr>
          <w:p>
            <w:pPr>
              <w:jc w:val="center"/>
              <w:rPr>
                <w:rFonts w:ascii="宋体" w:hAnsi="宋体" w:hint="eastAsia"/>
                <w:szCs w:val="21"/>
              </w:rPr>
            </w:pPr>
            <w:r>
              <w:rPr>
                <w:rFonts w:ascii="宋体" w:hAnsi="宋体" w:hint="eastAsia"/>
                <w:szCs w:val="21"/>
              </w:rPr>
              <w:t>计量精度</w:t>
            </w:r>
          </w:p>
        </w:tc>
        <w:tc>
          <w:tcPr>
            <w:tcW w:w="4842" w:type="dxa"/>
            <w:noWrap w:val="0"/>
            <w:vAlign w:val="top"/>
          </w:tcPr>
          <w:p>
            <w:pPr>
              <w:jc w:val="center"/>
              <w:rPr>
                <w:rFonts w:ascii="宋体" w:hAnsi="宋体" w:hint="eastAsia"/>
                <w:szCs w:val="21"/>
              </w:rPr>
            </w:pPr>
            <w:r>
              <w:rPr>
                <w:rFonts w:ascii="宋体" w:hAnsi="宋体" w:hint="eastAsia"/>
                <w:szCs w:val="21"/>
              </w:rPr>
              <w:t>±0.5%</w:t>
            </w:r>
          </w:p>
        </w:tc>
        <w:tc>
          <w:tcPr>
            <w:tcW w:w="1203" w:type="dxa"/>
            <w:noWrap w:val="0"/>
            <w:vAlign w:val="top"/>
          </w:tcPr>
          <w:p>
            <w:pPr>
              <w:jc w:val="center"/>
              <w:rPr>
                <w:rFonts w:ascii="宋体" w:hAnsi="宋体" w:hint="eastAsia"/>
                <w:szCs w:val="21"/>
              </w:rPr>
            </w:pPr>
          </w:p>
        </w:tc>
      </w:tr>
    </w:tbl>
    <w:p>
      <w:pPr>
        <w:sectPr>
          <w:headerReference w:type="default" r:id="rId21"/>
          <w:footerReference w:type="default" r:id="rId22"/>
          <w:type w:val="nextPage"/>
          <w:pgSz w:w="11906" w:h="16838"/>
          <w:pgMar w:top="1134" w:right="1588" w:bottom="1418" w:left="1134" w:header="851" w:footer="992" w:gutter="0"/>
          <w:pgNumType w:start="58"/>
          <w:cols w:num="1" w:space="720"/>
          <w:titlePg w:val="0"/>
          <w:docGrid w:type="lines" w:linePitch="290" w:charSpace="0"/>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004"/>
        <w:gridCol w:w="2331"/>
        <w:gridCol w:w="4842"/>
        <w:gridCol w:w="1203"/>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8</w:t>
            </w:r>
          </w:p>
        </w:tc>
        <w:tc>
          <w:tcPr>
            <w:tcW w:w="2331" w:type="dxa"/>
            <w:noWrap w:val="0"/>
            <w:vAlign w:val="top"/>
          </w:tcPr>
          <w:p>
            <w:pPr>
              <w:jc w:val="center"/>
              <w:rPr>
                <w:rFonts w:ascii="宋体" w:hAnsi="宋体" w:hint="eastAsia"/>
                <w:szCs w:val="21"/>
              </w:rPr>
            </w:pPr>
            <w:r>
              <w:rPr>
                <w:rFonts w:ascii="宋体" w:hAnsi="宋体" w:hint="eastAsia"/>
                <w:szCs w:val="21"/>
              </w:rPr>
              <w:t>环境温度</w:t>
            </w:r>
          </w:p>
        </w:tc>
        <w:tc>
          <w:tcPr>
            <w:tcW w:w="4842" w:type="dxa"/>
            <w:noWrap w:val="0"/>
            <w:vAlign w:val="top"/>
          </w:tcPr>
          <w:p>
            <w:pPr>
              <w:jc w:val="center"/>
              <w:rPr>
                <w:rFonts w:ascii="宋体" w:hAnsi="宋体"/>
                <w:szCs w:val="21"/>
              </w:rPr>
            </w:pPr>
            <w:r>
              <w:rPr>
                <w:rFonts w:ascii="宋体" w:hAnsi="宋体"/>
                <w:szCs w:val="21"/>
              </w:rPr>
              <w:t>-</w:t>
            </w:r>
            <w:r>
              <w:rPr>
                <w:rFonts w:ascii="宋体" w:hAnsi="宋体" w:hint="eastAsia"/>
                <w:szCs w:val="21"/>
              </w:rPr>
              <w:t>30</w:t>
            </w:r>
            <w:r>
              <w:rPr>
                <w:rFonts w:ascii="宋体" w:hAnsi="宋体"/>
                <w:szCs w:val="21"/>
              </w:rPr>
              <w:t>℃～+50℃</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9</w:t>
            </w:r>
          </w:p>
        </w:tc>
        <w:tc>
          <w:tcPr>
            <w:tcW w:w="2331" w:type="dxa"/>
            <w:noWrap w:val="0"/>
            <w:vAlign w:val="top"/>
          </w:tcPr>
          <w:p>
            <w:pPr>
              <w:jc w:val="center"/>
              <w:rPr>
                <w:rFonts w:ascii="宋体" w:hAnsi="宋体" w:hint="eastAsia"/>
                <w:szCs w:val="21"/>
              </w:rPr>
            </w:pPr>
            <w:r>
              <w:rPr>
                <w:rFonts w:ascii="宋体" w:hAnsi="宋体" w:hint="eastAsia"/>
                <w:szCs w:val="21"/>
              </w:rPr>
              <w:t>单次计量范围</w:t>
            </w:r>
          </w:p>
        </w:tc>
        <w:tc>
          <w:tcPr>
            <w:tcW w:w="4842" w:type="dxa"/>
            <w:noWrap w:val="0"/>
            <w:vAlign w:val="top"/>
          </w:tcPr>
          <w:p>
            <w:pPr>
              <w:jc w:val="center"/>
              <w:rPr>
                <w:rFonts w:ascii="宋体" w:hAnsi="宋体" w:hint="eastAsia"/>
                <w:szCs w:val="21"/>
              </w:rPr>
            </w:pPr>
            <w:r>
              <w:rPr>
                <w:rFonts w:ascii="宋体" w:hAnsi="宋体" w:hint="eastAsia"/>
                <w:szCs w:val="21"/>
              </w:rPr>
              <w:t>0</w:t>
            </w:r>
            <w:r>
              <w:rPr>
                <w:rFonts w:ascii="宋体" w:hAnsi="宋体"/>
                <w:szCs w:val="21"/>
              </w:rPr>
              <w:t>～</w:t>
            </w:r>
            <w:r>
              <w:rPr>
                <w:rFonts w:ascii="宋体" w:hAnsi="宋体" w:hint="eastAsia"/>
                <w:szCs w:val="21"/>
              </w:rPr>
              <w:t>9999.99m</w:t>
            </w:r>
            <w:r>
              <w:rPr>
                <w:rFonts w:ascii="宋体" w:hAnsi="宋体" w:hint="eastAsia"/>
                <w:szCs w:val="21"/>
                <w:vertAlign w:val="superscript"/>
              </w:rPr>
              <w:t>3</w:t>
            </w:r>
            <w:r>
              <w:rPr>
                <w:rFonts w:ascii="宋体" w:hAnsi="宋体" w:hint="eastAsia"/>
                <w:szCs w:val="21"/>
              </w:rPr>
              <w:t>或元</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10</w:t>
            </w:r>
          </w:p>
        </w:tc>
        <w:tc>
          <w:tcPr>
            <w:tcW w:w="2331" w:type="dxa"/>
            <w:noWrap w:val="0"/>
            <w:vAlign w:val="top"/>
          </w:tcPr>
          <w:p>
            <w:pPr>
              <w:jc w:val="center"/>
              <w:rPr>
                <w:rFonts w:ascii="宋体" w:hAnsi="宋体" w:hint="eastAsia"/>
                <w:szCs w:val="21"/>
              </w:rPr>
            </w:pPr>
            <w:r>
              <w:rPr>
                <w:rFonts w:ascii="宋体" w:hAnsi="宋体" w:hint="eastAsia"/>
                <w:szCs w:val="21"/>
              </w:rPr>
              <w:t>累计计量范围</w:t>
            </w:r>
          </w:p>
        </w:tc>
        <w:tc>
          <w:tcPr>
            <w:tcW w:w="4842" w:type="dxa"/>
            <w:noWrap w:val="0"/>
            <w:vAlign w:val="top"/>
          </w:tcPr>
          <w:p>
            <w:pPr>
              <w:jc w:val="center"/>
              <w:rPr>
                <w:rFonts w:ascii="宋体" w:hAnsi="宋体" w:hint="eastAsia"/>
                <w:szCs w:val="21"/>
              </w:rPr>
            </w:pPr>
            <w:r>
              <w:rPr>
                <w:rFonts w:ascii="宋体" w:hAnsi="宋体" w:hint="eastAsia"/>
                <w:szCs w:val="21"/>
                <w:lang w:val="en-US" w:eastAsia="zh-CN"/>
              </w:rPr>
              <w:t xml:space="preserve"> </w:t>
            </w:r>
            <w:r>
              <w:rPr>
                <w:rFonts w:ascii="宋体" w:hAnsi="宋体" w:hint="eastAsia"/>
                <w:szCs w:val="21"/>
              </w:rPr>
              <w:t>0</w:t>
            </w:r>
            <w:r>
              <w:rPr>
                <w:rFonts w:ascii="宋体" w:hAnsi="宋体"/>
                <w:szCs w:val="21"/>
              </w:rPr>
              <w:t>～</w:t>
            </w:r>
            <w:r>
              <w:rPr>
                <w:rFonts w:ascii="宋体" w:hAnsi="宋体" w:hint="eastAsia"/>
                <w:szCs w:val="21"/>
              </w:rPr>
              <w:t>999999.99m</w:t>
            </w:r>
            <w:r>
              <w:rPr>
                <w:rFonts w:ascii="宋体" w:hAnsi="宋体" w:hint="eastAsia"/>
                <w:szCs w:val="21"/>
                <w:vertAlign w:val="superscript"/>
              </w:rPr>
              <w:t>3</w:t>
            </w:r>
            <w:r>
              <w:rPr>
                <w:rFonts w:ascii="宋体" w:hAnsi="宋体" w:hint="eastAsia"/>
                <w:szCs w:val="21"/>
              </w:rPr>
              <w:t>或元</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11</w:t>
            </w:r>
          </w:p>
        </w:tc>
        <w:tc>
          <w:tcPr>
            <w:tcW w:w="2331" w:type="dxa"/>
            <w:noWrap w:val="0"/>
            <w:vAlign w:val="top"/>
          </w:tcPr>
          <w:p>
            <w:pPr>
              <w:jc w:val="center"/>
              <w:rPr>
                <w:rFonts w:ascii="宋体" w:hAnsi="宋体" w:hint="eastAsia"/>
                <w:szCs w:val="21"/>
              </w:rPr>
            </w:pPr>
            <w:r>
              <w:rPr>
                <w:rFonts w:ascii="宋体" w:hAnsi="宋体" w:hint="eastAsia"/>
                <w:szCs w:val="21"/>
              </w:rPr>
              <w:t>单价预制范围</w:t>
            </w:r>
          </w:p>
        </w:tc>
        <w:tc>
          <w:tcPr>
            <w:tcW w:w="4842" w:type="dxa"/>
            <w:noWrap w:val="0"/>
            <w:vAlign w:val="top"/>
          </w:tcPr>
          <w:p>
            <w:pPr>
              <w:jc w:val="center"/>
              <w:rPr>
                <w:rFonts w:ascii="宋体" w:hAnsi="宋体" w:hint="eastAsia"/>
                <w:szCs w:val="21"/>
              </w:rPr>
            </w:pPr>
            <w:r>
              <w:rPr>
                <w:rFonts w:ascii="宋体" w:hAnsi="宋体" w:hint="eastAsia"/>
                <w:szCs w:val="21"/>
              </w:rPr>
              <w:t>0.01</w:t>
            </w:r>
            <w:r>
              <w:rPr>
                <w:rFonts w:ascii="宋体" w:hAnsi="宋体"/>
                <w:szCs w:val="21"/>
              </w:rPr>
              <w:t>～</w:t>
            </w:r>
            <w:r>
              <w:rPr>
                <w:rFonts w:ascii="宋体" w:hAnsi="宋体" w:hint="eastAsia"/>
                <w:szCs w:val="21"/>
              </w:rPr>
              <w:t>99.99元/m</w:t>
            </w:r>
            <w:r>
              <w:rPr>
                <w:rFonts w:ascii="宋体" w:hAnsi="宋体" w:hint="eastAsia"/>
                <w:szCs w:val="21"/>
                <w:vertAlign w:val="superscript"/>
              </w:rPr>
              <w:t>3</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12</w:t>
            </w:r>
          </w:p>
        </w:tc>
        <w:tc>
          <w:tcPr>
            <w:tcW w:w="2331" w:type="dxa"/>
            <w:noWrap w:val="0"/>
            <w:vAlign w:val="top"/>
          </w:tcPr>
          <w:p>
            <w:pPr>
              <w:jc w:val="center"/>
              <w:rPr>
                <w:rFonts w:ascii="宋体" w:hAnsi="宋体" w:hint="eastAsia"/>
                <w:szCs w:val="21"/>
              </w:rPr>
            </w:pPr>
            <w:r>
              <w:rPr>
                <w:rFonts w:ascii="宋体" w:hAnsi="宋体" w:hint="eastAsia"/>
                <w:szCs w:val="21"/>
              </w:rPr>
              <w:t>密度预制范围</w:t>
            </w:r>
          </w:p>
        </w:tc>
        <w:tc>
          <w:tcPr>
            <w:tcW w:w="4842" w:type="dxa"/>
            <w:noWrap w:val="0"/>
            <w:vAlign w:val="top"/>
          </w:tcPr>
          <w:p>
            <w:pPr>
              <w:jc w:val="center"/>
              <w:rPr>
                <w:rFonts w:ascii="宋体" w:hAnsi="宋体" w:hint="eastAsia"/>
                <w:szCs w:val="21"/>
              </w:rPr>
            </w:pPr>
            <w:r>
              <w:rPr>
                <w:rFonts w:ascii="宋体" w:hAnsi="宋体" w:hint="eastAsia"/>
                <w:szCs w:val="21"/>
              </w:rPr>
              <w:t>0.0001</w:t>
            </w:r>
            <w:r>
              <w:rPr>
                <w:rFonts w:ascii="宋体" w:hAnsi="宋体"/>
                <w:szCs w:val="21"/>
              </w:rPr>
              <w:t>～</w:t>
            </w:r>
            <w:r>
              <w:rPr>
                <w:rFonts w:ascii="宋体" w:hAnsi="宋体" w:hint="eastAsia"/>
                <w:szCs w:val="21"/>
              </w:rPr>
              <w:t>0.9999</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13</w:t>
            </w:r>
          </w:p>
        </w:tc>
        <w:tc>
          <w:tcPr>
            <w:tcW w:w="2331" w:type="dxa"/>
            <w:noWrap w:val="0"/>
            <w:vAlign w:val="top"/>
          </w:tcPr>
          <w:p>
            <w:pPr>
              <w:jc w:val="center"/>
              <w:rPr>
                <w:rFonts w:ascii="宋体" w:hAnsi="宋体" w:hint="eastAsia"/>
                <w:szCs w:val="21"/>
              </w:rPr>
            </w:pPr>
            <w:r>
              <w:rPr>
                <w:rFonts w:ascii="宋体" w:hAnsi="宋体" w:hint="eastAsia"/>
                <w:szCs w:val="21"/>
              </w:rPr>
              <w:t>读数最小分度值</w:t>
            </w:r>
          </w:p>
        </w:tc>
        <w:tc>
          <w:tcPr>
            <w:tcW w:w="4842" w:type="dxa"/>
            <w:noWrap w:val="0"/>
            <w:vAlign w:val="top"/>
          </w:tcPr>
          <w:p>
            <w:pPr>
              <w:jc w:val="center"/>
              <w:rPr>
                <w:rFonts w:ascii="宋体" w:hAnsi="宋体" w:hint="eastAsia"/>
                <w:szCs w:val="21"/>
              </w:rPr>
            </w:pPr>
            <w:r>
              <w:rPr>
                <w:rFonts w:ascii="宋体" w:hAnsi="宋体" w:hint="eastAsia"/>
                <w:szCs w:val="21"/>
              </w:rPr>
              <w:t>0.01m</w:t>
            </w:r>
            <w:r>
              <w:rPr>
                <w:rFonts w:ascii="宋体" w:hAnsi="宋体" w:hint="eastAsia"/>
                <w:szCs w:val="21"/>
                <w:vertAlign w:val="superscript"/>
              </w:rPr>
              <w:t>3</w:t>
            </w:r>
            <w:r>
              <w:rPr>
                <w:rFonts w:ascii="宋体" w:hAnsi="宋体" w:hint="eastAsia"/>
                <w:szCs w:val="21"/>
              </w:rPr>
              <w:t>；0.01元</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14</w:t>
            </w:r>
          </w:p>
        </w:tc>
        <w:tc>
          <w:tcPr>
            <w:tcW w:w="2331" w:type="dxa"/>
            <w:noWrap w:val="0"/>
            <w:vAlign w:val="top"/>
          </w:tcPr>
          <w:p>
            <w:pPr>
              <w:jc w:val="center"/>
              <w:rPr>
                <w:rFonts w:ascii="宋体" w:hAnsi="宋体" w:hint="eastAsia"/>
                <w:szCs w:val="21"/>
              </w:rPr>
            </w:pPr>
            <w:r>
              <w:rPr>
                <w:rFonts w:ascii="宋体" w:hAnsi="宋体" w:hint="eastAsia"/>
                <w:szCs w:val="21"/>
              </w:rPr>
              <w:t>电源</w:t>
            </w:r>
          </w:p>
        </w:tc>
        <w:tc>
          <w:tcPr>
            <w:tcW w:w="4842" w:type="dxa"/>
            <w:noWrap w:val="0"/>
            <w:vAlign w:val="top"/>
          </w:tcPr>
          <w:p>
            <w:pPr>
              <w:jc w:val="center"/>
              <w:rPr>
                <w:rFonts w:ascii="宋体" w:hAnsi="宋体" w:hint="eastAsia"/>
                <w:szCs w:val="21"/>
              </w:rPr>
            </w:pPr>
            <w:r>
              <w:rPr>
                <w:rFonts w:ascii="宋体" w:hAnsi="宋体" w:hint="eastAsia"/>
                <w:szCs w:val="21"/>
              </w:rPr>
              <w:t>220V±15% 50HZ±1HZ</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15</w:t>
            </w:r>
          </w:p>
        </w:tc>
        <w:tc>
          <w:tcPr>
            <w:tcW w:w="2331" w:type="dxa"/>
            <w:noWrap w:val="0"/>
            <w:vAlign w:val="top"/>
          </w:tcPr>
          <w:p>
            <w:pPr>
              <w:jc w:val="center"/>
              <w:rPr>
                <w:rFonts w:ascii="宋体" w:hAnsi="宋体" w:hint="eastAsia"/>
                <w:szCs w:val="21"/>
              </w:rPr>
            </w:pPr>
            <w:r>
              <w:rPr>
                <w:rFonts w:ascii="宋体" w:hAnsi="宋体" w:hint="eastAsia"/>
                <w:szCs w:val="21"/>
              </w:rPr>
              <w:t>功率</w:t>
            </w:r>
          </w:p>
        </w:tc>
        <w:tc>
          <w:tcPr>
            <w:tcW w:w="4842" w:type="dxa"/>
            <w:noWrap w:val="0"/>
            <w:vAlign w:val="top"/>
          </w:tcPr>
          <w:p>
            <w:pPr>
              <w:jc w:val="center"/>
              <w:rPr>
                <w:rFonts w:ascii="宋体" w:hAnsi="宋体" w:hint="eastAsia"/>
                <w:szCs w:val="21"/>
              </w:rPr>
            </w:pPr>
            <w:r>
              <w:rPr>
                <w:rFonts w:ascii="宋体" w:hAnsi="宋体" w:hint="eastAsia"/>
                <w:szCs w:val="21"/>
              </w:rPr>
              <w:t>＜200W</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16</w:t>
            </w:r>
          </w:p>
        </w:tc>
        <w:tc>
          <w:tcPr>
            <w:tcW w:w="2331" w:type="dxa"/>
            <w:noWrap w:val="0"/>
            <w:vAlign w:val="top"/>
          </w:tcPr>
          <w:p>
            <w:pPr>
              <w:jc w:val="center"/>
              <w:rPr>
                <w:rFonts w:ascii="宋体" w:hAnsi="宋体" w:hint="eastAsia"/>
                <w:szCs w:val="21"/>
              </w:rPr>
            </w:pPr>
            <w:r>
              <w:rPr>
                <w:rFonts w:ascii="宋体" w:hAnsi="宋体" w:hint="eastAsia"/>
                <w:szCs w:val="21"/>
              </w:rPr>
              <w:t>主管线</w:t>
            </w:r>
          </w:p>
        </w:tc>
        <w:tc>
          <w:tcPr>
            <w:tcW w:w="4842" w:type="dxa"/>
            <w:noWrap w:val="0"/>
            <w:vAlign w:val="top"/>
          </w:tcPr>
          <w:p>
            <w:pPr>
              <w:jc w:val="center"/>
              <w:rPr>
                <w:rFonts w:ascii="宋体" w:hAnsi="宋体" w:hint="eastAsia"/>
                <w:szCs w:val="21"/>
              </w:rPr>
            </w:pPr>
            <w:r>
              <w:rPr>
                <w:rFonts w:ascii="宋体" w:hAnsi="宋体" w:hint="eastAsia"/>
                <w:szCs w:val="21"/>
              </w:rPr>
              <w:t>Φ10X2</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17</w:t>
            </w:r>
          </w:p>
        </w:tc>
        <w:tc>
          <w:tcPr>
            <w:tcW w:w="2331" w:type="dxa"/>
            <w:noWrap w:val="0"/>
            <w:vAlign w:val="top"/>
          </w:tcPr>
          <w:p>
            <w:pPr>
              <w:jc w:val="center"/>
              <w:rPr>
                <w:rFonts w:ascii="宋体" w:hAnsi="宋体" w:hint="eastAsia"/>
                <w:szCs w:val="21"/>
              </w:rPr>
            </w:pPr>
            <w:r>
              <w:rPr>
                <w:rFonts w:ascii="宋体" w:hAnsi="宋体" w:hint="eastAsia"/>
                <w:szCs w:val="21"/>
              </w:rPr>
              <w:t>计量方式</w:t>
            </w:r>
          </w:p>
        </w:tc>
        <w:tc>
          <w:tcPr>
            <w:tcW w:w="4842" w:type="dxa"/>
            <w:noWrap w:val="0"/>
            <w:vAlign w:val="top"/>
          </w:tcPr>
          <w:p>
            <w:pPr>
              <w:jc w:val="center"/>
              <w:rPr>
                <w:rFonts w:ascii="宋体" w:hAnsi="宋体" w:hint="eastAsia"/>
                <w:szCs w:val="21"/>
              </w:rPr>
            </w:pPr>
            <w:r>
              <w:rPr>
                <w:rFonts w:ascii="宋体" w:hAnsi="宋体" w:hint="eastAsia"/>
                <w:szCs w:val="21"/>
              </w:rPr>
              <w:t>自动计量带夜光显示</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18</w:t>
            </w:r>
          </w:p>
        </w:tc>
        <w:tc>
          <w:tcPr>
            <w:tcW w:w="2331" w:type="dxa"/>
            <w:noWrap w:val="0"/>
            <w:vAlign w:val="top"/>
          </w:tcPr>
          <w:p>
            <w:pPr>
              <w:jc w:val="center"/>
              <w:rPr>
                <w:rFonts w:ascii="宋体" w:hAnsi="宋体" w:hint="eastAsia"/>
                <w:szCs w:val="21"/>
              </w:rPr>
            </w:pPr>
            <w:r>
              <w:rPr>
                <w:rFonts w:ascii="宋体" w:hAnsi="宋体" w:hint="eastAsia"/>
                <w:szCs w:val="21"/>
              </w:rPr>
              <w:t>防爆等级</w:t>
            </w:r>
          </w:p>
        </w:tc>
        <w:tc>
          <w:tcPr>
            <w:tcW w:w="4842" w:type="dxa"/>
            <w:noWrap w:val="0"/>
            <w:vAlign w:val="top"/>
          </w:tcPr>
          <w:p>
            <w:pPr>
              <w:jc w:val="center"/>
              <w:rPr>
                <w:rFonts w:ascii="宋体" w:hAnsi="宋体" w:hint="eastAsia"/>
                <w:szCs w:val="21"/>
              </w:rPr>
            </w:pPr>
            <w:r>
              <w:rPr>
                <w:rFonts w:ascii="宋体" w:hAnsi="宋体" w:hint="eastAsia"/>
                <w:szCs w:val="21"/>
              </w:rPr>
              <w:t>ExdemibⅡAT4</w:t>
            </w:r>
          </w:p>
        </w:tc>
        <w:tc>
          <w:tcPr>
            <w:tcW w:w="1203" w:type="dxa"/>
            <w:noWrap w:val="0"/>
            <w:vAlign w:val="top"/>
          </w:tcPr>
          <w:p>
            <w:pPr>
              <w:jc w:val="center"/>
              <w:rPr>
                <w:rFonts w:ascii="宋体" w:hAnsi="宋体" w:hint="eastAsia"/>
                <w:szCs w:val="21"/>
              </w:rPr>
            </w:pPr>
          </w:p>
        </w:tc>
      </w:tr>
      <w:tr>
        <w:tblPrEx>
          <w:tblW w:w="0" w:type="auto"/>
          <w:tblInd w:w="0" w:type="dxa"/>
          <w:tblLayout w:type="fixed"/>
          <w:tblCellMar>
            <w:top w:w="0" w:type="dxa"/>
            <w:left w:w="108" w:type="dxa"/>
            <w:bottom w:w="0" w:type="dxa"/>
            <w:right w:w="108" w:type="dxa"/>
          </w:tblCellMar>
        </w:tblPrEx>
        <w:trPr>
          <w:trHeight w:val="355"/>
        </w:trPr>
        <w:tc>
          <w:tcPr>
            <w:tcW w:w="1004" w:type="dxa"/>
            <w:noWrap w:val="0"/>
            <w:vAlign w:val="top"/>
          </w:tcPr>
          <w:p>
            <w:pPr>
              <w:jc w:val="center"/>
              <w:rPr>
                <w:rFonts w:ascii="宋体" w:hAnsi="宋体" w:hint="eastAsia"/>
                <w:szCs w:val="21"/>
              </w:rPr>
            </w:pPr>
            <w:r>
              <w:rPr>
                <w:rFonts w:ascii="宋体" w:hAnsi="宋体" w:hint="eastAsia"/>
                <w:szCs w:val="21"/>
              </w:rPr>
              <w:t>19</w:t>
            </w:r>
          </w:p>
        </w:tc>
        <w:tc>
          <w:tcPr>
            <w:tcW w:w="2331" w:type="dxa"/>
            <w:noWrap w:val="0"/>
            <w:vAlign w:val="top"/>
          </w:tcPr>
          <w:p>
            <w:pPr>
              <w:jc w:val="center"/>
              <w:rPr>
                <w:rFonts w:ascii="宋体" w:hAnsi="宋体" w:hint="eastAsia"/>
                <w:szCs w:val="21"/>
              </w:rPr>
            </w:pPr>
            <w:r>
              <w:rPr>
                <w:rFonts w:ascii="宋体" w:hAnsi="宋体" w:hint="eastAsia"/>
                <w:szCs w:val="21"/>
              </w:rPr>
              <w:t>质量流量计</w:t>
            </w:r>
          </w:p>
        </w:tc>
        <w:tc>
          <w:tcPr>
            <w:tcW w:w="4842" w:type="dxa"/>
            <w:noWrap w:val="0"/>
            <w:vAlign w:val="top"/>
          </w:tcPr>
          <w:p>
            <w:pPr>
              <w:jc w:val="center"/>
              <w:rPr>
                <w:rFonts w:ascii="宋体" w:hAnsi="宋体" w:hint="eastAsia"/>
                <w:szCs w:val="21"/>
              </w:rPr>
            </w:pPr>
            <w:r>
              <w:rPr>
                <w:rFonts w:ascii="宋体" w:hAnsi="宋体" w:hint="eastAsia"/>
                <w:szCs w:val="21"/>
              </w:rPr>
              <w:t>进口产品并带有温度传感器进行补偿</w:t>
            </w:r>
          </w:p>
        </w:tc>
        <w:tc>
          <w:tcPr>
            <w:tcW w:w="1203" w:type="dxa"/>
            <w:noWrap w:val="0"/>
            <w:vAlign w:val="top"/>
          </w:tcPr>
          <w:p>
            <w:pPr>
              <w:jc w:val="center"/>
              <w:rPr>
                <w:rFonts w:ascii="宋体" w:hAnsi="宋体" w:hint="eastAsia"/>
                <w:szCs w:val="21"/>
              </w:rPr>
            </w:pPr>
          </w:p>
        </w:tc>
      </w:tr>
    </w:tbl>
    <w:p>
      <w:pPr>
        <w:pStyle w:val="Heading3"/>
        <w:rPr>
          <w:rFonts w:hint="eastAsia"/>
          <w:sz w:val="28"/>
          <w:szCs w:val="28"/>
        </w:rPr>
      </w:pPr>
      <w:bookmarkStart w:id="47" w:name="_Toc21128"/>
      <w:bookmarkStart w:id="48" w:name="_Toc359868151"/>
      <w:r>
        <w:rPr>
          <w:rFonts w:hint="eastAsia"/>
          <w:sz w:val="28"/>
          <w:szCs w:val="28"/>
        </w:rPr>
        <w:t>3.3.5该项目加气部分管道及管件</w:t>
      </w:r>
      <w:bookmarkEnd w:id="47"/>
      <w:bookmarkEnd w:id="48"/>
    </w:p>
    <w:p>
      <w:pPr>
        <w:ind w:firstLine="420" w:firstLineChars="150"/>
        <w:rPr>
          <w:rFonts w:ascii="宋体" w:hAnsi="宋体" w:hint="eastAsia"/>
          <w:color w:val="000000"/>
          <w:sz w:val="28"/>
        </w:rPr>
      </w:pPr>
      <w:r>
        <w:rPr>
          <w:rFonts w:ascii="宋体" w:hAnsi="宋体" w:hint="eastAsia"/>
          <w:sz w:val="28"/>
        </w:rPr>
        <w:t>1、</w:t>
      </w:r>
      <w:r>
        <w:rPr>
          <w:rFonts w:ascii="宋体" w:hAnsi="宋体" w:hint="eastAsia"/>
          <w:color w:val="000000"/>
          <w:sz w:val="28"/>
        </w:rPr>
        <w:t>管道布置：站内的高压管道采用管沟敷设，</w:t>
      </w:r>
      <w:r>
        <w:rPr>
          <w:rFonts w:ascii="宋体" w:hAnsi="宋体" w:hint="eastAsia"/>
          <w:sz w:val="28"/>
        </w:rPr>
        <w:t>管沟内用干沙填实，并设置活门及通风孔。</w:t>
      </w:r>
    </w:p>
    <w:p>
      <w:pPr>
        <w:ind w:firstLine="420" w:firstLineChars="150"/>
        <w:rPr>
          <w:rFonts w:ascii="宋体" w:hAnsi="宋体" w:hint="eastAsia"/>
          <w:sz w:val="28"/>
        </w:rPr>
      </w:pPr>
      <w:r>
        <w:rPr>
          <w:rFonts w:ascii="宋体" w:hAnsi="宋体" w:hint="eastAsia"/>
          <w:color w:val="000000"/>
          <w:sz w:val="28"/>
        </w:rPr>
        <w:t>2、</w:t>
      </w:r>
      <w:r>
        <w:rPr>
          <w:rFonts w:ascii="宋体" w:hAnsi="宋体" w:hint="eastAsia"/>
          <w:sz w:val="28"/>
        </w:rPr>
        <w:t>埋地管道防腐设计采用热复合聚乙烯胶粘带加强级防腐，执行标准《钢质管道及储罐腐蚀控制工程设计规范》SY0007-1999，不锈钢管道不作防腐，不锈钢管焊缝进行酸化，钝化处理，形成新的保护膜。</w:t>
      </w:r>
    </w:p>
    <w:p>
      <w:pPr>
        <w:pStyle w:val="Heading2"/>
        <w:rPr>
          <w:rFonts w:hint="eastAsia"/>
          <w:sz w:val="30"/>
          <w:szCs w:val="30"/>
        </w:rPr>
      </w:pPr>
      <w:bookmarkStart w:id="49" w:name="_Toc24127"/>
      <w:bookmarkStart w:id="50" w:name="_Toc24403"/>
      <w:bookmarkStart w:id="51" w:name="_Toc359868152"/>
      <w:r>
        <w:rPr>
          <w:rFonts w:hint="eastAsia"/>
          <w:sz w:val="30"/>
          <w:szCs w:val="30"/>
        </w:rPr>
        <w:t>3.4工程完成情况</w:t>
      </w:r>
      <w:bookmarkEnd w:id="49"/>
      <w:bookmarkEnd w:id="50"/>
      <w:bookmarkEnd w:id="51"/>
    </w:p>
    <w:p>
      <w:pPr>
        <w:ind w:firstLine="560" w:firstLineChars="200"/>
        <w:rPr>
          <w:rFonts w:ascii="宋体" w:hAnsi="宋体"/>
          <w:sz w:val="28"/>
          <w:szCs w:val="28"/>
        </w:rPr>
      </w:pPr>
      <w:r>
        <w:rPr>
          <w:rFonts w:ascii="宋体" w:hAnsi="宋体"/>
          <w:color w:val="000000"/>
          <w:sz w:val="28"/>
          <w:szCs w:val="28"/>
        </w:rPr>
        <w:t>本站</w:t>
      </w:r>
      <w:r>
        <w:rPr>
          <w:rFonts w:ascii="宋体" w:hAnsi="宋体" w:hint="eastAsia"/>
          <w:color w:val="000000"/>
          <w:sz w:val="28"/>
          <w:szCs w:val="28"/>
        </w:rPr>
        <w:t>20</w:t>
      </w:r>
      <w:r>
        <w:rPr>
          <w:rFonts w:ascii="宋体" w:hAnsi="宋体"/>
          <w:color w:val="000000"/>
          <w:sz w:val="28"/>
          <w:szCs w:val="28"/>
        </w:rPr>
        <w:t>年</w:t>
      </w:r>
      <w:r>
        <w:rPr>
          <w:rFonts w:ascii="宋体" w:hAnsi="宋体" w:hint="eastAsia"/>
          <w:color w:val="000000"/>
          <w:sz w:val="28"/>
          <w:szCs w:val="28"/>
        </w:rPr>
        <w:t>经燃气设计院</w:t>
      </w:r>
      <w:r>
        <w:rPr>
          <w:rFonts w:ascii="宋体" w:hAnsi="宋体"/>
          <w:color w:val="000000"/>
          <w:sz w:val="28"/>
          <w:szCs w:val="28"/>
        </w:rPr>
        <w:t>设计，并经</w:t>
      </w:r>
      <w:r>
        <w:rPr>
          <w:rFonts w:ascii="宋体" w:hAnsi="宋体" w:hint="eastAsia"/>
          <w:color w:val="000000"/>
          <w:sz w:val="28"/>
          <w:szCs w:val="28"/>
        </w:rPr>
        <w:t>监理有限公司</w:t>
      </w:r>
      <w:r>
        <w:rPr>
          <w:rFonts w:ascii="宋体" w:hAnsi="宋体"/>
          <w:color w:val="000000"/>
          <w:sz w:val="28"/>
          <w:szCs w:val="28"/>
        </w:rPr>
        <w:t>对施工过程进行施工监理。目前</w:t>
      </w:r>
      <w:r>
        <w:rPr>
          <w:rFonts w:ascii="宋体" w:hAnsi="宋体" w:hint="eastAsia"/>
          <w:color w:val="000000"/>
          <w:sz w:val="28"/>
          <w:szCs w:val="28"/>
        </w:rPr>
        <w:t>加气站</w:t>
      </w:r>
      <w:r>
        <w:rPr>
          <w:rFonts w:ascii="宋体" w:hAnsi="宋体"/>
          <w:color w:val="000000"/>
          <w:sz w:val="28"/>
          <w:szCs w:val="28"/>
        </w:rPr>
        <w:t>土建工程、设备安装已全部完成，并经我公司验收合格。</w:t>
      </w:r>
      <w:r>
        <w:rPr>
          <w:rFonts w:ascii="宋体" w:hAnsi="宋体" w:hint="eastAsia"/>
          <w:color w:val="000000"/>
          <w:sz w:val="28"/>
          <w:szCs w:val="28"/>
        </w:rPr>
        <w:t>加气站</w:t>
      </w:r>
      <w:r>
        <w:rPr>
          <w:rFonts w:ascii="宋体" w:hAnsi="宋体"/>
          <w:color w:val="000000"/>
          <w:sz w:val="28"/>
          <w:szCs w:val="28"/>
        </w:rPr>
        <w:t>管线已试压检测，</w:t>
      </w:r>
      <w:r>
        <w:rPr>
          <w:rFonts w:ascii="宋体" w:hAnsi="宋体" w:hint="eastAsia"/>
          <w:color w:val="000000"/>
          <w:sz w:val="28"/>
          <w:szCs w:val="28"/>
        </w:rPr>
        <w:t>压缩机、</w:t>
      </w:r>
      <w:r>
        <w:rPr>
          <w:rFonts w:ascii="宋体" w:hAnsi="宋体"/>
          <w:color w:val="000000"/>
          <w:sz w:val="28"/>
          <w:szCs w:val="28"/>
        </w:rPr>
        <w:t>加</w:t>
      </w:r>
      <w:r>
        <w:rPr>
          <w:rFonts w:ascii="宋体" w:hAnsi="宋体" w:hint="eastAsia"/>
          <w:color w:val="000000"/>
          <w:sz w:val="28"/>
          <w:szCs w:val="28"/>
        </w:rPr>
        <w:t>气</w:t>
      </w:r>
      <w:r>
        <w:rPr>
          <w:rFonts w:ascii="宋体" w:hAnsi="宋体"/>
          <w:color w:val="000000"/>
          <w:sz w:val="28"/>
          <w:szCs w:val="28"/>
        </w:rPr>
        <w:t>机、电气线路已检测正常、加</w:t>
      </w:r>
      <w:r>
        <w:rPr>
          <w:rFonts w:ascii="宋体" w:hAnsi="宋体" w:hint="eastAsia"/>
          <w:color w:val="000000"/>
          <w:sz w:val="28"/>
          <w:szCs w:val="28"/>
        </w:rPr>
        <w:t>气</w:t>
      </w:r>
      <w:r>
        <w:rPr>
          <w:rFonts w:ascii="宋体" w:hAnsi="宋体"/>
          <w:color w:val="000000"/>
          <w:sz w:val="28"/>
          <w:szCs w:val="28"/>
        </w:rPr>
        <w:t>机管理控制系统、监控系统全部测试正常。</w:t>
      </w:r>
      <w:r>
        <w:rPr>
          <w:rFonts w:ascii="宋体" w:hAnsi="宋体"/>
          <w:sz w:val="28"/>
          <w:szCs w:val="28"/>
        </w:rPr>
        <w:t>根据</w:t>
      </w:r>
      <w:r>
        <w:rPr>
          <w:rFonts w:ascii="宋体" w:hAnsi="宋体" w:hint="eastAsia"/>
          <w:sz w:val="28"/>
          <w:szCs w:val="28"/>
        </w:rPr>
        <w:t>《关于进一步规范危险化学品建设项目安全监管工作的通知》（</w:t>
      </w:r>
      <w:r>
        <w:rPr>
          <w:rFonts w:ascii="宋体" w:hAnsi="宋体"/>
          <w:sz w:val="28"/>
          <w:szCs w:val="28"/>
        </w:rPr>
        <w:t>安监发〔20〕123号</w:t>
      </w:r>
      <w:r>
        <w:rPr>
          <w:rFonts w:ascii="宋体" w:hAnsi="宋体" w:hint="eastAsia"/>
          <w:sz w:val="28"/>
          <w:szCs w:val="28"/>
        </w:rPr>
        <w:t>）的要求，</w:t>
      </w:r>
      <w:r>
        <w:rPr>
          <w:rFonts w:ascii="宋体" w:hAnsi="宋体"/>
          <w:sz w:val="28"/>
          <w:szCs w:val="28"/>
        </w:rPr>
        <w:t>现制定本</w:t>
      </w:r>
      <w:r>
        <w:rPr>
          <w:rFonts w:ascii="宋体" w:hAnsi="宋体" w:hint="eastAsia"/>
          <w:sz w:val="28"/>
          <w:szCs w:val="28"/>
        </w:rPr>
        <w:t>加气站</w:t>
      </w:r>
      <w:r>
        <w:rPr>
          <w:rFonts w:ascii="宋体" w:hAnsi="宋体"/>
          <w:sz w:val="28"/>
          <w:szCs w:val="28"/>
        </w:rPr>
        <w:t>试运行方案。</w:t>
      </w:r>
    </w:p>
    <w:p>
      <w:pPr>
        <w:ind w:firstLine="560" w:firstLineChars="200"/>
        <w:rPr>
          <w:rFonts w:ascii="宋体" w:hAnsi="宋体" w:hint="eastAsia"/>
          <w:sz w:val="28"/>
          <w:szCs w:val="28"/>
        </w:rPr>
        <w:sectPr>
          <w:headerReference w:type="default" r:id="rId23"/>
          <w:footerReference w:type="default" r:id="rId24"/>
          <w:type w:val="nextPage"/>
          <w:pgSz w:w="11906" w:h="16838"/>
          <w:pgMar w:top="1134" w:right="1588" w:bottom="1418" w:left="1134" w:header="851" w:footer="992" w:gutter="0"/>
          <w:pgNumType w:start="59"/>
          <w:cols w:num="1" w:space="720"/>
          <w:titlePg w:val="0"/>
          <w:docGrid w:type="lines" w:linePitch="290" w:charSpace="0"/>
        </w:sectPr>
      </w:pPr>
    </w:p>
    <w:p>
      <w:pPr>
        <w:pStyle w:val="Heading1"/>
        <w:ind w:firstLine="1584" w:firstLineChars="495"/>
        <w:jc w:val="both"/>
      </w:pPr>
      <w:bookmarkStart w:id="52" w:name="_Toc5082"/>
      <w:bookmarkStart w:id="53" w:name="_Toc359868153"/>
      <w:r>
        <w:t>第</w:t>
      </w:r>
      <w:r>
        <w:rPr>
          <w:rFonts w:hint="eastAsia"/>
        </w:rPr>
        <w:t>四</w:t>
      </w:r>
      <w:r>
        <w:t xml:space="preserve">章  </w:t>
      </w:r>
      <w:r>
        <w:rPr>
          <w:rFonts w:hint="eastAsia"/>
        </w:rPr>
        <w:t>加气站试生产中风险及控制措施</w:t>
      </w:r>
      <w:bookmarkEnd w:id="52"/>
      <w:bookmarkEnd w:id="53"/>
    </w:p>
    <w:p>
      <w:pPr>
        <w:pStyle w:val="Heading2"/>
        <w:rPr>
          <w:rFonts w:hint="eastAsia"/>
          <w:sz w:val="30"/>
          <w:szCs w:val="30"/>
        </w:rPr>
      </w:pPr>
      <w:bookmarkStart w:id="54" w:name="_Toc359868154"/>
      <w:bookmarkStart w:id="55" w:name="_Toc20152"/>
      <w:r>
        <w:rPr>
          <w:rFonts w:hint="eastAsia"/>
          <w:sz w:val="30"/>
          <w:szCs w:val="30"/>
        </w:rPr>
        <w:t>4.1物质危险、有害因素</w:t>
      </w:r>
      <w:bookmarkEnd w:id="54"/>
      <w:bookmarkEnd w:id="55"/>
    </w:p>
    <w:p>
      <w:pPr>
        <w:tabs>
          <w:tab w:val="left" w:pos="6840"/>
        </w:tabs>
        <w:spacing w:line="360" w:lineRule="auto"/>
        <w:ind w:firstLine="560" w:firstLineChars="200"/>
        <w:rPr>
          <w:rFonts w:ascii="宋体" w:hAnsi="宋体"/>
          <w:sz w:val="28"/>
          <w:szCs w:val="28"/>
        </w:rPr>
      </w:pPr>
      <w:r>
        <w:rPr>
          <w:rFonts w:ascii="宋体" w:hAnsi="宋体"/>
          <w:sz w:val="28"/>
          <w:szCs w:val="28"/>
        </w:rPr>
        <w:t>依据《危险货物品名表》（GB12268-20</w:t>
      </w:r>
      <w:r>
        <w:rPr>
          <w:rFonts w:ascii="宋体" w:hAnsi="宋体" w:hint="eastAsia"/>
          <w:sz w:val="28"/>
          <w:szCs w:val="28"/>
        </w:rPr>
        <w:t>12</w:t>
      </w:r>
      <w:r>
        <w:rPr>
          <w:rFonts w:ascii="宋体" w:hAnsi="宋体"/>
          <w:sz w:val="28"/>
          <w:szCs w:val="28"/>
        </w:rPr>
        <w:t>）分类，</w:t>
      </w:r>
      <w:r>
        <w:rPr>
          <w:rFonts w:ascii="宋体" w:hAnsi="宋体" w:hint="eastAsia"/>
          <w:sz w:val="28"/>
          <w:szCs w:val="28"/>
        </w:rPr>
        <w:t>压缩天然气</w:t>
      </w:r>
      <w:r>
        <w:rPr>
          <w:rFonts w:ascii="宋体" w:hAnsi="宋体"/>
          <w:sz w:val="28"/>
          <w:szCs w:val="28"/>
        </w:rPr>
        <w:t>属于第</w:t>
      </w:r>
      <w:r>
        <w:rPr>
          <w:rFonts w:ascii="宋体" w:hAnsi="宋体" w:hint="eastAsia"/>
          <w:sz w:val="28"/>
          <w:szCs w:val="28"/>
        </w:rPr>
        <w:t>2</w:t>
      </w:r>
      <w:r>
        <w:rPr>
          <w:rFonts w:ascii="宋体" w:hAnsi="宋体"/>
          <w:sz w:val="28"/>
          <w:szCs w:val="28"/>
        </w:rPr>
        <w:t>.1类</w:t>
      </w:r>
      <w:r>
        <w:rPr>
          <w:rFonts w:ascii="宋体" w:hAnsi="宋体" w:hint="eastAsia"/>
          <w:sz w:val="28"/>
          <w:szCs w:val="28"/>
        </w:rPr>
        <w:t>易燃气体。</w:t>
      </w:r>
    </w:p>
    <w:p>
      <w:pPr>
        <w:pStyle w:val="Heading3"/>
        <w:rPr>
          <w:sz w:val="28"/>
          <w:szCs w:val="28"/>
        </w:rPr>
      </w:pPr>
      <w:bookmarkStart w:id="56" w:name="_Toc6468"/>
      <w:bookmarkStart w:id="57" w:name="_Toc359868155"/>
      <w:r>
        <w:rPr>
          <w:rFonts w:hint="eastAsia"/>
          <w:sz w:val="28"/>
          <w:szCs w:val="28"/>
        </w:rPr>
        <w:t>4</w:t>
      </w:r>
      <w:r>
        <w:rPr>
          <w:sz w:val="28"/>
          <w:szCs w:val="28"/>
        </w:rPr>
        <w:t>.1.1</w:t>
      </w:r>
      <w:r>
        <w:rPr>
          <w:rFonts w:hint="eastAsia"/>
          <w:sz w:val="28"/>
          <w:szCs w:val="28"/>
        </w:rPr>
        <w:t>天然气的</w:t>
      </w:r>
      <w:r>
        <w:rPr>
          <w:sz w:val="28"/>
          <w:szCs w:val="28"/>
        </w:rPr>
        <w:t>理化特性</w:t>
      </w:r>
      <w:bookmarkEnd w:id="56"/>
      <w:bookmarkEnd w:id="57"/>
    </w:p>
    <w:p>
      <w:pPr>
        <w:spacing w:line="560" w:lineRule="exact"/>
        <w:jc w:val="left"/>
        <w:rPr>
          <w:rFonts w:eastAsia="仿宋_GB2312"/>
          <w:sz w:val="28"/>
          <w:szCs w:val="28"/>
        </w:rPr>
      </w:pPr>
      <w:r>
        <w:rPr>
          <w:rFonts w:eastAsia="仿宋_GB2312"/>
          <w:sz w:val="28"/>
          <w:szCs w:val="28"/>
        </w:rPr>
        <w:t>天然气中的主要成分是甲烷,甲烷的危险特性列表叙述如下:</w:t>
      </w:r>
    </w:p>
    <w:p>
      <w:pPr>
        <w:pStyle w:val="BodyTextIndent3"/>
        <w:spacing w:after="0" w:line="460" w:lineRule="exact"/>
        <w:ind w:left="0" w:firstLine="1260" w:leftChars="0" w:firstLineChars="450"/>
        <w:jc w:val="center"/>
        <w:rPr>
          <w:rFonts w:eastAsia="仿宋_GB2312"/>
          <w:sz w:val="28"/>
          <w:szCs w:val="28"/>
        </w:rPr>
      </w:pPr>
      <w:r>
        <w:rPr>
          <w:rFonts w:eastAsia="仿宋_GB2312"/>
          <w:sz w:val="28"/>
          <w:szCs w:val="28"/>
        </w:rPr>
        <w:t>天然气（</w:t>
      </w:r>
      <w:r>
        <w:rPr>
          <w:rStyle w:val="3GB2312CharChar"/>
          <w:b w:val="0"/>
          <w:sz w:val="28"/>
          <w:szCs w:val="28"/>
        </w:rPr>
        <w:t>甲烷）危险特性简介表</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355"/>
        <w:gridCol w:w="3323"/>
        <w:gridCol w:w="1851"/>
        <w:gridCol w:w="2685"/>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184"/>
        </w:trPr>
        <w:tc>
          <w:tcPr>
            <w:tcW w:w="1355" w:type="dxa"/>
            <w:noWrap w:val="0"/>
            <w:vAlign w:val="center"/>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标识</w:t>
            </w:r>
          </w:p>
        </w:tc>
        <w:tc>
          <w:tcPr>
            <w:tcW w:w="3323"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中文名：天然气</w:t>
            </w:r>
          </w:p>
        </w:tc>
        <w:tc>
          <w:tcPr>
            <w:tcW w:w="4536" w:type="dxa"/>
            <w:gridSpan w:val="2"/>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 xml:space="preserve">英文名 Natural gas </w:t>
            </w:r>
          </w:p>
        </w:tc>
      </w:tr>
      <w:tr>
        <w:tblPrEx>
          <w:tblW w:w="0" w:type="auto"/>
          <w:tblInd w:w="108" w:type="dxa"/>
          <w:tblLayout w:type="fixed"/>
          <w:tblCellMar>
            <w:top w:w="0" w:type="dxa"/>
            <w:left w:w="108" w:type="dxa"/>
            <w:bottom w:w="0" w:type="dxa"/>
            <w:right w:w="108" w:type="dxa"/>
          </w:tblCellMar>
        </w:tblPrEx>
        <w:trPr>
          <w:cantSplit/>
          <w:trHeight w:val="184"/>
        </w:trPr>
        <w:tc>
          <w:tcPr>
            <w:tcW w:w="1355" w:type="dxa"/>
            <w:vMerge w:val="restart"/>
            <w:noWrap w:val="0"/>
            <w:vAlign w:val="center"/>
          </w:tcPr>
          <w:p>
            <w:pPr>
              <w:pStyle w:val="BodyTextIndent3"/>
              <w:spacing w:after="0" w:line="460" w:lineRule="exact"/>
              <w:ind w:left="0" w:leftChars="0"/>
              <w:jc w:val="center"/>
              <w:rPr>
                <w:rFonts w:ascii="宋体" w:hAnsi="宋体"/>
                <w:sz w:val="21"/>
                <w:szCs w:val="21"/>
              </w:rPr>
            </w:pPr>
            <w:r>
              <w:rPr>
                <w:rFonts w:ascii="宋体" w:hAnsi="宋体"/>
                <w:sz w:val="21"/>
                <w:szCs w:val="21"/>
              </w:rPr>
              <w:t>成分/组成</w:t>
            </w:r>
          </w:p>
        </w:tc>
        <w:tc>
          <w:tcPr>
            <w:tcW w:w="3323"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中文名：甲烷；沼气</w:t>
            </w:r>
          </w:p>
        </w:tc>
        <w:tc>
          <w:tcPr>
            <w:tcW w:w="4536" w:type="dxa"/>
            <w:gridSpan w:val="2"/>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 xml:space="preserve">英文名Methane;Marsh gas </w:t>
            </w:r>
          </w:p>
        </w:tc>
      </w:tr>
      <w:tr>
        <w:tblPrEx>
          <w:tblW w:w="0" w:type="auto"/>
          <w:tblInd w:w="108" w:type="dxa"/>
          <w:tblLayout w:type="fixed"/>
          <w:tblCellMar>
            <w:top w:w="0" w:type="dxa"/>
            <w:left w:w="108" w:type="dxa"/>
            <w:bottom w:w="0" w:type="dxa"/>
            <w:right w:w="108" w:type="dxa"/>
          </w:tblCellMar>
        </w:tblPrEx>
        <w:trPr>
          <w:cantSplit/>
          <w:trHeight w:val="204"/>
        </w:trPr>
        <w:tc>
          <w:tcPr>
            <w:tcW w:w="1355" w:type="dxa"/>
            <w:vMerge/>
            <w:noWrap w:val="0"/>
            <w:vAlign w:val="center"/>
          </w:tcPr>
          <w:p>
            <w:pPr>
              <w:pStyle w:val="BodyTextIndent3"/>
              <w:spacing w:after="0" w:line="460" w:lineRule="exact"/>
              <w:ind w:left="0" w:leftChars="0"/>
              <w:jc w:val="center"/>
              <w:rPr>
                <w:rFonts w:ascii="宋体" w:hAnsi="宋体"/>
                <w:sz w:val="21"/>
                <w:szCs w:val="21"/>
              </w:rPr>
            </w:pPr>
          </w:p>
        </w:tc>
        <w:tc>
          <w:tcPr>
            <w:tcW w:w="3323"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分子式：CH</w:t>
            </w:r>
            <w:r>
              <w:rPr>
                <w:rFonts w:ascii="宋体" w:hAnsi="宋体"/>
                <w:sz w:val="21"/>
                <w:szCs w:val="21"/>
                <w:vertAlign w:val="subscript"/>
              </w:rPr>
              <w:t>4</w:t>
            </w:r>
          </w:p>
        </w:tc>
        <w:tc>
          <w:tcPr>
            <w:tcW w:w="4536" w:type="dxa"/>
            <w:gridSpan w:val="2"/>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分子量：16.04     UN编号：1971</w:t>
            </w:r>
          </w:p>
        </w:tc>
      </w:tr>
      <w:tr>
        <w:tblPrEx>
          <w:tblW w:w="0" w:type="auto"/>
          <w:tblInd w:w="108" w:type="dxa"/>
          <w:tblLayout w:type="fixed"/>
          <w:tblCellMar>
            <w:top w:w="0" w:type="dxa"/>
            <w:left w:w="108" w:type="dxa"/>
            <w:bottom w:w="0" w:type="dxa"/>
            <w:right w:w="108" w:type="dxa"/>
          </w:tblCellMar>
        </w:tblPrEx>
        <w:trPr>
          <w:cantSplit/>
          <w:trHeight w:val="222"/>
        </w:trPr>
        <w:tc>
          <w:tcPr>
            <w:tcW w:w="1355" w:type="dxa"/>
            <w:vMerge/>
            <w:noWrap w:val="0"/>
            <w:vAlign w:val="center"/>
          </w:tcPr>
          <w:p>
            <w:pPr>
              <w:pStyle w:val="BodyTextIndent3"/>
              <w:spacing w:after="0" w:line="460" w:lineRule="exact"/>
              <w:ind w:left="0" w:leftChars="0"/>
              <w:jc w:val="center"/>
              <w:rPr>
                <w:rFonts w:ascii="宋体" w:hAnsi="宋体"/>
                <w:sz w:val="21"/>
                <w:szCs w:val="21"/>
              </w:rPr>
            </w:pPr>
          </w:p>
        </w:tc>
        <w:tc>
          <w:tcPr>
            <w:tcW w:w="3323"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危规号：21007</w:t>
            </w:r>
          </w:p>
        </w:tc>
        <w:tc>
          <w:tcPr>
            <w:tcW w:w="4536" w:type="dxa"/>
            <w:gridSpan w:val="2"/>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PTECS号： CAS号：74-82-8</w:t>
            </w:r>
          </w:p>
        </w:tc>
      </w:tr>
      <w:tr>
        <w:tblPrEx>
          <w:tblW w:w="0" w:type="auto"/>
          <w:tblInd w:w="108" w:type="dxa"/>
          <w:tblLayout w:type="fixed"/>
          <w:tblCellMar>
            <w:top w:w="0" w:type="dxa"/>
            <w:left w:w="108" w:type="dxa"/>
            <w:bottom w:w="0" w:type="dxa"/>
            <w:right w:w="108" w:type="dxa"/>
          </w:tblCellMar>
        </w:tblPrEx>
        <w:trPr>
          <w:cantSplit/>
          <w:trHeight w:val="255"/>
        </w:trPr>
        <w:tc>
          <w:tcPr>
            <w:tcW w:w="1355" w:type="dxa"/>
            <w:vMerge/>
            <w:noWrap w:val="0"/>
            <w:vAlign w:val="center"/>
          </w:tcPr>
          <w:p>
            <w:pPr>
              <w:pStyle w:val="BodyTextIndent3"/>
              <w:spacing w:after="0" w:line="460" w:lineRule="exact"/>
              <w:ind w:left="0" w:leftChars="0"/>
              <w:jc w:val="center"/>
              <w:rPr>
                <w:rFonts w:ascii="宋体" w:hAnsi="宋体"/>
                <w:sz w:val="21"/>
                <w:szCs w:val="21"/>
              </w:rPr>
            </w:pPr>
          </w:p>
        </w:tc>
        <w:tc>
          <w:tcPr>
            <w:tcW w:w="3323"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包装分类：</w:t>
            </w:r>
            <w:r>
              <w:rPr>
                <w:rFonts w:ascii="宋体" w:hAnsi="宋体" w:cs="宋体" w:hint="eastAsia"/>
                <w:sz w:val="21"/>
                <w:szCs w:val="21"/>
              </w:rPr>
              <w:t>Ⅱ</w:t>
            </w:r>
          </w:p>
        </w:tc>
        <w:tc>
          <w:tcPr>
            <w:tcW w:w="1851"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包装标志：4</w:t>
            </w:r>
          </w:p>
        </w:tc>
        <w:tc>
          <w:tcPr>
            <w:tcW w:w="2685" w:type="dxa"/>
            <w:noWrap w:val="0"/>
            <w:vAlign w:val="top"/>
          </w:tcPr>
          <w:p>
            <w:pPr>
              <w:pStyle w:val="BodyTextIndent3"/>
              <w:spacing w:after="0" w:line="460" w:lineRule="exact"/>
              <w:ind w:left="0" w:leftChars="0"/>
              <w:rPr>
                <w:rFonts w:ascii="宋体" w:hAnsi="宋体"/>
                <w:sz w:val="21"/>
                <w:szCs w:val="21"/>
              </w:rPr>
            </w:pPr>
            <w:r>
              <w:rPr>
                <w:rFonts w:ascii="宋体" w:hAnsi="宋体"/>
                <w:sz w:val="21"/>
                <w:szCs w:val="21"/>
              </w:rPr>
              <w:t>包装方法：钢制气瓶</w:t>
            </w:r>
          </w:p>
        </w:tc>
      </w:tr>
      <w:tr>
        <w:tblPrEx>
          <w:tblW w:w="0" w:type="auto"/>
          <w:tblInd w:w="108" w:type="dxa"/>
          <w:tblLayout w:type="fixed"/>
          <w:tblCellMar>
            <w:top w:w="0" w:type="dxa"/>
            <w:left w:w="108" w:type="dxa"/>
            <w:bottom w:w="0" w:type="dxa"/>
            <w:right w:w="108" w:type="dxa"/>
          </w:tblCellMar>
        </w:tblPrEx>
        <w:trPr>
          <w:cantSplit/>
          <w:trHeight w:val="300"/>
        </w:trPr>
        <w:tc>
          <w:tcPr>
            <w:tcW w:w="1355" w:type="dxa"/>
            <w:vMerge w:val="restart"/>
            <w:noWrap w:val="0"/>
            <w:vAlign w:val="center"/>
          </w:tcPr>
          <w:p>
            <w:pPr>
              <w:pStyle w:val="BodyTextIndent3"/>
              <w:spacing w:after="0" w:line="460" w:lineRule="exact"/>
              <w:ind w:left="0" w:leftChars="0"/>
              <w:jc w:val="center"/>
              <w:rPr>
                <w:rFonts w:ascii="宋体" w:hAnsi="宋体"/>
                <w:sz w:val="21"/>
                <w:szCs w:val="21"/>
              </w:rPr>
            </w:pPr>
            <w:r>
              <w:rPr>
                <w:rFonts w:ascii="宋体" w:hAnsi="宋体"/>
                <w:sz w:val="21"/>
                <w:szCs w:val="21"/>
              </w:rPr>
              <w:t>理化</w:t>
            </w:r>
          </w:p>
          <w:p>
            <w:pPr>
              <w:pStyle w:val="BodyTextIndent3"/>
              <w:spacing w:after="0" w:line="460" w:lineRule="exact"/>
              <w:ind w:left="0" w:leftChars="0"/>
              <w:jc w:val="center"/>
              <w:rPr>
                <w:rFonts w:ascii="宋体" w:hAnsi="宋体"/>
                <w:sz w:val="21"/>
                <w:szCs w:val="21"/>
              </w:rPr>
            </w:pPr>
            <w:r>
              <w:rPr>
                <w:rFonts w:ascii="宋体" w:hAnsi="宋体"/>
                <w:sz w:val="21"/>
                <w:szCs w:val="21"/>
              </w:rPr>
              <w:t>性质</w:t>
            </w:r>
          </w:p>
        </w:tc>
        <w:tc>
          <w:tcPr>
            <w:tcW w:w="3323"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闪点（</w:t>
            </w:r>
            <w:r>
              <w:rPr>
                <w:rFonts w:ascii="宋体" w:hAnsi="宋体" w:cs="宋体" w:hint="eastAsia"/>
                <w:sz w:val="21"/>
                <w:szCs w:val="21"/>
              </w:rPr>
              <w:t>℃</w:t>
            </w:r>
            <w:r>
              <w:rPr>
                <w:rFonts w:ascii="宋体" w:hAnsi="宋体"/>
                <w:sz w:val="21"/>
                <w:szCs w:val="21"/>
              </w:rPr>
              <w:t>）188</w:t>
            </w:r>
          </w:p>
        </w:tc>
        <w:tc>
          <w:tcPr>
            <w:tcW w:w="4536" w:type="dxa"/>
            <w:gridSpan w:val="2"/>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引燃温度（</w:t>
            </w:r>
            <w:r>
              <w:rPr>
                <w:rFonts w:ascii="宋体" w:hAnsi="宋体" w:cs="宋体" w:hint="eastAsia"/>
                <w:sz w:val="21"/>
                <w:szCs w:val="21"/>
              </w:rPr>
              <w:t>℃</w:t>
            </w:r>
            <w:r>
              <w:rPr>
                <w:rFonts w:ascii="宋体" w:hAnsi="宋体"/>
                <w:sz w:val="21"/>
                <w:szCs w:val="21"/>
              </w:rPr>
              <w:t>）538</w:t>
            </w:r>
          </w:p>
        </w:tc>
      </w:tr>
      <w:tr>
        <w:tblPrEx>
          <w:tblW w:w="0" w:type="auto"/>
          <w:tblInd w:w="108" w:type="dxa"/>
          <w:tblLayout w:type="fixed"/>
          <w:tblCellMar>
            <w:top w:w="0" w:type="dxa"/>
            <w:left w:w="108" w:type="dxa"/>
            <w:bottom w:w="0" w:type="dxa"/>
            <w:right w:w="108" w:type="dxa"/>
          </w:tblCellMar>
        </w:tblPrEx>
        <w:trPr>
          <w:cantSplit/>
          <w:trHeight w:val="165"/>
        </w:trPr>
        <w:tc>
          <w:tcPr>
            <w:tcW w:w="1355" w:type="dxa"/>
            <w:vMerge/>
            <w:noWrap w:val="0"/>
            <w:vAlign w:val="center"/>
          </w:tcPr>
          <w:p>
            <w:pPr>
              <w:pStyle w:val="BodyTextIndent3"/>
              <w:spacing w:after="0" w:line="460" w:lineRule="exact"/>
              <w:ind w:left="0" w:leftChars="0"/>
              <w:jc w:val="center"/>
              <w:rPr>
                <w:rFonts w:ascii="宋体" w:hAnsi="宋体"/>
                <w:sz w:val="21"/>
                <w:szCs w:val="21"/>
              </w:rPr>
            </w:pPr>
          </w:p>
        </w:tc>
        <w:tc>
          <w:tcPr>
            <w:tcW w:w="3323" w:type="dxa"/>
            <w:noWrap w:val="0"/>
            <w:vAlign w:val="top"/>
          </w:tcPr>
          <w:p>
            <w:pPr>
              <w:pStyle w:val="BodyTextIndent3"/>
              <w:spacing w:after="0" w:line="460" w:lineRule="exact"/>
              <w:ind w:left="0" w:leftChars="0"/>
              <w:rPr>
                <w:rFonts w:ascii="宋体" w:hAnsi="宋体"/>
                <w:sz w:val="21"/>
                <w:szCs w:val="21"/>
              </w:rPr>
            </w:pPr>
            <w:r>
              <w:rPr>
                <w:rFonts w:ascii="宋体" w:hAnsi="宋体"/>
                <w:sz w:val="21"/>
                <w:szCs w:val="21"/>
              </w:rPr>
              <w:t>最小点火能（mJ）0.28</w:t>
            </w:r>
          </w:p>
        </w:tc>
        <w:tc>
          <w:tcPr>
            <w:tcW w:w="4536" w:type="dxa"/>
            <w:gridSpan w:val="2"/>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最大爆炸压力（MPa）0.717</w:t>
            </w:r>
          </w:p>
        </w:tc>
      </w:tr>
      <w:tr>
        <w:tblPrEx>
          <w:tblW w:w="0" w:type="auto"/>
          <w:tblInd w:w="108" w:type="dxa"/>
          <w:tblLayout w:type="fixed"/>
          <w:tblCellMar>
            <w:top w:w="0" w:type="dxa"/>
            <w:left w:w="108" w:type="dxa"/>
            <w:bottom w:w="0" w:type="dxa"/>
            <w:right w:w="108" w:type="dxa"/>
          </w:tblCellMar>
        </w:tblPrEx>
        <w:trPr>
          <w:cantSplit/>
          <w:trHeight w:val="165"/>
        </w:trPr>
        <w:tc>
          <w:tcPr>
            <w:tcW w:w="1355" w:type="dxa"/>
            <w:vMerge/>
            <w:noWrap w:val="0"/>
            <w:vAlign w:val="center"/>
          </w:tcPr>
          <w:p>
            <w:pPr>
              <w:pStyle w:val="BodyTextIndent3"/>
              <w:spacing w:after="0" w:line="460" w:lineRule="exact"/>
              <w:ind w:left="0" w:leftChars="0"/>
              <w:jc w:val="center"/>
              <w:rPr>
                <w:rFonts w:ascii="宋体" w:hAnsi="宋体"/>
                <w:sz w:val="21"/>
                <w:szCs w:val="21"/>
              </w:rPr>
            </w:pPr>
          </w:p>
        </w:tc>
        <w:tc>
          <w:tcPr>
            <w:tcW w:w="3323"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爆炸下限（%）5.3</w:t>
            </w:r>
          </w:p>
        </w:tc>
        <w:tc>
          <w:tcPr>
            <w:tcW w:w="4536" w:type="dxa"/>
            <w:gridSpan w:val="2"/>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爆炸上限（%）15</w:t>
            </w:r>
          </w:p>
        </w:tc>
      </w:tr>
      <w:tr>
        <w:tblPrEx>
          <w:tblW w:w="0" w:type="auto"/>
          <w:tblInd w:w="108" w:type="dxa"/>
          <w:tblLayout w:type="fixed"/>
          <w:tblCellMar>
            <w:top w:w="0" w:type="dxa"/>
            <w:left w:w="108" w:type="dxa"/>
            <w:bottom w:w="0" w:type="dxa"/>
            <w:right w:w="108" w:type="dxa"/>
          </w:tblCellMar>
        </w:tblPrEx>
        <w:trPr>
          <w:cantSplit/>
          <w:trHeight w:val="264"/>
        </w:trPr>
        <w:tc>
          <w:tcPr>
            <w:tcW w:w="1355" w:type="dxa"/>
            <w:vMerge/>
            <w:noWrap w:val="0"/>
            <w:vAlign w:val="center"/>
          </w:tcPr>
          <w:p>
            <w:pPr>
              <w:pStyle w:val="BodyTextIndent3"/>
              <w:spacing w:after="0" w:line="460" w:lineRule="exact"/>
              <w:ind w:left="0" w:leftChars="0"/>
              <w:jc w:val="center"/>
              <w:rPr>
                <w:rFonts w:ascii="宋体" w:hAnsi="宋体"/>
                <w:sz w:val="21"/>
                <w:szCs w:val="21"/>
              </w:rPr>
            </w:pPr>
          </w:p>
        </w:tc>
        <w:tc>
          <w:tcPr>
            <w:tcW w:w="3323"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燃烧性：易燃</w:t>
            </w:r>
          </w:p>
        </w:tc>
        <w:tc>
          <w:tcPr>
            <w:tcW w:w="4536" w:type="dxa"/>
            <w:gridSpan w:val="2"/>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 xml:space="preserve">燃烧热：889.5 </w:t>
            </w:r>
          </w:p>
        </w:tc>
      </w:tr>
      <w:tr>
        <w:tblPrEx>
          <w:tblW w:w="0" w:type="auto"/>
          <w:tblInd w:w="108" w:type="dxa"/>
          <w:tblLayout w:type="fixed"/>
          <w:tblCellMar>
            <w:top w:w="0" w:type="dxa"/>
            <w:left w:w="108" w:type="dxa"/>
            <w:bottom w:w="0" w:type="dxa"/>
            <w:right w:w="108" w:type="dxa"/>
          </w:tblCellMar>
        </w:tblPrEx>
        <w:trPr>
          <w:cantSplit/>
          <w:trHeight w:val="328"/>
        </w:trPr>
        <w:tc>
          <w:tcPr>
            <w:tcW w:w="1355" w:type="dxa"/>
            <w:vMerge/>
            <w:noWrap w:val="0"/>
            <w:vAlign w:val="center"/>
          </w:tcPr>
          <w:p>
            <w:pPr>
              <w:pStyle w:val="BodyTextIndent3"/>
              <w:spacing w:after="0" w:line="460" w:lineRule="exact"/>
              <w:ind w:left="0" w:leftChars="0"/>
              <w:jc w:val="center"/>
              <w:rPr>
                <w:rFonts w:ascii="宋体" w:hAnsi="宋体"/>
                <w:sz w:val="21"/>
                <w:szCs w:val="21"/>
              </w:rPr>
            </w:pPr>
          </w:p>
        </w:tc>
        <w:tc>
          <w:tcPr>
            <w:tcW w:w="3323" w:type="dxa"/>
            <w:noWrap w:val="0"/>
            <w:vAlign w:val="top"/>
          </w:tcPr>
          <w:p>
            <w:pPr>
              <w:pStyle w:val="BodyTextIndent3"/>
              <w:spacing w:after="0" w:line="460" w:lineRule="exact"/>
              <w:ind w:left="0" w:leftChars="0"/>
              <w:rPr>
                <w:rFonts w:ascii="宋体" w:hAnsi="宋体"/>
                <w:sz w:val="21"/>
                <w:szCs w:val="21"/>
              </w:rPr>
            </w:pPr>
            <w:r>
              <w:rPr>
                <w:rFonts w:ascii="宋体" w:hAnsi="宋体"/>
                <w:sz w:val="21"/>
                <w:szCs w:val="21"/>
              </w:rPr>
              <w:t>沸点（</w:t>
            </w:r>
            <w:r>
              <w:rPr>
                <w:rFonts w:ascii="宋体" w:hAnsi="宋体" w:cs="宋体" w:hint="eastAsia"/>
                <w:sz w:val="21"/>
                <w:szCs w:val="21"/>
              </w:rPr>
              <w:t>℃</w:t>
            </w:r>
            <w:r>
              <w:rPr>
                <w:rFonts w:ascii="宋体" w:hAnsi="宋体"/>
                <w:sz w:val="21"/>
                <w:szCs w:val="21"/>
              </w:rPr>
              <w:t>）：-161.5</w:t>
            </w:r>
          </w:p>
        </w:tc>
        <w:tc>
          <w:tcPr>
            <w:tcW w:w="4536" w:type="dxa"/>
            <w:gridSpan w:val="2"/>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熔点（</w:t>
            </w:r>
            <w:r>
              <w:rPr>
                <w:rFonts w:ascii="宋体" w:hAnsi="宋体" w:cs="宋体" w:hint="eastAsia"/>
                <w:sz w:val="21"/>
                <w:szCs w:val="21"/>
              </w:rPr>
              <w:t>℃</w:t>
            </w:r>
            <w:r>
              <w:rPr>
                <w:rFonts w:ascii="宋体" w:hAnsi="宋体"/>
                <w:sz w:val="21"/>
                <w:szCs w:val="21"/>
              </w:rPr>
              <w:t>）：-182.5</w:t>
            </w:r>
          </w:p>
        </w:tc>
      </w:tr>
      <w:tr>
        <w:tblPrEx>
          <w:tblW w:w="0" w:type="auto"/>
          <w:tblInd w:w="108" w:type="dxa"/>
          <w:tblLayout w:type="fixed"/>
          <w:tblCellMar>
            <w:top w:w="0" w:type="dxa"/>
            <w:left w:w="108" w:type="dxa"/>
            <w:bottom w:w="0" w:type="dxa"/>
            <w:right w:w="108" w:type="dxa"/>
          </w:tblCellMar>
        </w:tblPrEx>
        <w:trPr>
          <w:cantSplit/>
          <w:trHeight w:val="281"/>
        </w:trPr>
        <w:tc>
          <w:tcPr>
            <w:tcW w:w="1355" w:type="dxa"/>
            <w:vMerge/>
            <w:noWrap w:val="0"/>
            <w:vAlign w:val="center"/>
          </w:tcPr>
          <w:p>
            <w:pPr>
              <w:pStyle w:val="BodyTextIndent3"/>
              <w:spacing w:after="0" w:line="460" w:lineRule="exact"/>
              <w:ind w:left="0" w:leftChars="0"/>
              <w:jc w:val="center"/>
              <w:rPr>
                <w:rFonts w:ascii="宋体" w:hAnsi="宋体"/>
                <w:sz w:val="21"/>
                <w:szCs w:val="21"/>
              </w:rPr>
            </w:pPr>
          </w:p>
        </w:tc>
        <w:tc>
          <w:tcPr>
            <w:tcW w:w="3323" w:type="dxa"/>
            <w:noWrap w:val="0"/>
            <w:vAlign w:val="top"/>
          </w:tcPr>
          <w:p>
            <w:pPr>
              <w:pStyle w:val="BodyTextIndent3"/>
              <w:spacing w:after="0" w:line="460" w:lineRule="exact"/>
              <w:ind w:left="0" w:leftChars="0"/>
              <w:rPr>
                <w:rFonts w:ascii="宋体" w:hAnsi="宋体"/>
                <w:sz w:val="21"/>
                <w:szCs w:val="21"/>
              </w:rPr>
            </w:pPr>
            <w:r>
              <w:rPr>
                <w:rFonts w:ascii="宋体" w:hAnsi="宋体"/>
                <w:sz w:val="21"/>
                <w:szCs w:val="21"/>
              </w:rPr>
              <w:t>相对密度（水=1）：0.42</w:t>
            </w:r>
          </w:p>
        </w:tc>
        <w:tc>
          <w:tcPr>
            <w:tcW w:w="4536" w:type="dxa"/>
            <w:gridSpan w:val="2"/>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相对密度（空气=1）：0.55</w:t>
            </w:r>
          </w:p>
        </w:tc>
      </w:tr>
      <w:tr>
        <w:tblPrEx>
          <w:tblW w:w="0" w:type="auto"/>
          <w:tblInd w:w="108" w:type="dxa"/>
          <w:tblLayout w:type="fixed"/>
          <w:tblCellMar>
            <w:top w:w="0" w:type="dxa"/>
            <w:left w:w="108" w:type="dxa"/>
            <w:bottom w:w="0" w:type="dxa"/>
            <w:right w:w="108" w:type="dxa"/>
          </w:tblCellMar>
        </w:tblPrEx>
        <w:trPr>
          <w:cantSplit/>
          <w:trHeight w:val="210"/>
        </w:trPr>
        <w:tc>
          <w:tcPr>
            <w:tcW w:w="1355" w:type="dxa"/>
            <w:vMerge/>
            <w:noWrap w:val="0"/>
            <w:vAlign w:val="center"/>
          </w:tcPr>
          <w:p>
            <w:pPr>
              <w:pStyle w:val="BodyTextIndent3"/>
              <w:spacing w:after="0" w:line="460" w:lineRule="exact"/>
              <w:ind w:left="0" w:leftChars="0"/>
              <w:jc w:val="center"/>
              <w:rPr>
                <w:rFonts w:ascii="宋体" w:hAnsi="宋体"/>
                <w:sz w:val="21"/>
                <w:szCs w:val="21"/>
              </w:rPr>
            </w:pPr>
          </w:p>
        </w:tc>
        <w:tc>
          <w:tcPr>
            <w:tcW w:w="3323"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饱和蒸气压/KPa：</w:t>
            </w:r>
          </w:p>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53.32（-168.8</w:t>
            </w:r>
            <w:r>
              <w:rPr>
                <w:rFonts w:ascii="宋体" w:hAnsi="宋体" w:cs="宋体" w:hint="eastAsia"/>
                <w:sz w:val="21"/>
                <w:szCs w:val="21"/>
              </w:rPr>
              <w:t>℃</w:t>
            </w:r>
            <w:r>
              <w:rPr>
                <w:rFonts w:ascii="宋体" w:hAnsi="宋体"/>
                <w:sz w:val="21"/>
                <w:szCs w:val="21"/>
              </w:rPr>
              <w:t>）</w:t>
            </w:r>
          </w:p>
        </w:tc>
        <w:tc>
          <w:tcPr>
            <w:tcW w:w="4536" w:type="dxa"/>
            <w:gridSpan w:val="2"/>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临界压力：4.59</w:t>
            </w:r>
          </w:p>
        </w:tc>
      </w:tr>
      <w:tr>
        <w:tblPrEx>
          <w:tblW w:w="0" w:type="auto"/>
          <w:tblInd w:w="108" w:type="dxa"/>
          <w:tblLayout w:type="fixed"/>
          <w:tblCellMar>
            <w:top w:w="0" w:type="dxa"/>
            <w:left w:w="108" w:type="dxa"/>
            <w:bottom w:w="0" w:type="dxa"/>
            <w:right w:w="108" w:type="dxa"/>
          </w:tblCellMar>
        </w:tblPrEx>
        <w:trPr>
          <w:cantSplit/>
          <w:trHeight w:val="120"/>
        </w:trPr>
        <w:tc>
          <w:tcPr>
            <w:tcW w:w="1355" w:type="dxa"/>
            <w:vMerge/>
            <w:noWrap w:val="0"/>
            <w:vAlign w:val="center"/>
          </w:tcPr>
          <w:p>
            <w:pPr>
              <w:pStyle w:val="BodyTextIndent3"/>
              <w:spacing w:after="0" w:line="460" w:lineRule="exact"/>
              <w:ind w:left="0" w:leftChars="0"/>
              <w:jc w:val="center"/>
              <w:rPr>
                <w:rFonts w:ascii="宋体" w:hAnsi="宋体"/>
                <w:sz w:val="21"/>
                <w:szCs w:val="21"/>
              </w:rPr>
            </w:pPr>
          </w:p>
        </w:tc>
        <w:tc>
          <w:tcPr>
            <w:tcW w:w="3323" w:type="dxa"/>
            <w:noWrap w:val="0"/>
            <w:vAlign w:val="top"/>
          </w:tcPr>
          <w:p>
            <w:pPr>
              <w:pStyle w:val="BodyTextIndent3"/>
              <w:spacing w:after="0" w:line="460" w:lineRule="exact"/>
              <w:ind w:left="-6" w:hanging="36" w:leftChars="-20" w:hangingChars="17"/>
              <w:rPr>
                <w:rFonts w:ascii="宋体" w:hAnsi="宋体"/>
                <w:sz w:val="21"/>
                <w:szCs w:val="21"/>
              </w:rPr>
            </w:pPr>
            <w:r>
              <w:rPr>
                <w:rFonts w:ascii="宋体" w:hAnsi="宋体"/>
                <w:sz w:val="21"/>
                <w:szCs w:val="21"/>
              </w:rPr>
              <w:t>临界温度（</w:t>
            </w:r>
            <w:r>
              <w:rPr>
                <w:rFonts w:ascii="宋体" w:hAnsi="宋体" w:cs="宋体" w:hint="eastAsia"/>
                <w:sz w:val="21"/>
                <w:szCs w:val="21"/>
              </w:rPr>
              <w:t>℃</w:t>
            </w:r>
            <w:r>
              <w:rPr>
                <w:rFonts w:ascii="宋体" w:hAnsi="宋体"/>
                <w:sz w:val="21"/>
                <w:szCs w:val="21"/>
              </w:rPr>
              <w:t>）：-82.6</w:t>
            </w:r>
          </w:p>
        </w:tc>
        <w:tc>
          <w:tcPr>
            <w:tcW w:w="4536" w:type="dxa"/>
            <w:gridSpan w:val="2"/>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溶解性：微溶于水，溶于乙醇、乙醚。</w:t>
            </w:r>
          </w:p>
        </w:tc>
      </w:tr>
      <w:tr>
        <w:tblPrEx>
          <w:tblW w:w="0" w:type="auto"/>
          <w:tblInd w:w="108" w:type="dxa"/>
          <w:tblLayout w:type="fixed"/>
          <w:tblCellMar>
            <w:top w:w="0" w:type="dxa"/>
            <w:left w:w="108" w:type="dxa"/>
            <w:bottom w:w="0" w:type="dxa"/>
            <w:right w:w="108" w:type="dxa"/>
          </w:tblCellMar>
        </w:tblPrEx>
        <w:trPr>
          <w:cantSplit/>
          <w:trHeight w:val="270"/>
        </w:trPr>
        <w:tc>
          <w:tcPr>
            <w:tcW w:w="1355" w:type="dxa"/>
            <w:noWrap w:val="0"/>
            <w:vAlign w:val="center"/>
          </w:tcPr>
          <w:p>
            <w:pPr>
              <w:pStyle w:val="BodyTextIndent3"/>
              <w:spacing w:after="0" w:line="460" w:lineRule="exact"/>
              <w:ind w:left="0" w:leftChars="0"/>
              <w:jc w:val="center"/>
              <w:rPr>
                <w:rFonts w:ascii="宋体" w:hAnsi="宋体"/>
                <w:sz w:val="21"/>
                <w:szCs w:val="21"/>
              </w:rPr>
            </w:pPr>
            <w:r>
              <w:rPr>
                <w:rFonts w:ascii="宋体" w:hAnsi="宋体"/>
                <w:sz w:val="21"/>
                <w:szCs w:val="21"/>
              </w:rPr>
              <w:t>性状</w:t>
            </w:r>
          </w:p>
        </w:tc>
        <w:tc>
          <w:tcPr>
            <w:tcW w:w="7859" w:type="dxa"/>
            <w:gridSpan w:val="3"/>
            <w:noWrap w:val="0"/>
            <w:vAlign w:val="top"/>
          </w:tcPr>
          <w:p>
            <w:pPr>
              <w:pStyle w:val="BodyTextIndent3"/>
              <w:spacing w:after="0" w:line="460" w:lineRule="exact"/>
              <w:ind w:left="0" w:leftChars="0"/>
              <w:rPr>
                <w:rFonts w:ascii="宋体" w:hAnsi="宋体"/>
                <w:sz w:val="21"/>
                <w:szCs w:val="21"/>
              </w:rPr>
            </w:pPr>
            <w:r>
              <w:rPr>
                <w:rFonts w:ascii="宋体" w:hAnsi="宋体"/>
                <w:sz w:val="21"/>
                <w:szCs w:val="21"/>
              </w:rPr>
              <w:t>无色无臭气体。</w:t>
            </w:r>
          </w:p>
        </w:tc>
      </w:tr>
      <w:tr>
        <w:tblPrEx>
          <w:tblW w:w="0" w:type="auto"/>
          <w:tblInd w:w="108" w:type="dxa"/>
          <w:tblLayout w:type="fixed"/>
          <w:tblCellMar>
            <w:top w:w="0" w:type="dxa"/>
            <w:left w:w="108" w:type="dxa"/>
            <w:bottom w:w="0" w:type="dxa"/>
            <w:right w:w="108" w:type="dxa"/>
          </w:tblCellMar>
        </w:tblPrEx>
        <w:trPr>
          <w:cantSplit/>
          <w:trHeight w:val="300"/>
        </w:trPr>
        <w:tc>
          <w:tcPr>
            <w:tcW w:w="1355" w:type="dxa"/>
            <w:vMerge w:val="restart"/>
            <w:noWrap w:val="0"/>
            <w:vAlign w:val="center"/>
          </w:tcPr>
          <w:p>
            <w:pPr>
              <w:pStyle w:val="BodyTextIndent3"/>
              <w:spacing w:after="0" w:line="460" w:lineRule="exact"/>
              <w:ind w:left="0" w:leftChars="0"/>
              <w:jc w:val="center"/>
              <w:rPr>
                <w:rFonts w:ascii="宋体" w:hAnsi="宋体"/>
                <w:sz w:val="21"/>
                <w:szCs w:val="21"/>
              </w:rPr>
            </w:pPr>
            <w:r>
              <w:rPr>
                <w:rFonts w:ascii="宋体" w:hAnsi="宋体"/>
                <w:sz w:val="21"/>
                <w:szCs w:val="21"/>
              </w:rPr>
              <w:t>健康</w:t>
            </w:r>
          </w:p>
          <w:p>
            <w:pPr>
              <w:pStyle w:val="BodyTextIndent3"/>
              <w:spacing w:after="0" w:line="460" w:lineRule="exact"/>
              <w:ind w:left="0" w:leftChars="0"/>
              <w:jc w:val="center"/>
              <w:rPr>
                <w:rFonts w:ascii="宋体" w:hAnsi="宋体"/>
                <w:sz w:val="21"/>
                <w:szCs w:val="21"/>
              </w:rPr>
            </w:pPr>
            <w:r>
              <w:rPr>
                <w:rFonts w:ascii="宋体" w:hAnsi="宋体"/>
                <w:sz w:val="21"/>
                <w:szCs w:val="21"/>
              </w:rPr>
              <w:t>危害</w:t>
            </w:r>
          </w:p>
        </w:tc>
        <w:tc>
          <w:tcPr>
            <w:tcW w:w="7859" w:type="dxa"/>
            <w:gridSpan w:val="3"/>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侵入途径：吸入。</w:t>
            </w:r>
          </w:p>
        </w:tc>
      </w:tr>
      <w:tr>
        <w:tblPrEx>
          <w:tblW w:w="0" w:type="auto"/>
          <w:tblInd w:w="108" w:type="dxa"/>
          <w:tblLayout w:type="fixed"/>
          <w:tblCellMar>
            <w:top w:w="0" w:type="dxa"/>
            <w:left w:w="108" w:type="dxa"/>
            <w:bottom w:w="0" w:type="dxa"/>
            <w:right w:w="108" w:type="dxa"/>
          </w:tblCellMar>
        </w:tblPrEx>
        <w:trPr>
          <w:cantSplit/>
          <w:trHeight w:val="255"/>
        </w:trPr>
        <w:tc>
          <w:tcPr>
            <w:tcW w:w="1355" w:type="dxa"/>
            <w:vMerge/>
            <w:noWrap w:val="0"/>
            <w:vAlign w:val="center"/>
          </w:tcPr>
          <w:p>
            <w:pPr>
              <w:pStyle w:val="BodyTextIndent3"/>
              <w:spacing w:after="0" w:line="460" w:lineRule="exact"/>
              <w:ind w:left="0" w:firstLine="420" w:leftChars="0" w:firstLineChars="200"/>
              <w:jc w:val="center"/>
              <w:rPr>
                <w:rFonts w:ascii="宋体" w:hAnsi="宋体"/>
                <w:sz w:val="21"/>
                <w:szCs w:val="21"/>
              </w:rPr>
            </w:pPr>
          </w:p>
        </w:tc>
        <w:tc>
          <w:tcPr>
            <w:tcW w:w="7859" w:type="dxa"/>
            <w:gridSpan w:val="3"/>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甲烷对人基本无毒，但浓度过高时，使空气中氧含量明显降低，</w:t>
            </w:r>
            <w:r>
              <w:rPr>
                <w:rFonts w:ascii="宋体" w:hAnsi="宋体" w:hint="eastAsia"/>
                <w:sz w:val="21"/>
                <w:szCs w:val="21"/>
              </w:rPr>
              <w:t>会使人</w:t>
            </w:r>
            <w:r>
              <w:rPr>
                <w:rFonts w:ascii="宋体" w:hAnsi="宋体"/>
                <w:sz w:val="21"/>
                <w:szCs w:val="21"/>
              </w:rPr>
              <w:t>窒息，当空气中甲烷达25%-30%时，可引起头痛、头晕、乏力、注意力不集中、呼吸和心跳加速、共济失调。若不及时脱离，可致窒息死亡。皮肤接触液化本品，可致冻伤。</w:t>
            </w:r>
          </w:p>
        </w:tc>
      </w:tr>
    </w:tbl>
    <w:p>
      <w:pPr>
        <w:sectPr>
          <w:headerReference w:type="default" r:id="rId25"/>
          <w:footerReference w:type="default" r:id="rId26"/>
          <w:type w:val="nextPage"/>
          <w:pgSz w:w="11906" w:h="16838"/>
          <w:pgMar w:top="1134" w:right="1588" w:bottom="1418" w:left="1134" w:header="851" w:footer="992" w:gutter="0"/>
          <w:pgNumType w:start="60"/>
          <w:cols w:num="1" w:space="720"/>
          <w:titlePg w:val="0"/>
          <w:docGrid w:type="lines" w:linePitch="290" w:charSpace="0"/>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355"/>
        <w:gridCol w:w="7859"/>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225"/>
        </w:trPr>
        <w:tc>
          <w:tcPr>
            <w:tcW w:w="1355" w:type="dxa"/>
            <w:vMerge w:val="restart"/>
            <w:noWrap w:val="0"/>
            <w:vAlign w:val="center"/>
          </w:tcPr>
          <w:p>
            <w:pPr>
              <w:pStyle w:val="BodyTextIndent3"/>
              <w:spacing w:after="0" w:line="460" w:lineRule="exact"/>
              <w:ind w:left="0" w:leftChars="0"/>
              <w:jc w:val="center"/>
              <w:rPr>
                <w:rFonts w:ascii="宋体" w:hAnsi="宋体"/>
                <w:sz w:val="21"/>
                <w:szCs w:val="21"/>
              </w:rPr>
            </w:pPr>
            <w:r>
              <w:rPr>
                <w:rFonts w:ascii="宋体" w:hAnsi="宋体"/>
                <w:sz w:val="21"/>
                <w:szCs w:val="21"/>
              </w:rPr>
              <w:t>毒性</w:t>
            </w:r>
          </w:p>
          <w:p>
            <w:pPr>
              <w:pStyle w:val="BodyTextIndent3"/>
              <w:spacing w:after="0" w:line="460" w:lineRule="exact"/>
              <w:ind w:left="0" w:leftChars="0"/>
              <w:jc w:val="center"/>
              <w:rPr>
                <w:rFonts w:ascii="宋体" w:hAnsi="宋体"/>
                <w:sz w:val="21"/>
                <w:szCs w:val="21"/>
              </w:rPr>
            </w:pPr>
            <w:r>
              <w:rPr>
                <w:rFonts w:ascii="宋体" w:hAnsi="宋体"/>
                <w:sz w:val="21"/>
                <w:szCs w:val="21"/>
              </w:rPr>
              <w:t>资料</w:t>
            </w:r>
          </w:p>
        </w:tc>
        <w:tc>
          <w:tcPr>
            <w:tcW w:w="7859"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急性毒性：LD</w:t>
            </w:r>
            <w:r>
              <w:rPr>
                <w:rFonts w:ascii="宋体" w:hAnsi="宋体"/>
                <w:sz w:val="21"/>
                <w:szCs w:val="21"/>
                <w:vertAlign w:val="subscript"/>
              </w:rPr>
              <w:t>50</w:t>
            </w:r>
            <w:r>
              <w:rPr>
                <w:rFonts w:ascii="宋体" w:hAnsi="宋体"/>
                <w:sz w:val="21"/>
                <w:szCs w:val="21"/>
              </w:rPr>
              <w:t xml:space="preserve"> ；  LC</w:t>
            </w:r>
            <w:r>
              <w:rPr>
                <w:rFonts w:ascii="宋体" w:hAnsi="宋体"/>
                <w:sz w:val="21"/>
                <w:szCs w:val="21"/>
                <w:vertAlign w:val="subscript"/>
              </w:rPr>
              <w:t>50</w:t>
            </w:r>
            <w:r>
              <w:rPr>
                <w:rFonts w:ascii="宋体" w:hAnsi="宋体"/>
                <w:sz w:val="21"/>
                <w:szCs w:val="21"/>
              </w:rPr>
              <w:t xml:space="preserve"> </w:t>
            </w:r>
          </w:p>
        </w:tc>
      </w:tr>
      <w:tr>
        <w:tblPrEx>
          <w:tblW w:w="0" w:type="auto"/>
          <w:tblInd w:w="108" w:type="dxa"/>
          <w:tblLayout w:type="fixed"/>
          <w:tblCellMar>
            <w:top w:w="0" w:type="dxa"/>
            <w:left w:w="108" w:type="dxa"/>
            <w:bottom w:w="0" w:type="dxa"/>
            <w:right w:w="108" w:type="dxa"/>
          </w:tblCellMar>
        </w:tblPrEx>
        <w:trPr>
          <w:cantSplit/>
          <w:trHeight w:val="225"/>
        </w:trPr>
        <w:tc>
          <w:tcPr>
            <w:tcW w:w="1355" w:type="dxa"/>
            <w:vMerge/>
            <w:noWrap w:val="0"/>
            <w:vAlign w:val="center"/>
          </w:tcPr>
          <w:p>
            <w:pPr>
              <w:pStyle w:val="BodyTextIndent3"/>
              <w:spacing w:after="0" w:line="460" w:lineRule="exact"/>
              <w:ind w:left="0" w:leftChars="0"/>
              <w:jc w:val="center"/>
              <w:rPr>
                <w:rFonts w:ascii="宋体" w:hAnsi="宋体"/>
                <w:sz w:val="21"/>
                <w:szCs w:val="21"/>
              </w:rPr>
            </w:pPr>
          </w:p>
        </w:tc>
        <w:tc>
          <w:tcPr>
            <w:tcW w:w="7859"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生态学资料：该物质属微毒类，对环境有危害。对于类和水体要给予特别注意；应注意对地表水、土壤、大气和饮用水的污染。</w:t>
            </w:r>
          </w:p>
        </w:tc>
      </w:tr>
      <w:tr>
        <w:tblPrEx>
          <w:tblW w:w="0" w:type="auto"/>
          <w:tblInd w:w="108" w:type="dxa"/>
          <w:tblLayout w:type="fixed"/>
          <w:tblCellMar>
            <w:top w:w="0" w:type="dxa"/>
            <w:left w:w="108" w:type="dxa"/>
            <w:bottom w:w="0" w:type="dxa"/>
            <w:right w:w="108" w:type="dxa"/>
          </w:tblCellMar>
        </w:tblPrEx>
        <w:trPr>
          <w:cantSplit/>
          <w:trHeight w:val="398"/>
        </w:trPr>
        <w:tc>
          <w:tcPr>
            <w:tcW w:w="1355" w:type="dxa"/>
            <w:noWrap w:val="0"/>
            <w:vAlign w:val="center"/>
          </w:tcPr>
          <w:p>
            <w:pPr>
              <w:pStyle w:val="BodyTextIndent3"/>
              <w:spacing w:after="0" w:line="460" w:lineRule="exact"/>
              <w:ind w:left="0" w:firstLine="71" w:leftChars="0" w:firstLineChars="34"/>
              <w:jc w:val="center"/>
              <w:rPr>
                <w:rFonts w:ascii="宋体" w:hAnsi="宋体"/>
                <w:sz w:val="21"/>
                <w:szCs w:val="21"/>
              </w:rPr>
            </w:pPr>
            <w:r>
              <w:rPr>
                <w:rFonts w:ascii="宋体" w:hAnsi="宋体"/>
                <w:sz w:val="21"/>
                <w:szCs w:val="21"/>
              </w:rPr>
              <w:t>危险</w:t>
            </w:r>
          </w:p>
          <w:p>
            <w:pPr>
              <w:pStyle w:val="BodyTextIndent3"/>
              <w:spacing w:after="0" w:line="460" w:lineRule="exact"/>
              <w:ind w:left="0" w:firstLine="71" w:leftChars="0" w:firstLineChars="34"/>
              <w:jc w:val="center"/>
              <w:rPr>
                <w:rFonts w:ascii="宋体" w:hAnsi="宋体"/>
                <w:sz w:val="21"/>
                <w:szCs w:val="21"/>
              </w:rPr>
            </w:pPr>
            <w:r>
              <w:rPr>
                <w:rFonts w:ascii="宋体" w:hAnsi="宋体"/>
                <w:sz w:val="21"/>
                <w:szCs w:val="21"/>
              </w:rPr>
              <w:t>特性</w:t>
            </w:r>
          </w:p>
        </w:tc>
        <w:tc>
          <w:tcPr>
            <w:tcW w:w="7859"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易燃，与空气混合能形成爆炸性混合物，遇热源和明火有燃烧爆炸的危险。与氧化溴、氯气、次氯酸、三氟化氮、液氯、二氟化氧及其它强氧化剂接触剧烈反应。</w:t>
            </w:r>
          </w:p>
        </w:tc>
      </w:tr>
      <w:tr>
        <w:tblPrEx>
          <w:tblW w:w="0" w:type="auto"/>
          <w:tblInd w:w="108" w:type="dxa"/>
          <w:tblLayout w:type="fixed"/>
          <w:tblCellMar>
            <w:top w:w="0" w:type="dxa"/>
            <w:left w:w="108" w:type="dxa"/>
            <w:bottom w:w="0" w:type="dxa"/>
            <w:right w:w="108" w:type="dxa"/>
          </w:tblCellMar>
        </w:tblPrEx>
        <w:trPr>
          <w:cantSplit/>
          <w:trHeight w:val="525"/>
        </w:trPr>
        <w:tc>
          <w:tcPr>
            <w:tcW w:w="1355" w:type="dxa"/>
            <w:noWrap w:val="0"/>
            <w:vAlign w:val="center"/>
          </w:tcPr>
          <w:p>
            <w:pPr>
              <w:pStyle w:val="BodyTextIndent3"/>
              <w:spacing w:after="0" w:line="460" w:lineRule="exact"/>
              <w:ind w:left="0" w:firstLine="71" w:leftChars="0" w:firstLineChars="34"/>
              <w:jc w:val="center"/>
              <w:rPr>
                <w:rFonts w:ascii="宋体" w:hAnsi="宋体"/>
                <w:sz w:val="21"/>
                <w:szCs w:val="21"/>
              </w:rPr>
            </w:pPr>
            <w:r>
              <w:rPr>
                <w:rFonts w:ascii="宋体" w:hAnsi="宋体"/>
                <w:sz w:val="21"/>
                <w:szCs w:val="21"/>
              </w:rPr>
              <mc:AlternateContent>
                <mc:Choice Requires="wps">
                  <w:drawing>
                    <wp:anchor distT="0" distB="0" distL="114300" distR="114300" simplePos="0" relativeHeight="251696128" behindDoc="0" locked="0" layoutInCell="1" allowOverlap="1">
                      <wp:simplePos x="0" y="0"/>
                      <wp:positionH relativeFrom="column">
                        <wp:posOffset>-67945</wp:posOffset>
                      </wp:positionH>
                      <wp:positionV relativeFrom="paragraph">
                        <wp:posOffset>-2085975</wp:posOffset>
                      </wp:positionV>
                      <wp:extent cx="5943600" cy="8023860"/>
                      <wp:effectExtent l="0" t="0" r="0" b="0"/>
                      <wp:wrapNone/>
                      <wp:docPr id="19" name="矩形 1043"/>
                      <wp:cNvGraphicFramePr/>
                      <a:graphic xmlns:a="http://schemas.openxmlformats.org/drawingml/2006/main">
                        <a:graphicData uri="http://schemas.microsoft.com/office/word/2010/wordprocessingShape">
                          <wps:wsp xmlns:wps="http://schemas.microsoft.com/office/word/2010/wordprocessingShape">
                            <wps:cNvSpPr/>
                            <wps:spPr>
                              <a:xfrm>
                                <a:off x="0" y="0"/>
                                <a:ext cx="5943600" cy="8023860"/>
                              </a:xfrm>
                              <a:prstGeom prst="rect">
                                <a:avLst/>
                              </a:prstGeom>
                              <a:noFill/>
                              <a:ln>
                                <a:noFill/>
                              </a:ln>
                            </wps:spPr>
                            <wps:bodyPr wrap="square" upright="1"/>
                          </wps:wsp>
                        </a:graphicData>
                      </a:graphic>
                    </wp:anchor>
                  </w:drawing>
                </mc:Choice>
                <mc:Fallback>
                  <w:pict>
                    <v:rect id="矩形 1043" o:spid="_x0000_s1044" style="width:468pt;height:631.8pt;margin-top:-164.25pt;margin-left:-5.35pt;mso-wrap-distance-bottom:0;mso-wrap-distance-left:9pt;mso-wrap-distance-right:9pt;mso-wrap-distance-top:0;position:absolute;v-text-anchor:top;z-index:251695104" filled="f" fillcolor="this" stroked="f"/>
                  </w:pict>
                </mc:Fallback>
              </mc:AlternateContent>
            </w:r>
            <w:r>
              <w:rPr>
                <w:rFonts w:ascii="宋体" w:hAnsi="宋体"/>
                <w:sz w:val="21"/>
                <w:szCs w:val="21"/>
              </w:rPr>
              <w:t>灭火</w:t>
            </w:r>
          </w:p>
          <w:p>
            <w:pPr>
              <w:pStyle w:val="BodyTextIndent3"/>
              <w:spacing w:after="0" w:line="460" w:lineRule="exact"/>
              <w:ind w:left="0" w:firstLine="71" w:leftChars="0" w:firstLineChars="34"/>
              <w:jc w:val="center"/>
              <w:rPr>
                <w:rFonts w:ascii="宋体" w:hAnsi="宋体"/>
                <w:sz w:val="21"/>
                <w:szCs w:val="21"/>
              </w:rPr>
            </w:pPr>
            <w:r>
              <w:rPr>
                <w:rFonts w:ascii="宋体" w:hAnsi="宋体"/>
                <w:sz w:val="21"/>
                <w:szCs w:val="21"/>
              </w:rPr>
              <w:t>方法</w:t>
            </w:r>
          </w:p>
        </w:tc>
        <w:tc>
          <w:tcPr>
            <w:tcW w:w="7859"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切断气源。若不能立即切断气源，则不允许熄灭正在燃烧的气体。喷水冷却容器．灭火剂：雾状水、泡沫、二氧化碳、干粉。</w:t>
            </w:r>
          </w:p>
        </w:tc>
      </w:tr>
      <w:tr>
        <w:tblPrEx>
          <w:tblW w:w="0" w:type="auto"/>
          <w:tblInd w:w="108" w:type="dxa"/>
          <w:tblLayout w:type="fixed"/>
          <w:tblCellMar>
            <w:top w:w="0" w:type="dxa"/>
            <w:left w:w="108" w:type="dxa"/>
            <w:bottom w:w="0" w:type="dxa"/>
            <w:right w:w="108" w:type="dxa"/>
          </w:tblCellMar>
        </w:tblPrEx>
        <w:trPr>
          <w:cantSplit/>
          <w:trHeight w:val="165"/>
        </w:trPr>
        <w:tc>
          <w:tcPr>
            <w:tcW w:w="1355" w:type="dxa"/>
            <w:noWrap w:val="0"/>
            <w:vAlign w:val="center"/>
          </w:tcPr>
          <w:p>
            <w:pPr>
              <w:pStyle w:val="BodyTextIndent3"/>
              <w:spacing w:after="0" w:line="460" w:lineRule="exact"/>
              <w:ind w:left="-13" w:hanging="94" w:leftChars="-51" w:hangingChars="45"/>
              <w:jc w:val="center"/>
              <w:rPr>
                <w:rFonts w:ascii="宋体" w:hAnsi="宋体"/>
                <w:sz w:val="21"/>
                <w:szCs w:val="21"/>
              </w:rPr>
            </w:pPr>
            <w:r>
              <w:rPr>
                <w:rFonts w:ascii="宋体" w:hAnsi="宋体"/>
                <w:sz w:val="21"/>
                <w:szCs w:val="21"/>
              </w:rPr>
              <w:t>禁忌物</w:t>
            </w:r>
          </w:p>
        </w:tc>
        <w:tc>
          <w:tcPr>
            <w:tcW w:w="7859"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强氧化剂、氟、氯。</w:t>
            </w:r>
          </w:p>
        </w:tc>
      </w:tr>
      <w:tr>
        <w:tblPrEx>
          <w:tblW w:w="0" w:type="auto"/>
          <w:tblInd w:w="108" w:type="dxa"/>
          <w:tblLayout w:type="fixed"/>
          <w:tblCellMar>
            <w:top w:w="0" w:type="dxa"/>
            <w:left w:w="108" w:type="dxa"/>
            <w:bottom w:w="0" w:type="dxa"/>
            <w:right w:w="108" w:type="dxa"/>
          </w:tblCellMar>
        </w:tblPrEx>
        <w:trPr>
          <w:cantSplit/>
          <w:trHeight w:val="450"/>
        </w:trPr>
        <w:tc>
          <w:tcPr>
            <w:tcW w:w="1355" w:type="dxa"/>
            <w:vMerge w:val="restart"/>
            <w:noWrap w:val="0"/>
            <w:vAlign w:val="center"/>
          </w:tcPr>
          <w:p>
            <w:pPr>
              <w:pStyle w:val="BodyTextIndent3"/>
              <w:spacing w:line="460" w:lineRule="exact"/>
              <w:ind w:left="420" w:hanging="346" w:leftChars="35" w:hangingChars="165"/>
              <w:jc w:val="center"/>
              <w:rPr>
                <w:rFonts w:ascii="宋体" w:hAnsi="宋体"/>
                <w:sz w:val="21"/>
                <w:szCs w:val="21"/>
              </w:rPr>
            </w:pPr>
            <w:r>
              <w:rPr>
                <w:rFonts w:ascii="宋体" w:hAnsi="宋体"/>
                <w:sz w:val="21"/>
                <w:szCs w:val="21"/>
              </w:rPr>
              <w:t>防护</w:t>
            </w:r>
          </w:p>
          <w:p>
            <w:pPr>
              <w:pStyle w:val="BodyTextIndent3"/>
              <w:spacing w:line="460" w:lineRule="exact"/>
              <w:ind w:left="420" w:hanging="346" w:leftChars="35" w:hangingChars="165"/>
              <w:jc w:val="center"/>
              <w:rPr>
                <w:rFonts w:ascii="宋体" w:hAnsi="宋体"/>
                <w:sz w:val="21"/>
                <w:szCs w:val="21"/>
              </w:rPr>
            </w:pPr>
            <w:r>
              <w:rPr>
                <w:rFonts w:ascii="宋体" w:hAnsi="宋体"/>
                <w:sz w:val="21"/>
                <w:szCs w:val="21"/>
              </w:rPr>
              <w:t>措施</w:t>
            </w:r>
          </w:p>
        </w:tc>
        <w:tc>
          <w:tcPr>
            <w:tcW w:w="7859"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吸入：迅速脱离现场至空气新鲜处，注意保暖，保特呼吸道通畅，如呼吸困难，给输氧。如呼吸及心跳停止，立即进行人工呼吸及心脏按压术，就医。</w:t>
            </w:r>
          </w:p>
        </w:tc>
      </w:tr>
      <w:tr>
        <w:tblPrEx>
          <w:tblW w:w="0" w:type="auto"/>
          <w:tblInd w:w="108" w:type="dxa"/>
          <w:tblLayout w:type="fixed"/>
          <w:tblCellMar>
            <w:top w:w="0" w:type="dxa"/>
            <w:left w:w="108" w:type="dxa"/>
            <w:bottom w:w="0" w:type="dxa"/>
            <w:right w:w="108" w:type="dxa"/>
          </w:tblCellMar>
        </w:tblPrEx>
        <w:trPr>
          <w:cantSplit/>
          <w:trHeight w:val="211"/>
        </w:trPr>
        <w:tc>
          <w:tcPr>
            <w:tcW w:w="1355" w:type="dxa"/>
            <w:vMerge/>
            <w:noWrap w:val="0"/>
            <w:vAlign w:val="center"/>
          </w:tcPr>
          <w:p>
            <w:pPr>
              <w:pStyle w:val="BodyTextIndent3"/>
              <w:spacing w:line="460" w:lineRule="exact"/>
              <w:ind w:firstLine="420" w:firstLineChars="200"/>
              <w:jc w:val="center"/>
              <w:rPr>
                <w:rFonts w:ascii="宋体" w:hAnsi="宋体"/>
                <w:sz w:val="21"/>
                <w:szCs w:val="21"/>
              </w:rPr>
            </w:pPr>
          </w:p>
        </w:tc>
        <w:tc>
          <w:tcPr>
            <w:tcW w:w="7859"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食入：误服者用水漱口，给饮牛奶或蛋清，就医。</w:t>
            </w:r>
          </w:p>
        </w:tc>
      </w:tr>
      <w:tr>
        <w:tblPrEx>
          <w:tblW w:w="0" w:type="auto"/>
          <w:tblInd w:w="108" w:type="dxa"/>
          <w:tblLayout w:type="fixed"/>
          <w:tblCellMar>
            <w:top w:w="0" w:type="dxa"/>
            <w:left w:w="108" w:type="dxa"/>
            <w:bottom w:w="0" w:type="dxa"/>
            <w:right w:w="108" w:type="dxa"/>
          </w:tblCellMar>
        </w:tblPrEx>
        <w:trPr>
          <w:cantSplit/>
          <w:trHeight w:val="211"/>
        </w:trPr>
        <w:tc>
          <w:tcPr>
            <w:tcW w:w="1355" w:type="dxa"/>
            <w:vMerge/>
            <w:noWrap w:val="0"/>
            <w:vAlign w:val="center"/>
          </w:tcPr>
          <w:p>
            <w:pPr>
              <w:pStyle w:val="BodyTextIndent3"/>
              <w:spacing w:line="460" w:lineRule="exact"/>
              <w:ind w:firstLine="420" w:firstLineChars="200"/>
              <w:jc w:val="center"/>
              <w:rPr>
                <w:rFonts w:ascii="宋体" w:hAnsi="宋体"/>
                <w:sz w:val="21"/>
                <w:szCs w:val="21"/>
              </w:rPr>
            </w:pPr>
          </w:p>
        </w:tc>
        <w:tc>
          <w:tcPr>
            <w:tcW w:w="7859"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皮肤接触：若有冻伤，就医治疗。</w:t>
            </w:r>
          </w:p>
        </w:tc>
      </w:tr>
      <w:tr>
        <w:tblPrEx>
          <w:tblW w:w="0" w:type="auto"/>
          <w:tblInd w:w="108" w:type="dxa"/>
          <w:tblLayout w:type="fixed"/>
          <w:tblCellMar>
            <w:top w:w="0" w:type="dxa"/>
            <w:left w:w="108" w:type="dxa"/>
            <w:bottom w:w="0" w:type="dxa"/>
            <w:right w:w="108" w:type="dxa"/>
          </w:tblCellMar>
        </w:tblPrEx>
        <w:trPr>
          <w:cantSplit/>
          <w:trHeight w:val="270"/>
        </w:trPr>
        <w:tc>
          <w:tcPr>
            <w:tcW w:w="1355" w:type="dxa"/>
            <w:vMerge/>
            <w:noWrap w:val="0"/>
            <w:vAlign w:val="center"/>
          </w:tcPr>
          <w:p>
            <w:pPr>
              <w:pStyle w:val="BodyTextIndent3"/>
              <w:spacing w:after="0" w:line="460" w:lineRule="exact"/>
              <w:ind w:left="0" w:firstLine="420" w:leftChars="0" w:firstLineChars="200"/>
              <w:jc w:val="center"/>
              <w:rPr>
                <w:rFonts w:ascii="宋体" w:hAnsi="宋体"/>
                <w:sz w:val="21"/>
                <w:szCs w:val="21"/>
              </w:rPr>
            </w:pPr>
          </w:p>
        </w:tc>
        <w:tc>
          <w:tcPr>
            <w:tcW w:w="7859"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检测方法：氰化钡比色法。</w:t>
            </w:r>
          </w:p>
        </w:tc>
      </w:tr>
      <w:tr>
        <w:tblPrEx>
          <w:tblW w:w="0" w:type="auto"/>
          <w:tblInd w:w="108" w:type="dxa"/>
          <w:tblLayout w:type="fixed"/>
          <w:tblCellMar>
            <w:top w:w="0" w:type="dxa"/>
            <w:left w:w="108" w:type="dxa"/>
            <w:bottom w:w="0" w:type="dxa"/>
            <w:right w:w="108" w:type="dxa"/>
          </w:tblCellMar>
        </w:tblPrEx>
        <w:trPr>
          <w:cantSplit/>
          <w:trHeight w:val="195"/>
        </w:trPr>
        <w:tc>
          <w:tcPr>
            <w:tcW w:w="1355" w:type="dxa"/>
            <w:vMerge/>
            <w:noWrap w:val="0"/>
            <w:vAlign w:val="center"/>
          </w:tcPr>
          <w:p>
            <w:pPr>
              <w:pStyle w:val="BodyTextIndent3"/>
              <w:spacing w:after="0" w:line="460" w:lineRule="exact"/>
              <w:ind w:left="0" w:firstLine="420" w:leftChars="0" w:firstLineChars="200"/>
              <w:jc w:val="center"/>
              <w:rPr>
                <w:rFonts w:ascii="宋体" w:hAnsi="宋体"/>
                <w:sz w:val="21"/>
                <w:szCs w:val="21"/>
              </w:rPr>
            </w:pPr>
          </w:p>
        </w:tc>
        <w:tc>
          <w:tcPr>
            <w:tcW w:w="7859"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工程控制：密闭操作，全面通风。</w:t>
            </w:r>
          </w:p>
        </w:tc>
      </w:tr>
      <w:tr>
        <w:tblPrEx>
          <w:tblW w:w="0" w:type="auto"/>
          <w:tblInd w:w="108" w:type="dxa"/>
          <w:tblLayout w:type="fixed"/>
          <w:tblCellMar>
            <w:top w:w="0" w:type="dxa"/>
            <w:left w:w="108" w:type="dxa"/>
            <w:bottom w:w="0" w:type="dxa"/>
            <w:right w:w="108" w:type="dxa"/>
          </w:tblCellMar>
        </w:tblPrEx>
        <w:trPr>
          <w:cantSplit/>
          <w:trHeight w:val="205"/>
        </w:trPr>
        <w:tc>
          <w:tcPr>
            <w:tcW w:w="1355" w:type="dxa"/>
            <w:vMerge/>
            <w:noWrap w:val="0"/>
            <w:vAlign w:val="center"/>
          </w:tcPr>
          <w:p>
            <w:pPr>
              <w:pStyle w:val="BodyTextIndent3"/>
              <w:spacing w:after="0" w:line="460" w:lineRule="exact"/>
              <w:ind w:left="0" w:firstLine="420" w:leftChars="0" w:firstLineChars="200"/>
              <w:jc w:val="center"/>
              <w:rPr>
                <w:rFonts w:ascii="宋体" w:hAnsi="宋体"/>
                <w:sz w:val="21"/>
                <w:szCs w:val="21"/>
              </w:rPr>
            </w:pPr>
          </w:p>
        </w:tc>
        <w:tc>
          <w:tcPr>
            <w:tcW w:w="7859"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呼吸系统防护：一般不需要特殊防护，但建议特殊情况下，佩戴自吸过滤式防毒面具。</w:t>
            </w:r>
          </w:p>
        </w:tc>
      </w:tr>
      <w:tr>
        <w:tblPrEx>
          <w:tblW w:w="0" w:type="auto"/>
          <w:tblInd w:w="108" w:type="dxa"/>
          <w:tblLayout w:type="fixed"/>
          <w:tblCellMar>
            <w:top w:w="0" w:type="dxa"/>
            <w:left w:w="108" w:type="dxa"/>
            <w:bottom w:w="0" w:type="dxa"/>
            <w:right w:w="108" w:type="dxa"/>
          </w:tblCellMar>
        </w:tblPrEx>
        <w:trPr>
          <w:cantSplit/>
          <w:trHeight w:val="147"/>
        </w:trPr>
        <w:tc>
          <w:tcPr>
            <w:tcW w:w="1355" w:type="dxa"/>
            <w:vMerge/>
            <w:noWrap w:val="0"/>
            <w:vAlign w:val="center"/>
          </w:tcPr>
          <w:p>
            <w:pPr>
              <w:pStyle w:val="BodyTextIndent3"/>
              <w:spacing w:after="0" w:line="460" w:lineRule="exact"/>
              <w:ind w:left="0" w:firstLine="420" w:leftChars="0" w:firstLineChars="200"/>
              <w:jc w:val="center"/>
              <w:rPr>
                <w:rFonts w:ascii="宋体" w:hAnsi="宋体"/>
                <w:sz w:val="21"/>
                <w:szCs w:val="21"/>
              </w:rPr>
            </w:pPr>
          </w:p>
        </w:tc>
        <w:tc>
          <w:tcPr>
            <w:tcW w:w="7859" w:type="dxa"/>
            <w:tcBorders>
              <w:bottom w:val="single" w:sz="4" w:space="0" w:color="auto"/>
            </w:tcBorders>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眼睛防护：一般不需要特殊防护，高浓度接触时可戴安全防护眼镜。</w:t>
            </w:r>
          </w:p>
        </w:tc>
      </w:tr>
      <w:tr>
        <w:tblPrEx>
          <w:tblW w:w="0" w:type="auto"/>
          <w:tblInd w:w="108" w:type="dxa"/>
          <w:tblLayout w:type="fixed"/>
          <w:tblCellMar>
            <w:top w:w="0" w:type="dxa"/>
            <w:left w:w="108" w:type="dxa"/>
            <w:bottom w:w="0" w:type="dxa"/>
            <w:right w:w="108" w:type="dxa"/>
          </w:tblCellMar>
        </w:tblPrEx>
        <w:trPr>
          <w:cantSplit/>
          <w:trHeight w:val="165"/>
        </w:trPr>
        <w:tc>
          <w:tcPr>
            <w:tcW w:w="1355" w:type="dxa"/>
            <w:vMerge/>
            <w:noWrap w:val="0"/>
            <w:vAlign w:val="center"/>
          </w:tcPr>
          <w:p>
            <w:pPr>
              <w:pStyle w:val="BodyTextIndent3"/>
              <w:spacing w:after="0" w:line="460" w:lineRule="exact"/>
              <w:ind w:left="0" w:firstLine="420" w:leftChars="0" w:firstLineChars="200"/>
              <w:jc w:val="center"/>
              <w:rPr>
                <w:rFonts w:ascii="宋体" w:hAnsi="宋体"/>
                <w:sz w:val="21"/>
                <w:szCs w:val="21"/>
              </w:rPr>
            </w:pPr>
          </w:p>
        </w:tc>
        <w:tc>
          <w:tcPr>
            <w:tcW w:w="7859" w:type="dxa"/>
            <w:tcBorders>
              <w:bottom w:val="single" w:sz="4" w:space="0" w:color="auto"/>
            </w:tcBorders>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身体防护：穿防静电工作服。</w:t>
            </w:r>
          </w:p>
        </w:tc>
      </w:tr>
      <w:tr>
        <w:tblPrEx>
          <w:tblW w:w="0" w:type="auto"/>
          <w:tblInd w:w="108" w:type="dxa"/>
          <w:tblLayout w:type="fixed"/>
          <w:tblCellMar>
            <w:top w:w="0" w:type="dxa"/>
            <w:left w:w="108" w:type="dxa"/>
            <w:bottom w:w="0" w:type="dxa"/>
            <w:right w:w="108" w:type="dxa"/>
          </w:tblCellMar>
        </w:tblPrEx>
        <w:trPr>
          <w:cantSplit/>
          <w:trHeight w:val="210"/>
        </w:trPr>
        <w:tc>
          <w:tcPr>
            <w:tcW w:w="1355" w:type="dxa"/>
            <w:vMerge/>
            <w:noWrap w:val="0"/>
            <w:vAlign w:val="center"/>
          </w:tcPr>
          <w:p>
            <w:pPr>
              <w:pStyle w:val="BodyTextIndent3"/>
              <w:spacing w:after="0" w:line="460" w:lineRule="exact"/>
              <w:ind w:left="0" w:firstLine="420" w:leftChars="0" w:firstLineChars="200"/>
              <w:jc w:val="center"/>
              <w:rPr>
                <w:rFonts w:ascii="宋体" w:hAnsi="宋体"/>
                <w:sz w:val="21"/>
                <w:szCs w:val="21"/>
              </w:rPr>
            </w:pPr>
          </w:p>
        </w:tc>
        <w:tc>
          <w:tcPr>
            <w:tcW w:w="7859" w:type="dxa"/>
            <w:tcBorders>
              <w:bottom w:val="single" w:sz="4" w:space="0" w:color="auto"/>
            </w:tcBorders>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手防护：戴一般作业防护手套。</w:t>
            </w:r>
          </w:p>
        </w:tc>
      </w:tr>
      <w:tr>
        <w:tblPrEx>
          <w:tblW w:w="0" w:type="auto"/>
          <w:tblInd w:w="108" w:type="dxa"/>
          <w:tblLayout w:type="fixed"/>
          <w:tblCellMar>
            <w:top w:w="0" w:type="dxa"/>
            <w:left w:w="108" w:type="dxa"/>
            <w:bottom w:w="0" w:type="dxa"/>
            <w:right w:w="108" w:type="dxa"/>
          </w:tblCellMar>
        </w:tblPrEx>
        <w:trPr>
          <w:cantSplit/>
          <w:trHeight w:val="262"/>
        </w:trPr>
        <w:tc>
          <w:tcPr>
            <w:tcW w:w="1355" w:type="dxa"/>
            <w:vMerge/>
            <w:tcBorders>
              <w:bottom w:val="single" w:sz="4" w:space="0" w:color="auto"/>
            </w:tcBorders>
            <w:noWrap w:val="0"/>
            <w:vAlign w:val="center"/>
          </w:tcPr>
          <w:p>
            <w:pPr>
              <w:pStyle w:val="BodyTextIndent3"/>
              <w:spacing w:after="0" w:line="460" w:lineRule="exact"/>
              <w:ind w:left="0" w:firstLine="420" w:leftChars="0" w:firstLineChars="200"/>
              <w:jc w:val="center"/>
              <w:rPr>
                <w:rFonts w:ascii="宋体" w:hAnsi="宋体"/>
                <w:sz w:val="21"/>
                <w:szCs w:val="21"/>
              </w:rPr>
            </w:pPr>
          </w:p>
        </w:tc>
        <w:tc>
          <w:tcPr>
            <w:tcW w:w="7859" w:type="dxa"/>
            <w:tcBorders>
              <w:bottom w:val="single" w:sz="4" w:space="0" w:color="auto"/>
            </w:tcBorders>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其它：工作场所禁止吸烟。避免长期反复接触。进入缺罐、限制性空间或其它高浓度区作业，须有人监护。</w:t>
            </w:r>
          </w:p>
        </w:tc>
      </w:tr>
      <w:tr>
        <w:tblPrEx>
          <w:tblW w:w="0" w:type="auto"/>
          <w:tblInd w:w="108" w:type="dxa"/>
          <w:tblLayout w:type="fixed"/>
          <w:tblCellMar>
            <w:top w:w="0" w:type="dxa"/>
            <w:left w:w="108" w:type="dxa"/>
            <w:bottom w:w="0" w:type="dxa"/>
            <w:right w:w="108" w:type="dxa"/>
          </w:tblCellMar>
        </w:tblPrEx>
        <w:trPr>
          <w:cantSplit/>
          <w:trHeight w:val="1215"/>
        </w:trPr>
        <w:tc>
          <w:tcPr>
            <w:tcW w:w="1355" w:type="dxa"/>
            <w:noWrap w:val="0"/>
            <w:vAlign w:val="center"/>
          </w:tcPr>
          <w:p>
            <w:pPr>
              <w:pStyle w:val="BodyTextIndent3"/>
              <w:spacing w:after="0" w:line="460" w:lineRule="exact"/>
              <w:ind w:left="0" w:firstLine="71" w:leftChars="0" w:firstLineChars="34"/>
              <w:jc w:val="center"/>
              <w:rPr>
                <w:rFonts w:ascii="宋体" w:hAnsi="宋体"/>
                <w:sz w:val="21"/>
                <w:szCs w:val="21"/>
              </w:rPr>
            </w:pPr>
            <w:r>
              <w:rPr>
                <w:rFonts w:ascii="宋体" w:hAnsi="宋体"/>
                <w:sz w:val="21"/>
                <w:szCs w:val="21"/>
              </w:rPr>
              <w:t>泄漏</w:t>
            </w:r>
          </w:p>
          <w:p>
            <w:pPr>
              <w:pStyle w:val="BodyTextIndent3"/>
              <w:spacing w:after="0" w:line="460" w:lineRule="exact"/>
              <w:ind w:left="0" w:firstLine="71" w:leftChars="0" w:firstLineChars="34"/>
              <w:jc w:val="center"/>
              <w:rPr>
                <w:rFonts w:ascii="宋体" w:hAnsi="宋体"/>
                <w:sz w:val="21"/>
                <w:szCs w:val="21"/>
              </w:rPr>
            </w:pPr>
            <w:r>
              <w:rPr>
                <w:rFonts w:ascii="宋体" w:hAnsi="宋体"/>
                <w:sz w:val="21"/>
                <w:szCs w:val="21"/>
              </w:rPr>
              <w:t>处理</w:t>
            </w:r>
          </w:p>
        </w:tc>
        <w:tc>
          <w:tcPr>
            <w:tcW w:w="7859"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迅速撤离泄露污染区人员至上风口，并进行隔离，严格限制出入。切断火源。建议处理人员戴自给正压式呼吸器，穿消防护服。尽可切断泄漏源。合理通风，加速扩散。喷雾状水稀释、溶解。构筑围堤或挖坑收容产生的大量废水。如有可能，将漏出气用排风机送至空旷地方或装设适当喷头烧掉。注意通风。漏气容器要妥善处理，修复，检验后再用。</w:t>
            </w:r>
          </w:p>
        </w:tc>
      </w:tr>
      <w:tr>
        <w:tblPrEx>
          <w:tblW w:w="0" w:type="auto"/>
          <w:tblInd w:w="108" w:type="dxa"/>
          <w:tblLayout w:type="fixed"/>
          <w:tblCellMar>
            <w:top w:w="0" w:type="dxa"/>
            <w:left w:w="108" w:type="dxa"/>
            <w:bottom w:w="0" w:type="dxa"/>
            <w:right w:w="108" w:type="dxa"/>
          </w:tblCellMar>
        </w:tblPrEx>
        <w:trPr>
          <w:cantSplit/>
          <w:trHeight w:val="1215"/>
        </w:trPr>
        <w:tc>
          <w:tcPr>
            <w:tcW w:w="1355" w:type="dxa"/>
            <w:noWrap w:val="0"/>
            <w:vAlign w:val="center"/>
          </w:tcPr>
          <w:p>
            <w:pPr>
              <w:pStyle w:val="BodyTextIndent3"/>
              <w:spacing w:after="0" w:line="460" w:lineRule="exact"/>
              <w:ind w:left="0" w:firstLine="71" w:leftChars="0" w:firstLineChars="34"/>
              <w:jc w:val="center"/>
              <w:rPr>
                <w:rFonts w:ascii="宋体" w:hAnsi="宋体"/>
                <w:sz w:val="21"/>
                <w:szCs w:val="21"/>
              </w:rPr>
            </w:pPr>
            <w:r>
              <w:rPr>
                <w:rFonts w:ascii="宋体" w:hAnsi="宋体"/>
                <w:sz w:val="21"/>
                <w:szCs w:val="21"/>
              </w:rPr>
              <w:t>运输</w:t>
            </w:r>
          </w:p>
          <w:p>
            <w:pPr>
              <w:pStyle w:val="BodyTextIndent3"/>
              <w:spacing w:after="0" w:line="460" w:lineRule="exact"/>
              <w:ind w:left="0" w:firstLine="71" w:leftChars="0" w:firstLineChars="34"/>
              <w:jc w:val="center"/>
              <w:rPr>
                <w:rFonts w:ascii="宋体" w:hAnsi="宋体"/>
                <w:sz w:val="21"/>
                <w:szCs w:val="21"/>
              </w:rPr>
            </w:pPr>
            <w:r>
              <w:rPr>
                <w:rFonts w:ascii="宋体" w:hAnsi="宋体"/>
                <w:sz w:val="21"/>
                <w:szCs w:val="21"/>
              </w:rPr>
              <w:t>信息</w:t>
            </w:r>
          </w:p>
        </w:tc>
        <w:tc>
          <w:tcPr>
            <w:tcW w:w="7859" w:type="dxa"/>
            <w:noWrap w:val="0"/>
            <w:vAlign w:val="top"/>
          </w:tcPr>
          <w:p>
            <w:pPr>
              <w:autoSpaceDE w:val="0"/>
              <w:autoSpaceDN w:val="0"/>
              <w:adjustRightInd w:val="0"/>
              <w:spacing w:line="481" w:lineRule="exact"/>
              <w:ind w:left="-2" w:firstLine="420" w:firstLineChars="200"/>
              <w:rPr>
                <w:rFonts w:ascii="宋体" w:hAnsi="宋体"/>
                <w:szCs w:val="21"/>
              </w:rPr>
            </w:pPr>
            <w:r>
              <w:rPr>
                <w:rFonts w:ascii="宋体" w:hAnsi="宋体"/>
                <w:szCs w:val="21"/>
              </w:rPr>
              <w:t>车辆应配备相应品种和数量的消防器材。装运该物品的车辆排气管必须配备阻火装置，禁止使用易产生火花的机械设备和工具装卸。严禁与氧化剂等混装混运。夏季应早晚运输，防止日光爆晒。中途停留时应远离火种、热源。公路运输时要按规定路线行驶，勿在居民区和人口稠密区停留。</w:t>
            </w:r>
          </w:p>
        </w:tc>
      </w:tr>
    </w:tbl>
    <w:p>
      <w:pPr>
        <w:sectPr>
          <w:headerReference w:type="default" r:id="rId27"/>
          <w:footerReference w:type="default" r:id="rId28"/>
          <w:type w:val="nextPage"/>
          <w:pgSz w:w="11906" w:h="16838"/>
          <w:pgMar w:top="1134" w:right="1588" w:bottom="1418" w:left="1134" w:header="851" w:footer="992" w:gutter="0"/>
          <w:pgNumType w:start="61"/>
          <w:cols w:num="1" w:space="720"/>
          <w:titlePg w:val="0"/>
          <w:docGrid w:type="lines" w:linePitch="290" w:charSpace="0"/>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355"/>
        <w:gridCol w:w="7859"/>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195"/>
        </w:trPr>
        <w:tc>
          <w:tcPr>
            <w:tcW w:w="1355" w:type="dxa"/>
            <w:noWrap w:val="0"/>
            <w:vAlign w:val="center"/>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废弃</w:t>
            </w:r>
          </w:p>
        </w:tc>
        <w:tc>
          <w:tcPr>
            <w:tcW w:w="7859" w:type="dxa"/>
            <w:noWrap w:val="0"/>
            <w:vAlign w:val="top"/>
          </w:tcPr>
          <w:p>
            <w:pPr>
              <w:pStyle w:val="BodyTextIndent3"/>
              <w:spacing w:after="0" w:line="460" w:lineRule="exact"/>
              <w:ind w:left="0" w:firstLine="420" w:leftChars="0" w:firstLineChars="200"/>
              <w:rPr>
                <w:rFonts w:ascii="宋体" w:hAnsi="宋体"/>
                <w:sz w:val="21"/>
                <w:szCs w:val="21"/>
              </w:rPr>
            </w:pPr>
            <w:r>
              <w:rPr>
                <w:rFonts w:ascii="宋体" w:hAnsi="宋体"/>
                <w:sz w:val="21"/>
                <w:szCs w:val="21"/>
              </w:rPr>
              <w:t>允许气体安全地扩散到大气中或当作燃料使用。</w:t>
            </w:r>
          </w:p>
        </w:tc>
      </w:tr>
    </w:tbl>
    <w:p>
      <w:pPr>
        <w:pStyle w:val="Heading3"/>
        <w:rPr>
          <w:sz w:val="28"/>
          <w:szCs w:val="28"/>
        </w:rPr>
      </w:pPr>
      <w:bookmarkStart w:id="58" w:name="_Toc23963"/>
      <w:bookmarkStart w:id="59" w:name="_Toc359868156"/>
      <w:r>
        <w:rPr>
          <w:rFonts w:hint="eastAsia"/>
          <w:sz w:val="28"/>
          <w:szCs w:val="28"/>
        </w:rPr>
        <w:t>4</w:t>
      </w:r>
      <w:r>
        <w:rPr>
          <w:sz w:val="28"/>
          <w:szCs w:val="28"/>
        </w:rPr>
        <w:t>.1.2</w:t>
      </w:r>
      <w:r>
        <w:rPr>
          <w:rFonts w:hint="eastAsia"/>
          <w:sz w:val="28"/>
          <w:szCs w:val="28"/>
        </w:rPr>
        <w:t>压缩天然气的</w:t>
      </w:r>
      <w:r>
        <w:rPr>
          <w:sz w:val="28"/>
          <w:szCs w:val="28"/>
        </w:rPr>
        <w:t>危险</w:t>
      </w:r>
      <w:r>
        <w:rPr>
          <w:rFonts w:hint="eastAsia"/>
          <w:sz w:val="28"/>
          <w:szCs w:val="28"/>
        </w:rPr>
        <w:t>性分析</w:t>
      </w:r>
      <w:bookmarkEnd w:id="58"/>
      <w:bookmarkEnd w:id="59"/>
    </w:p>
    <w:p>
      <w:pPr>
        <w:spacing w:line="560" w:lineRule="exact"/>
        <w:ind w:firstLine="560" w:firstLineChars="200"/>
        <w:jc w:val="left"/>
        <w:rPr>
          <w:rFonts w:ascii="宋体" w:hAnsi="宋体"/>
          <w:sz w:val="28"/>
          <w:szCs w:val="28"/>
        </w:rPr>
      </w:pPr>
      <w:r>
        <w:rPr>
          <w:rFonts w:ascii="宋体" w:hAnsi="宋体"/>
          <w:sz w:val="28"/>
          <w:szCs w:val="28"/>
        </w:rPr>
        <w:t>A 易燃性</w:t>
      </w:r>
    </w:p>
    <w:p>
      <w:pPr>
        <w:spacing w:line="560" w:lineRule="exact"/>
        <w:ind w:firstLine="560" w:firstLineChars="200"/>
        <w:jc w:val="left"/>
        <w:rPr>
          <w:rFonts w:ascii="宋体" w:hAnsi="宋体"/>
          <w:sz w:val="28"/>
          <w:szCs w:val="28"/>
        </w:rPr>
      </w:pPr>
      <w:r>
        <w:rPr>
          <w:rFonts w:ascii="宋体" w:hAnsi="宋体"/>
          <w:sz w:val="28"/>
          <w:szCs w:val="28"/>
        </w:rPr>
        <w:t>天然气燃烧没有物态的变化，燃烧速度快，放出热量多，因而产生的火焰温度高，辐射热强，造成的危害大。</w:t>
      </w:r>
    </w:p>
    <w:p>
      <w:pPr>
        <w:spacing w:line="560" w:lineRule="exact"/>
        <w:ind w:firstLine="560" w:firstLineChars="200"/>
        <w:jc w:val="left"/>
        <w:rPr>
          <w:rFonts w:ascii="宋体" w:hAnsi="宋体"/>
          <w:sz w:val="28"/>
          <w:szCs w:val="28"/>
        </w:rPr>
      </w:pPr>
      <w:r>
        <w:rPr>
          <w:rFonts w:ascii="宋体" w:hAnsi="宋体"/>
          <w:sz w:val="28"/>
          <w:szCs w:val="28"/>
        </w:rPr>
        <w:t>B 易爆性</w:t>
      </w:r>
    </w:p>
    <w:p>
      <w:pPr>
        <w:spacing w:line="560" w:lineRule="exact"/>
        <w:ind w:firstLine="560" w:firstLineChars="200"/>
        <w:jc w:val="left"/>
        <w:rPr>
          <w:rFonts w:ascii="宋体" w:hAnsi="宋体"/>
          <w:sz w:val="28"/>
          <w:szCs w:val="28"/>
        </w:rPr>
      </w:pPr>
      <w:r>
        <w:rPr>
          <w:rFonts w:ascii="宋体" w:hAnsi="宋体"/>
          <w:sz w:val="28"/>
          <w:szCs w:val="28"/>
        </w:rPr>
        <w:t>爆炸是一种破坏性极大的物理和化学现象。容器、管道中的天然气泄漏在大气中，其浓度达到爆炸极限范围时，遇火源即可发生燃烧或爆炸。在容器或管道中，如果有天然气与空气形成的混合气体，其浓度在爆炸极限范围内时，遇火源即发生燃烧或爆炸，这种爆炸危险性更大。</w:t>
      </w:r>
    </w:p>
    <w:p>
      <w:pPr>
        <w:spacing w:line="560" w:lineRule="exact"/>
        <w:ind w:firstLine="560" w:firstLineChars="200"/>
        <w:jc w:val="left"/>
        <w:rPr>
          <w:rFonts w:ascii="宋体" w:hAnsi="宋体"/>
          <w:sz w:val="28"/>
          <w:szCs w:val="28"/>
        </w:rPr>
      </w:pPr>
      <w:r>
        <w:rPr>
          <w:rFonts w:ascii="宋体" w:hAnsi="宋体"/>
          <w:sz w:val="28"/>
          <w:szCs w:val="28"/>
        </w:rPr>
        <w:t>C 扩散性</w:t>
      </w:r>
    </w:p>
    <w:p>
      <w:pPr>
        <w:spacing w:line="560" w:lineRule="exact"/>
        <w:ind w:firstLine="560" w:firstLineChars="200"/>
        <w:jc w:val="left"/>
        <w:rPr>
          <w:rFonts w:ascii="宋体" w:hAnsi="宋体"/>
          <w:sz w:val="28"/>
          <w:szCs w:val="28"/>
        </w:rPr>
      </w:pPr>
      <w:r>
        <w:rPr>
          <w:rFonts w:ascii="宋体" w:hAnsi="宋体"/>
          <w:sz w:val="28"/>
          <w:szCs w:val="28"/>
        </w:rPr>
        <w:t>物质分子从高浓度区域向低浓度区域转移，直到均匀分布的现象称为扩散。由于气体分子间的空隙很大，所以气体分子扩散速率很快。天然气泄漏到空气中，容易与空气形成爆炸性混合物，不断扩散，遇火源即爆炸蔓延。</w:t>
      </w:r>
    </w:p>
    <w:p>
      <w:pPr>
        <w:spacing w:line="560" w:lineRule="exact"/>
        <w:ind w:firstLine="560" w:firstLineChars="200"/>
        <w:jc w:val="left"/>
        <w:rPr>
          <w:rFonts w:ascii="宋体" w:hAnsi="宋体"/>
          <w:sz w:val="28"/>
          <w:szCs w:val="28"/>
        </w:rPr>
      </w:pPr>
      <w:r>
        <w:rPr>
          <w:rFonts w:ascii="宋体" w:hAnsi="宋体"/>
          <w:sz w:val="28"/>
          <w:szCs w:val="28"/>
        </w:rPr>
        <w:t>D 加热自燃性</w:t>
      </w:r>
    </w:p>
    <w:p>
      <w:pPr>
        <w:spacing w:line="560" w:lineRule="exact"/>
        <w:ind w:firstLine="560" w:firstLineChars="200"/>
        <w:jc w:val="left"/>
        <w:rPr>
          <w:rFonts w:ascii="宋体" w:hAnsi="宋体"/>
          <w:sz w:val="28"/>
          <w:szCs w:val="28"/>
        </w:rPr>
      </w:pPr>
      <w:r>
        <w:rPr>
          <w:rFonts w:ascii="宋体" w:hAnsi="宋体"/>
          <w:sz w:val="28"/>
          <w:szCs w:val="28"/>
        </w:rPr>
        <w:t>天然气加热到一定的温度，即使不与明火接触也能自行着火。天然气主要成分甲烷的引燃温度为 538</w:t>
      </w:r>
      <w:r>
        <w:rPr>
          <w:rFonts w:ascii="宋体" w:hAnsi="宋体" w:cs="宋体" w:hint="eastAsia"/>
          <w:sz w:val="28"/>
          <w:szCs w:val="28"/>
        </w:rPr>
        <w:t>℃</w:t>
      </w:r>
      <w:r>
        <w:rPr>
          <w:rFonts w:ascii="宋体" w:hAnsi="宋体"/>
          <w:sz w:val="28"/>
          <w:szCs w:val="28"/>
        </w:rPr>
        <w:t>，当甲烷与空气的混合气体浓度超过其爆炸下限时，当温度超过 538</w:t>
      </w:r>
      <w:r>
        <w:rPr>
          <w:rFonts w:ascii="宋体" w:hAnsi="宋体" w:cs="宋体" w:hint="eastAsia"/>
          <w:sz w:val="28"/>
          <w:szCs w:val="28"/>
        </w:rPr>
        <w:t>℃</w:t>
      </w:r>
      <w:r>
        <w:rPr>
          <w:rFonts w:ascii="宋体" w:hAnsi="宋体"/>
          <w:sz w:val="28"/>
          <w:szCs w:val="28"/>
        </w:rPr>
        <w:t>时，不</w:t>
      </w:r>
      <w:r>
        <w:rPr>
          <w:rFonts w:ascii="宋体" w:hAnsi="宋体" w:hint="eastAsia"/>
          <w:sz w:val="28"/>
          <w:szCs w:val="28"/>
        </w:rPr>
        <w:t>遇</w:t>
      </w:r>
      <w:r>
        <w:rPr>
          <w:rFonts w:ascii="宋体" w:hAnsi="宋体"/>
          <w:sz w:val="28"/>
          <w:szCs w:val="28"/>
        </w:rPr>
        <w:t>明火接触也会发生燃烧爆炸。</w:t>
      </w:r>
    </w:p>
    <w:p>
      <w:pPr>
        <w:spacing w:line="560" w:lineRule="exact"/>
        <w:ind w:firstLine="560" w:firstLineChars="200"/>
        <w:jc w:val="left"/>
        <w:rPr>
          <w:rFonts w:ascii="宋体" w:hAnsi="宋体"/>
          <w:sz w:val="28"/>
          <w:szCs w:val="28"/>
        </w:rPr>
      </w:pPr>
      <w:r>
        <w:rPr>
          <w:rFonts w:ascii="宋体" w:hAnsi="宋体"/>
          <w:sz w:val="28"/>
          <w:szCs w:val="28"/>
        </w:rPr>
        <w:t>E 腐蚀、毒害和窒息性</w:t>
      </w:r>
    </w:p>
    <w:p>
      <w:pPr>
        <w:spacing w:line="560" w:lineRule="exact"/>
        <w:ind w:firstLine="560" w:firstLineChars="200"/>
        <w:jc w:val="left"/>
        <w:rPr>
          <w:rFonts w:ascii="宋体" w:hAnsi="宋体" w:hint="eastAsia"/>
          <w:sz w:val="28"/>
          <w:szCs w:val="28"/>
        </w:rPr>
        <w:sectPr>
          <w:headerReference w:type="default" r:id="rId29"/>
          <w:footerReference w:type="default" r:id="rId30"/>
          <w:type w:val="nextPage"/>
          <w:pgSz w:w="11906" w:h="16838"/>
          <w:pgMar w:top="1134" w:right="1588" w:bottom="1418" w:left="1134" w:header="851" w:footer="992" w:gutter="0"/>
          <w:pgNumType w:start="62"/>
          <w:cols w:num="1" w:space="720"/>
          <w:titlePg w:val="0"/>
          <w:docGrid w:type="lines" w:linePitch="290" w:charSpace="0"/>
        </w:sectPr>
      </w:pPr>
      <w:r>
        <w:rPr>
          <w:rFonts w:ascii="宋体" w:hAnsi="宋体"/>
          <w:sz w:val="28"/>
          <w:szCs w:val="28"/>
        </w:rPr>
        <w:t>天然气中的某些组分，如 H</w:t>
      </w:r>
      <w:r>
        <w:rPr>
          <w:rFonts w:ascii="宋体" w:hAnsi="宋体"/>
          <w:sz w:val="28"/>
          <w:szCs w:val="28"/>
          <w:vertAlign w:val="subscript"/>
        </w:rPr>
        <w:t>2</w:t>
      </w:r>
      <w:r>
        <w:rPr>
          <w:rFonts w:ascii="宋体" w:hAnsi="宋体"/>
          <w:sz w:val="28"/>
          <w:szCs w:val="28"/>
        </w:rPr>
        <w:t>S、CO、CO</w:t>
      </w:r>
      <w:r>
        <w:rPr>
          <w:rFonts w:ascii="宋体" w:hAnsi="宋体"/>
          <w:sz w:val="28"/>
          <w:szCs w:val="28"/>
          <w:vertAlign w:val="subscript"/>
        </w:rPr>
        <w:t>2</w:t>
      </w:r>
      <w:r>
        <w:rPr>
          <w:rFonts w:ascii="宋体" w:hAnsi="宋体"/>
          <w:sz w:val="28"/>
          <w:szCs w:val="28"/>
        </w:rPr>
        <w:t xml:space="preserve"> 等腐蚀设备，降低设备的耐压强度，严重者可导致设备裂缝、漏气，遇火源引起燃烧爆炸事故。而且H</w:t>
      </w:r>
      <w:r>
        <w:rPr>
          <w:rFonts w:ascii="宋体" w:hAnsi="宋体"/>
          <w:sz w:val="28"/>
          <w:szCs w:val="28"/>
          <w:vertAlign w:val="subscript"/>
        </w:rPr>
        <w:t>2</w:t>
      </w:r>
      <w:r>
        <w:rPr>
          <w:rFonts w:ascii="宋体" w:hAnsi="宋体"/>
          <w:sz w:val="28"/>
          <w:szCs w:val="28"/>
        </w:rPr>
        <w:t>S、CO 对人体也极为有害，但其含量极低，但长期吸入也可使人中毒。当大量天然气或其生成物扩散到空气或房间里，达到一定浓度，使含氧量减少，严重时也可使人窒息死亡。</w:t>
      </w:r>
    </w:p>
    <w:p>
      <w:pPr>
        <w:pStyle w:val="Heading3"/>
        <w:rPr>
          <w:rFonts w:hint="eastAsia"/>
          <w:sz w:val="28"/>
          <w:szCs w:val="28"/>
        </w:rPr>
      </w:pPr>
      <w:bookmarkStart w:id="60" w:name="_Toc359868157"/>
      <w:bookmarkStart w:id="61" w:name="_Toc9299"/>
      <w:r>
        <w:rPr>
          <w:rFonts w:hint="eastAsia"/>
          <w:sz w:val="28"/>
          <w:szCs w:val="28"/>
        </w:rPr>
        <w:t>4</w:t>
      </w:r>
      <w:r>
        <w:rPr>
          <w:sz w:val="28"/>
          <w:szCs w:val="28"/>
        </w:rPr>
        <w:t>.1.</w:t>
      </w:r>
      <w:r>
        <w:rPr>
          <w:rFonts w:hint="eastAsia"/>
          <w:sz w:val="28"/>
          <w:szCs w:val="28"/>
        </w:rPr>
        <w:t>3加油站和加气站共建的</w:t>
      </w:r>
      <w:r>
        <w:rPr>
          <w:sz w:val="28"/>
          <w:szCs w:val="28"/>
        </w:rPr>
        <w:t>危险</w:t>
      </w:r>
      <w:r>
        <w:rPr>
          <w:rFonts w:hint="eastAsia"/>
          <w:sz w:val="28"/>
          <w:szCs w:val="28"/>
        </w:rPr>
        <w:t>性分析</w:t>
      </w:r>
      <w:bookmarkEnd w:id="60"/>
      <w:bookmarkEnd w:id="61"/>
    </w:p>
    <w:p>
      <w:pPr>
        <w:rPr>
          <w:rFonts w:ascii="宋体" w:hAnsi="宋体" w:hint="eastAsia"/>
          <w:sz w:val="28"/>
          <w:szCs w:val="28"/>
        </w:rPr>
      </w:pPr>
      <w:r>
        <w:rPr>
          <w:rFonts w:hint="eastAsia"/>
          <w:sz w:val="28"/>
          <w:szCs w:val="28"/>
        </w:rPr>
        <w:t xml:space="preserve">    </w:t>
      </w:r>
      <w:r>
        <w:rPr>
          <w:rFonts w:ascii="宋体" w:hAnsi="宋体" w:hint="eastAsia"/>
          <w:sz w:val="28"/>
          <w:szCs w:val="28"/>
        </w:rPr>
        <w:t>由于加油站和加气站分别隶属于两个独立的法人公司，站区管理由各自的站长负责各自站区人员、设备、工艺、</w:t>
      </w:r>
      <w:r>
        <w:rPr>
          <w:rFonts w:ascii="宋体" w:hAnsi="宋体" w:hint="eastAsia"/>
          <w:sz w:val="28"/>
          <w:szCs w:val="28"/>
          <w:lang w:eastAsia="zh-CN"/>
        </w:rPr>
        <w:t>以及</w:t>
      </w:r>
      <w:r>
        <w:rPr>
          <w:rFonts w:ascii="宋体" w:hAnsi="宋体" w:hint="eastAsia"/>
          <w:sz w:val="28"/>
          <w:szCs w:val="28"/>
        </w:rPr>
        <w:t>安全管理。共同的特点是两者都是从事的危险品经营，在管理上能够相互发现缺陷，弥补不足，共同促进安全管理。不足的是两者无论哪一方设备故障检修时，不一定通知另一方，对安全管理造成一定的隐患。因此，要求双方加强沟通联系，一方的生产经营活动有可能给对方造成危险因素时，要通知另一方注意，双方采取共同的防范措施，消除隐患时，方可进行活动。</w:t>
      </w:r>
    </w:p>
    <w:p>
      <w:pPr>
        <w:pStyle w:val="Heading2"/>
        <w:rPr>
          <w:rFonts w:hint="eastAsia"/>
          <w:sz w:val="30"/>
          <w:szCs w:val="30"/>
        </w:rPr>
      </w:pPr>
      <w:bookmarkStart w:id="62" w:name="_Toc359868158"/>
      <w:bookmarkStart w:id="63" w:name="_Toc21991"/>
      <w:r>
        <w:rPr>
          <w:rFonts w:hint="eastAsia"/>
          <w:sz w:val="30"/>
          <w:szCs w:val="30"/>
        </w:rPr>
        <w:t>4.2试运行过程危险有害因素辨识</w:t>
      </w:r>
      <w:bookmarkEnd w:id="62"/>
      <w:bookmarkEnd w:id="63"/>
    </w:p>
    <w:p>
      <w:pPr>
        <w:pStyle w:val="Heading3"/>
        <w:rPr>
          <w:rFonts w:hint="eastAsia"/>
        </w:rPr>
      </w:pPr>
      <w:bookmarkStart w:id="64" w:name="_Toc359868159"/>
      <w:bookmarkStart w:id="65" w:name="_Toc11553"/>
      <w:r>
        <w:rPr>
          <w:rFonts w:hint="eastAsia"/>
          <w:lang w:val="en-US" w:eastAsia="zh-CN"/>
        </w:rPr>
        <w:t>4.2.1泄漏</w:t>
      </w:r>
      <w:bookmarkEnd w:id="64"/>
      <w:bookmarkEnd w:id="65"/>
      <w:bookmarkStart w:id="66" w:name="_Toc359868160"/>
    </w:p>
    <w:p>
      <w:pPr>
        <w:spacing w:line="560" w:lineRule="exact"/>
        <w:ind w:firstLine="560" w:firstLineChars="200"/>
        <w:rPr>
          <w:rFonts w:ascii="宋体" w:hAnsi="宋体"/>
          <w:sz w:val="28"/>
          <w:szCs w:val="28"/>
        </w:rPr>
      </w:pPr>
      <w:bookmarkStart w:id="67" w:name="_Toc18012"/>
      <w:bookmarkStart w:id="68" w:name="_Toc4359"/>
      <w:bookmarkStart w:id="69" w:name="_Toc27993"/>
      <w:r>
        <w:rPr>
          <w:rFonts w:ascii="宋体" w:hAnsi="宋体" w:hint="eastAsia"/>
          <w:sz w:val="28"/>
          <w:szCs w:val="28"/>
        </w:rPr>
        <w:t>储气瓶组泄露发生在气瓶封口与输气管道连接处和输气管道连接处及装置中的阀门、管件处，这类泄露现象比较容易发现，也比较好处理。</w:t>
      </w:r>
      <w:bookmarkEnd w:id="66"/>
      <w:bookmarkEnd w:id="67"/>
      <w:bookmarkEnd w:id="68"/>
      <w:bookmarkEnd w:id="69"/>
      <w:bookmarkStart w:id="70" w:name="_Toc359868162"/>
    </w:p>
    <w:p>
      <w:pPr>
        <w:pStyle w:val="Heading3"/>
        <w:rPr>
          <w:rFonts w:hint="eastAsia"/>
        </w:rPr>
      </w:pPr>
      <w:bookmarkStart w:id="71" w:name="_Toc11262"/>
      <w:bookmarkStart w:id="72" w:name="_Toc375753340"/>
      <w:r>
        <w:rPr>
          <w:rFonts w:hint="eastAsia"/>
          <w:lang w:val="en-US" w:eastAsia="zh-CN"/>
        </w:rPr>
        <w:t>4.2.2设备控制系统的危险性</w:t>
      </w:r>
      <w:bookmarkEnd w:id="70"/>
      <w:bookmarkEnd w:id="71"/>
      <w:bookmarkEnd w:id="72"/>
    </w:p>
    <w:p>
      <w:pPr>
        <w:spacing w:line="560" w:lineRule="exact"/>
        <w:ind w:firstLine="560" w:firstLineChars="200"/>
        <w:rPr>
          <w:rFonts w:ascii="宋体" w:hAnsi="宋体"/>
          <w:sz w:val="28"/>
          <w:szCs w:val="28"/>
        </w:rPr>
      </w:pPr>
      <w:bookmarkStart w:id="73" w:name="_Toc11287"/>
      <w:bookmarkStart w:id="74" w:name="_Toc104"/>
      <w:bookmarkStart w:id="75" w:name="_Toc12084"/>
      <w:bookmarkStart w:id="76" w:name="_Toc375732866"/>
      <w:bookmarkStart w:id="77" w:name="_Toc375753341"/>
      <w:bookmarkStart w:id="78" w:name="_Toc375732668"/>
      <w:bookmarkStart w:id="79" w:name="_Toc359868163"/>
      <w:bookmarkStart w:id="80" w:name="_Toc375731898"/>
      <w:bookmarkStart w:id="81" w:name="_Toc375732602"/>
      <w:r>
        <w:rPr>
          <w:rFonts w:ascii="宋体" w:hAnsi="宋体"/>
          <w:sz w:val="28"/>
          <w:szCs w:val="28"/>
        </w:rPr>
        <w:t>设备控制系统主要是对气加站内各种设备实施手动或自动控制。因此，加气站内存在着潜在的点火源，各生产环节防静电接地不良或者各种电器设备、电气线路不防爆、接头封堵不良，在天然气稍有泄漏时就易发生火灾爆炸事故。</w:t>
      </w:r>
      <w:bookmarkEnd w:id="73"/>
      <w:bookmarkEnd w:id="74"/>
      <w:bookmarkEnd w:id="75"/>
      <w:bookmarkEnd w:id="76"/>
      <w:bookmarkEnd w:id="77"/>
      <w:bookmarkEnd w:id="78"/>
      <w:bookmarkEnd w:id="79"/>
      <w:bookmarkEnd w:id="80"/>
      <w:bookmarkEnd w:id="81"/>
    </w:p>
    <w:p>
      <w:pPr>
        <w:pStyle w:val="Heading3"/>
        <w:rPr>
          <w:rFonts w:hint="eastAsia"/>
        </w:rPr>
      </w:pPr>
      <w:bookmarkStart w:id="82" w:name="_Toc359868164"/>
      <w:bookmarkStart w:id="83" w:name="_Toc2171"/>
      <w:bookmarkStart w:id="84" w:name="_Toc375753342"/>
      <w:r>
        <w:rPr>
          <w:rFonts w:hint="eastAsia"/>
          <w:lang w:val="en-US" w:eastAsia="zh-CN"/>
        </w:rPr>
        <w:t>4.2.3 售气系统的危险性</w:t>
      </w:r>
      <w:bookmarkEnd w:id="82"/>
      <w:bookmarkEnd w:id="83"/>
      <w:bookmarkEnd w:id="84"/>
    </w:p>
    <w:p>
      <w:pPr>
        <w:spacing w:line="560" w:lineRule="exact"/>
        <w:ind w:firstLine="560" w:firstLineChars="200"/>
        <w:rPr>
          <w:rFonts w:ascii="宋体" w:hAnsi="宋体"/>
          <w:sz w:val="28"/>
          <w:szCs w:val="28"/>
        </w:rPr>
        <w:sectPr>
          <w:headerReference w:type="default" r:id="rId31"/>
          <w:footerReference w:type="default" r:id="rId32"/>
          <w:type w:val="nextPage"/>
          <w:pgSz w:w="11906" w:h="16838"/>
          <w:pgMar w:top="1134" w:right="1588" w:bottom="1418" w:left="1134" w:header="851" w:footer="992" w:gutter="0"/>
          <w:pgNumType w:start="63"/>
          <w:cols w:num="1" w:space="720"/>
          <w:titlePg w:val="0"/>
          <w:docGrid w:type="lines" w:linePitch="290" w:charSpace="0"/>
        </w:sectPr>
      </w:pPr>
      <w:r>
        <w:rPr>
          <w:rFonts w:ascii="宋体" w:hAnsi="宋体"/>
          <w:sz w:val="28"/>
          <w:szCs w:val="28"/>
        </w:rPr>
        <w:t>售气系统工作时，易因产生静电及违章操作造成安全事故，例如工作人员违章穿钉子鞋、化纤服，也易造成事故。在加气时汽车不按照规定熄火加气，还有尤为常见的搭载乘客在车辆加气时吸烟的现象，都为</w:t>
      </w:r>
      <w:r>
        <w:rPr>
          <w:rFonts w:ascii="宋体" w:hAnsi="宋体"/>
          <w:sz w:val="28"/>
          <w:szCs w:val="28"/>
        </w:rPr>
        <w:t xml:space="preserve"> CNG</w:t>
      </w:r>
    </w:p>
    <w:p>
      <w:pPr>
        <w:spacing w:line="560" w:lineRule="exact"/>
        <w:ind w:firstLine="560" w:firstLineChars="200"/>
        <w:rPr>
          <w:rFonts w:ascii="宋体" w:hAnsi="宋体"/>
          <w:sz w:val="28"/>
          <w:szCs w:val="28"/>
        </w:rPr>
      </w:pPr>
      <w:r>
        <w:rPr>
          <w:rFonts w:ascii="宋体" w:hAnsi="宋体"/>
          <w:sz w:val="28"/>
          <w:szCs w:val="28"/>
        </w:rPr>
        <w:t xml:space="preserve"> 生产安全埋下了重大隐患。售气系统的管线进入含有微量油污和杂质的气体，造成电磁阀泄漏，由于某高、中或低压阀关闭不严，阀门损坏漏气，遇明火都会引起火灾爆炸事故。</w:t>
      </w:r>
    </w:p>
    <w:p>
      <w:pPr>
        <w:spacing w:line="560" w:lineRule="exact"/>
        <w:ind w:firstLine="560" w:firstLineChars="200"/>
        <w:rPr>
          <w:rFonts w:ascii="宋体" w:hAnsi="宋体"/>
          <w:sz w:val="28"/>
          <w:szCs w:val="28"/>
        </w:rPr>
      </w:pPr>
      <w:r>
        <w:rPr>
          <w:rFonts w:ascii="宋体" w:hAnsi="宋体"/>
          <w:sz w:val="28"/>
          <w:szCs w:val="28"/>
        </w:rPr>
        <w:t>1)售气机接地线连接不牢或松动断开，电阻大于 10Ω，甚至无穷大，产生放电，遇泄漏的气体易发生火灾爆炸事故。</w:t>
      </w:r>
    </w:p>
    <w:p>
      <w:pPr>
        <w:spacing w:line="560" w:lineRule="exact"/>
        <w:ind w:firstLine="560" w:firstLineChars="200"/>
        <w:rPr>
          <w:rFonts w:ascii="宋体" w:hAnsi="宋体"/>
          <w:sz w:val="28"/>
          <w:szCs w:val="28"/>
        </w:rPr>
      </w:pPr>
      <w:r>
        <w:rPr>
          <w:rFonts w:ascii="宋体" w:hAnsi="宋体"/>
          <w:sz w:val="28"/>
          <w:szCs w:val="28"/>
        </w:rPr>
        <w:t>2)加气员不按规定对加气车辆的储气瓶仪表、阀门管道进行安全检查，查看其是否在使用期限内，特别是对改装车辆，加气前加气员没有要求驾驶员打开车辆后盖，没有检查容器是否在使用期内以及贴有规定的标签。</w:t>
      </w:r>
    </w:p>
    <w:p>
      <w:pPr>
        <w:spacing w:line="560" w:lineRule="exact"/>
        <w:ind w:firstLine="560" w:firstLineChars="200"/>
        <w:rPr>
          <w:rFonts w:ascii="宋体" w:hAnsi="宋体"/>
          <w:sz w:val="28"/>
          <w:szCs w:val="28"/>
        </w:rPr>
      </w:pPr>
      <w:r>
        <w:rPr>
          <w:rFonts w:ascii="宋体" w:hAnsi="宋体"/>
          <w:sz w:val="28"/>
          <w:szCs w:val="28"/>
        </w:rPr>
        <w:t>3)加气员不按规定，为未经技术监督部门检验合格证的汽车储气瓶加气；为加气汽车储气瓶以外的燃气装置、气瓶加气。</w:t>
      </w:r>
    </w:p>
    <w:p>
      <w:pPr>
        <w:spacing w:line="560" w:lineRule="exact"/>
        <w:ind w:firstLine="560" w:firstLineChars="200"/>
        <w:rPr>
          <w:rFonts w:ascii="宋体" w:hAnsi="宋体"/>
          <w:sz w:val="28"/>
          <w:szCs w:val="28"/>
        </w:rPr>
      </w:pPr>
      <w:r>
        <w:rPr>
          <w:rFonts w:ascii="宋体" w:hAnsi="宋体"/>
          <w:sz w:val="28"/>
          <w:szCs w:val="28"/>
        </w:rPr>
        <w:t>4)加气员在加气时没有观察流量，在加气过程中发生气体严重泄漏时，没有及时关闭车辆气瓶阀和现场紧急关闭按钮，没有把气体泄漏控制在最小范围内。</w:t>
      </w:r>
    </w:p>
    <w:p>
      <w:pPr>
        <w:pStyle w:val="Heading3"/>
        <w:rPr>
          <w:rFonts w:hint="eastAsia"/>
        </w:rPr>
      </w:pPr>
      <w:bookmarkStart w:id="85" w:name="_Toc359868165"/>
      <w:bookmarkStart w:id="86" w:name="_Toc29628"/>
      <w:r>
        <w:rPr>
          <w:rFonts w:hint="eastAsia"/>
        </w:rPr>
        <w:t>4.2.4压缩机危险性</w:t>
      </w:r>
      <w:bookmarkEnd w:id="85"/>
      <w:bookmarkEnd w:id="86"/>
    </w:p>
    <w:p>
      <w:pPr>
        <w:spacing w:line="560" w:lineRule="exact"/>
        <w:ind w:firstLine="560" w:firstLineChars="200"/>
        <w:rPr>
          <w:rFonts w:ascii="宋体" w:hAnsi="宋体"/>
          <w:sz w:val="28"/>
          <w:szCs w:val="28"/>
        </w:rPr>
      </w:pPr>
      <w:r>
        <w:rPr>
          <w:rFonts w:ascii="宋体" w:hAnsi="宋体"/>
          <w:sz w:val="28"/>
          <w:szCs w:val="28"/>
        </w:rPr>
        <w:t>压缩机系统的危险主要表现在超温、超压，泄漏形成爆炸性混合物或系统内发生燃烧反应，积碳自燃，润滑油燃烧、氧气流中混入可燃物等方面。</w:t>
      </w:r>
    </w:p>
    <w:p>
      <w:pPr>
        <w:spacing w:line="560" w:lineRule="exact"/>
        <w:ind w:firstLine="560" w:firstLineChars="200"/>
        <w:rPr>
          <w:rFonts w:ascii="宋体" w:hAnsi="宋体"/>
          <w:sz w:val="28"/>
          <w:szCs w:val="28"/>
        </w:rPr>
      </w:pPr>
      <w:r>
        <w:rPr>
          <w:rFonts w:ascii="宋体" w:hAnsi="宋体"/>
          <w:sz w:val="28"/>
          <w:szCs w:val="28"/>
        </w:rPr>
        <w:t>1)超压爆炸是压缩机操作的主要危险。造成压缩机爆炸的主要原因是出现操作失误、操作错误以及发生堵塞。</w:t>
      </w:r>
    </w:p>
    <w:p>
      <w:pPr>
        <w:spacing w:line="560" w:lineRule="exact"/>
        <w:ind w:firstLine="560" w:firstLineChars="200"/>
        <w:rPr>
          <w:rFonts w:ascii="宋体" w:hAnsi="宋体"/>
          <w:sz w:val="28"/>
          <w:szCs w:val="28"/>
        </w:rPr>
      </w:pPr>
      <w:r>
        <w:rPr>
          <w:rFonts w:ascii="宋体" w:hAnsi="宋体"/>
          <w:sz w:val="28"/>
          <w:szCs w:val="28"/>
        </w:rPr>
        <w:t>2)泄漏表现有向压缩机系统内泄漏和从压缩机系统向外部空间泄漏两种形式。向系统内部泄漏可导致压缩机系统爆炸，向外部泄漏可引起空间的爆炸或火灾。</w:t>
      </w:r>
    </w:p>
    <w:p>
      <w:pPr>
        <w:spacing w:line="560" w:lineRule="exact"/>
        <w:ind w:firstLine="560" w:firstLineChars="200"/>
        <w:rPr>
          <w:rFonts w:ascii="宋体" w:hAnsi="宋体"/>
          <w:sz w:val="28"/>
          <w:szCs w:val="28"/>
        </w:rPr>
        <w:sectPr>
          <w:headerReference w:type="default" r:id="rId33"/>
          <w:footerReference w:type="default" r:id="rId34"/>
          <w:type w:val="nextPage"/>
          <w:pgSz w:w="11906" w:h="16838"/>
          <w:pgMar w:top="1134" w:right="1588" w:bottom="1418" w:left="1134" w:header="851" w:footer="992" w:gutter="0"/>
          <w:pgNumType w:start="64"/>
          <w:cols w:num="1" w:space="720"/>
          <w:titlePg w:val="0"/>
          <w:docGrid w:type="lines" w:linePitch="290" w:charSpace="0"/>
        </w:sectPr>
      </w:pPr>
      <w:r>
        <w:rPr>
          <w:rFonts w:ascii="宋体" w:hAnsi="宋体"/>
          <w:sz w:val="28"/>
          <w:szCs w:val="28"/>
        </w:rPr>
        <w:t>3)气体经压缩温度会迅速增高，而高温能使某些介质发生聚合、分解以至自燃引起火灾。压缩机内的各种运转部件，若装配吻合不良和润滑油不足，摩损产生高温，可使润滑油分解、气化，导致曲轴箱内发生爆炸。</w:t>
      </w:r>
    </w:p>
    <w:p>
      <w:pPr>
        <w:spacing w:line="560" w:lineRule="exact"/>
        <w:ind w:firstLine="560" w:firstLineChars="200"/>
        <w:rPr>
          <w:rFonts w:ascii="宋体" w:hAnsi="宋体"/>
          <w:sz w:val="28"/>
          <w:szCs w:val="28"/>
        </w:rPr>
      </w:pPr>
      <w:r>
        <w:rPr>
          <w:rFonts w:ascii="宋体" w:hAnsi="宋体"/>
          <w:sz w:val="28"/>
          <w:szCs w:val="28"/>
        </w:rPr>
        <w:t>4)压缩系统的缺陷或故障产生于设计、制造、安装、运行和检修的各个环节，而且主要是质量不良所致。如安全阀被堵塞或损坏而失灵，超压部分得不到及时的泄放，超压而致爆炸。压缩机的受压部件机械强度不符合要求，在正常的操作压力下引起爆炸。压力或温度显示仪表读数确认出现差错或显示失真，造成操作失误而引起爆炸。湿气或腐蚀性介质将设备腐蚀损坏，导致其强度下降或泄漏等。</w:t>
      </w:r>
    </w:p>
    <w:p>
      <w:pPr>
        <w:pStyle w:val="Heading3"/>
        <w:rPr>
          <w:rFonts w:hint="eastAsia"/>
        </w:rPr>
      </w:pPr>
      <w:bookmarkStart w:id="87" w:name="_Toc359868166"/>
      <w:bookmarkStart w:id="88" w:name="_Toc19453"/>
      <w:r>
        <w:rPr>
          <w:rFonts w:hint="eastAsia"/>
        </w:rPr>
        <w:t>4.2.5管道、阀门、电器设备危险、有害性</w:t>
      </w:r>
      <w:bookmarkEnd w:id="87"/>
      <w:bookmarkEnd w:id="88"/>
    </w:p>
    <w:p>
      <w:pPr>
        <w:spacing w:line="560" w:lineRule="exact"/>
        <w:ind w:firstLine="560" w:firstLineChars="200"/>
        <w:rPr>
          <w:rFonts w:ascii="宋体" w:hAnsi="宋体"/>
          <w:sz w:val="28"/>
          <w:szCs w:val="28"/>
        </w:rPr>
      </w:pPr>
      <w:r>
        <w:rPr>
          <w:rFonts w:ascii="宋体" w:hAnsi="宋体"/>
          <w:sz w:val="28"/>
          <w:szCs w:val="28"/>
        </w:rPr>
        <w:t>1）压缩系统管道、阀门、仪表、安全阀平时缺少维护保养，压力超过管道设备能够承受的强度；设备管道及配件等在运行中由于腐蚀、疲劳损伤等因素，强度降低，承受能力降低，而发生炸裂和接头松脱；产生泄漏，遇明火高温易发生火灾、爆炸事故。</w:t>
      </w:r>
    </w:p>
    <w:p>
      <w:pPr>
        <w:spacing w:line="560" w:lineRule="exact"/>
        <w:ind w:firstLine="560" w:firstLineChars="200"/>
        <w:rPr>
          <w:rFonts w:ascii="宋体" w:hAnsi="宋体"/>
          <w:sz w:val="28"/>
          <w:szCs w:val="28"/>
        </w:rPr>
      </w:pPr>
      <w:r>
        <w:rPr>
          <w:rFonts w:ascii="宋体" w:hAnsi="宋体"/>
          <w:sz w:val="28"/>
          <w:szCs w:val="28"/>
        </w:rPr>
        <w:t>2）压缩系统电气设备在运行中出现故障，电线接头氧化松动，电气设备封闭不严，金属碰撞产生火花，均能够导致火灾、爆炸事故的发生。</w:t>
      </w:r>
    </w:p>
    <w:p>
      <w:pPr>
        <w:pStyle w:val="Heading3"/>
        <w:rPr>
          <w:rFonts w:hint="eastAsia"/>
        </w:rPr>
      </w:pPr>
      <w:bookmarkStart w:id="89" w:name="_Toc24734"/>
      <w:bookmarkStart w:id="90" w:name="_Toc359868167"/>
      <w:r>
        <w:rPr>
          <w:rFonts w:hint="eastAsia"/>
        </w:rPr>
        <w:t>4.2.6输气管道的腐蚀危害：</w:t>
      </w:r>
      <w:bookmarkEnd w:id="89"/>
      <w:bookmarkEnd w:id="90"/>
    </w:p>
    <w:p>
      <w:pPr>
        <w:spacing w:line="560" w:lineRule="exact"/>
        <w:ind w:firstLine="560" w:firstLineChars="200"/>
        <w:rPr>
          <w:rFonts w:ascii="宋体" w:hAnsi="宋体"/>
          <w:sz w:val="28"/>
          <w:szCs w:val="28"/>
        </w:rPr>
      </w:pPr>
      <w:r>
        <w:rPr>
          <w:rFonts w:ascii="宋体" w:hAnsi="宋体"/>
          <w:sz w:val="28"/>
          <w:szCs w:val="28"/>
        </w:rPr>
        <w:t>1）腐蚀的危害：输气管道多以金属材料制成，当钢管的管壁与作为电解质的土壤和水接触时，产生电化学反应，使阳极区的金属离子不断电离而受到腐蚀，即为电化学腐蚀。管道的腐蚀是人们普遍关心的课题，由于腐蚀大大缩短了管道的寿命，降低了管道的输气能力，引起意外事故的发生，给生产管理带来很多麻烦和造成巨大的经济损失。</w:t>
      </w:r>
    </w:p>
    <w:p>
      <w:pPr>
        <w:spacing w:line="560" w:lineRule="exact"/>
        <w:ind w:firstLine="560" w:firstLineChars="200"/>
        <w:rPr>
          <w:rFonts w:ascii="宋体" w:hAnsi="宋体"/>
          <w:sz w:val="28"/>
          <w:szCs w:val="28"/>
        </w:rPr>
        <w:sectPr>
          <w:headerReference w:type="default" r:id="rId35"/>
          <w:footerReference w:type="default" r:id="rId36"/>
          <w:type w:val="nextPage"/>
          <w:pgSz w:w="11906" w:h="16838"/>
          <w:pgMar w:top="1134" w:right="1588" w:bottom="1418" w:left="1134" w:header="851" w:footer="992" w:gutter="0"/>
          <w:pgNumType w:start="65"/>
          <w:cols w:num="1" w:space="720"/>
          <w:titlePg w:val="0"/>
          <w:docGrid w:type="lines" w:linePitch="290" w:charSpace="0"/>
        </w:sectPr>
      </w:pPr>
      <w:r>
        <w:rPr>
          <w:rFonts w:ascii="宋体" w:hAnsi="宋体"/>
          <w:sz w:val="28"/>
          <w:szCs w:val="28"/>
        </w:rPr>
        <w:t>2）天然气输气管道腐蚀的类型主要是：按腐蚀部位可分为内壁腐蚀和外壁腐蚀；其腐蚀机理可分为化学腐蚀和电化学腐蚀。天然气输气管道中所含的 H</w:t>
      </w:r>
      <w:r>
        <w:rPr>
          <w:rFonts w:ascii="宋体" w:hAnsi="宋体"/>
          <w:sz w:val="28"/>
          <w:szCs w:val="28"/>
          <w:vertAlign w:val="subscript"/>
        </w:rPr>
        <w:t>2</w:t>
      </w:r>
      <w:r>
        <w:rPr>
          <w:rFonts w:ascii="宋体" w:hAnsi="宋体"/>
          <w:sz w:val="28"/>
          <w:szCs w:val="28"/>
        </w:rPr>
        <w:t>S 或 CO</w:t>
      </w:r>
      <w:r>
        <w:rPr>
          <w:rFonts w:ascii="宋体" w:hAnsi="宋体"/>
          <w:sz w:val="28"/>
          <w:szCs w:val="28"/>
          <w:vertAlign w:val="subscript"/>
        </w:rPr>
        <w:t>2</w:t>
      </w:r>
    </w:p>
    <w:p>
      <w:pPr>
        <w:spacing w:line="560" w:lineRule="exact"/>
        <w:ind w:firstLine="560" w:firstLineChars="200"/>
        <w:rPr>
          <w:rFonts w:ascii="宋体" w:hAnsi="宋体"/>
          <w:sz w:val="28"/>
          <w:szCs w:val="28"/>
        </w:rPr>
      </w:pPr>
      <w:r>
        <w:rPr>
          <w:rFonts w:ascii="宋体" w:hAnsi="宋体"/>
          <w:sz w:val="28"/>
          <w:szCs w:val="28"/>
        </w:rPr>
        <w:t xml:space="preserve"> 等杂质与金属管壁作用所引起的为化学腐蚀。在管道低洼积水处，气液交界面的部位，电化学腐蚀最为强烈，是管线易于起爆和穿孔的部位。外壁腐蚀的情况比较复杂，视管道所处的环境具体分析。架空管道易受大气腐蚀，埋地管道易受土壤、细菌的杂散电流腐蚀</w:t>
      </w:r>
      <w:r>
        <w:rPr>
          <w:rFonts w:ascii="宋体" w:hAnsi="宋体"/>
          <w:sz w:val="28"/>
          <w:szCs w:val="28"/>
        </w:rPr>
        <w:t>。</w:t>
      </w:r>
    </w:p>
    <w:p>
      <w:pPr>
        <w:pStyle w:val="Heading3"/>
        <w:rPr>
          <w:rFonts w:hint="eastAsia"/>
        </w:rPr>
      </w:pPr>
      <w:bookmarkStart w:id="91" w:name="_Toc18495"/>
      <w:bookmarkStart w:id="92" w:name="_Toc359868168"/>
      <w:r>
        <w:rPr>
          <w:rFonts w:hint="eastAsia"/>
        </w:rPr>
        <w:t>4.2.7 压力容器爆炸的主要危害</w:t>
      </w:r>
      <w:bookmarkEnd w:id="91"/>
      <w:bookmarkEnd w:id="92"/>
    </w:p>
    <w:p>
      <w:pPr>
        <w:spacing w:line="560" w:lineRule="exact"/>
        <w:ind w:firstLine="560" w:firstLineChars="200"/>
        <w:rPr>
          <w:rFonts w:ascii="宋体" w:hAnsi="宋体"/>
          <w:sz w:val="28"/>
          <w:szCs w:val="28"/>
        </w:rPr>
      </w:pPr>
      <w:r>
        <w:rPr>
          <w:rFonts w:ascii="宋体" w:hAnsi="宋体"/>
          <w:sz w:val="28"/>
          <w:szCs w:val="28"/>
        </w:rPr>
        <w:t>1）碎片的破碎作用</w:t>
      </w:r>
      <w:r>
        <w:rPr>
          <w:rFonts w:ascii="宋体" w:hAnsi="宋体" w:hint="eastAsia"/>
          <w:sz w:val="28"/>
          <w:szCs w:val="28"/>
          <w:lang w:eastAsia="zh-CN"/>
        </w:rPr>
        <w:t>。</w:t>
      </w:r>
      <w:r>
        <w:rPr>
          <w:rFonts w:ascii="宋体" w:hAnsi="宋体"/>
          <w:sz w:val="28"/>
          <w:szCs w:val="28"/>
        </w:rPr>
        <w:t>高速喷出的气体的反作用力把壳体向破裂的相反方向推出。有些壳体则可能裂成碎块或碎片向四周飞散而造成危害。</w:t>
      </w:r>
    </w:p>
    <w:p>
      <w:pPr>
        <w:spacing w:line="560" w:lineRule="exact"/>
        <w:ind w:firstLine="560" w:firstLineChars="200"/>
        <w:rPr>
          <w:rFonts w:ascii="宋体" w:hAnsi="宋体"/>
          <w:sz w:val="28"/>
          <w:szCs w:val="28"/>
        </w:rPr>
      </w:pPr>
      <w:r>
        <w:rPr>
          <w:rFonts w:ascii="宋体" w:hAnsi="宋体"/>
          <w:sz w:val="28"/>
          <w:szCs w:val="28"/>
        </w:rPr>
        <w:t>2）冲击波危害</w:t>
      </w:r>
      <w:r>
        <w:rPr>
          <w:rFonts w:ascii="宋体" w:hAnsi="宋体" w:hint="eastAsia"/>
          <w:sz w:val="28"/>
          <w:szCs w:val="28"/>
          <w:lang w:eastAsia="zh-CN"/>
        </w:rPr>
        <w:t>。</w:t>
      </w:r>
      <w:r>
        <w:rPr>
          <w:rFonts w:ascii="宋体" w:hAnsi="宋体"/>
          <w:sz w:val="28"/>
          <w:szCs w:val="28"/>
        </w:rPr>
        <w:t>容器破裂时的能量除了部分消耗于将容器进一步撕裂将容器或碎片抛出外，大部分产生冲击波，冲击波可能建筑物摧毁，使设备、管道遭到严重破坏，所处的门窗玻璃破碎。冲击波与碎片的危害一样可导致周围人员伤亡。</w:t>
      </w:r>
    </w:p>
    <w:p>
      <w:pPr>
        <w:spacing w:line="560" w:lineRule="exact"/>
        <w:ind w:firstLine="560" w:firstLineChars="200"/>
        <w:rPr>
          <w:rFonts w:ascii="宋体" w:hAnsi="宋体"/>
          <w:sz w:val="28"/>
          <w:szCs w:val="28"/>
        </w:rPr>
      </w:pPr>
      <w:r>
        <w:rPr>
          <w:rFonts w:ascii="宋体" w:hAnsi="宋体"/>
          <w:sz w:val="28"/>
          <w:szCs w:val="28"/>
        </w:rPr>
        <w:t>3）有毒介质的毒害。盛装有毒介质的容器破裂时，会酿成大面积的毒害。</w:t>
      </w:r>
    </w:p>
    <w:p>
      <w:pPr>
        <w:spacing w:line="560" w:lineRule="exact"/>
        <w:ind w:firstLine="560" w:firstLineChars="200"/>
        <w:rPr>
          <w:rFonts w:ascii="宋体" w:hAnsi="宋体"/>
          <w:sz w:val="28"/>
          <w:szCs w:val="28"/>
        </w:rPr>
      </w:pPr>
      <w:r>
        <w:rPr>
          <w:rFonts w:ascii="宋体" w:hAnsi="宋体"/>
          <w:sz w:val="28"/>
          <w:szCs w:val="28"/>
        </w:rPr>
        <w:t>4）可燃介质的燃烧及二次空间爆炸危害。盛装可燃气体的容器破裂后，可燃气体与空气混合，遇到触发能量（火种、静电等）在器外发生燃烧、爆炸、酿成火灾事故。其中可燃气体在器外的空间爆炸，其危害更为严重。</w:t>
      </w:r>
    </w:p>
    <w:p>
      <w:pPr>
        <w:pStyle w:val="Heading3"/>
        <w:rPr>
          <w:rFonts w:hint="eastAsia"/>
        </w:rPr>
      </w:pPr>
      <w:bookmarkStart w:id="93" w:name="_Toc26557"/>
      <w:bookmarkStart w:id="94" w:name="_Toc359868169"/>
      <w:r>
        <w:rPr>
          <w:rFonts w:hint="eastAsia"/>
        </w:rPr>
        <w:t>4.2.8车辆伤害</w:t>
      </w:r>
      <w:bookmarkEnd w:id="93"/>
      <w:bookmarkEnd w:id="94"/>
    </w:p>
    <w:p>
      <w:pPr>
        <w:spacing w:line="560" w:lineRule="exact"/>
        <w:ind w:firstLine="560" w:firstLineChars="200"/>
        <w:rPr>
          <w:rFonts w:ascii="宋体" w:hAnsi="宋体" w:hint="eastAsia"/>
          <w:sz w:val="28"/>
          <w:szCs w:val="28"/>
        </w:rPr>
      </w:pPr>
      <w:r>
        <w:rPr>
          <w:rFonts w:ascii="宋体" w:hAnsi="宋体" w:hint="eastAsia"/>
          <w:sz w:val="28"/>
          <w:szCs w:val="28"/>
        </w:rPr>
        <w:t>加气站进出车辆较多，加油员和司乘人员在车辆中穿行，当车流量较大时，如果道路标志和车位标识不清、车辆引导不好、人员安全意识薄弱时，有可能发生车辆撞伤作业人员、撞坏设施（加气机、罩棚立柱）严重时，可能造成天然气泄漏事故。</w:t>
      </w:r>
    </w:p>
    <w:p>
      <w:pPr>
        <w:pStyle w:val="Heading3"/>
        <w:rPr>
          <w:rFonts w:hint="eastAsia"/>
        </w:rPr>
      </w:pPr>
      <w:bookmarkStart w:id="95" w:name="_Toc29009"/>
      <w:bookmarkStart w:id="96" w:name="_Toc359868170"/>
      <w:r>
        <w:rPr>
          <w:rFonts w:hint="eastAsia"/>
        </w:rPr>
        <w:t>4.2.9其他危险、有害因素：</w:t>
      </w:r>
      <w:bookmarkEnd w:id="95"/>
      <w:bookmarkEnd w:id="96"/>
    </w:p>
    <w:p>
      <w:pPr>
        <w:spacing w:line="560" w:lineRule="exact"/>
        <w:ind w:firstLine="560" w:firstLineChars="200"/>
        <w:rPr>
          <w:rFonts w:ascii="宋体" w:hAnsi="宋体"/>
          <w:sz w:val="28"/>
          <w:szCs w:val="28"/>
        </w:rPr>
      </w:pPr>
      <w:r>
        <w:rPr>
          <w:rFonts w:ascii="宋体" w:hAnsi="宋体"/>
          <w:sz w:val="28"/>
          <w:szCs w:val="28"/>
        </w:rPr>
        <w:t>1）行为性危险、有害因素</w:t>
      </w:r>
    </w:p>
    <w:p>
      <w:pPr>
        <w:spacing w:line="560" w:lineRule="exact"/>
        <w:ind w:firstLine="560" w:firstLineChars="200"/>
        <w:rPr>
          <w:rFonts w:ascii="宋体" w:hAnsi="宋体"/>
          <w:sz w:val="28"/>
          <w:szCs w:val="28"/>
        </w:rPr>
        <w:sectPr>
          <w:headerReference w:type="default" r:id="rId37"/>
          <w:footerReference w:type="default" r:id="rId38"/>
          <w:type w:val="nextPage"/>
          <w:pgSz w:w="11906" w:h="16838"/>
          <w:pgMar w:top="1134" w:right="1588" w:bottom="1418" w:left="1134" w:header="851" w:footer="992" w:gutter="0"/>
          <w:pgNumType w:start="66"/>
          <w:cols w:num="1" w:space="720"/>
          <w:titlePg w:val="0"/>
          <w:docGrid w:type="lines" w:linePitch="290" w:charSpace="0"/>
        </w:sectPr>
      </w:pPr>
    </w:p>
    <w:p>
      <w:pPr>
        <w:spacing w:line="560" w:lineRule="exact"/>
        <w:ind w:firstLine="560" w:firstLineChars="200"/>
        <w:rPr>
          <w:rFonts w:ascii="宋体" w:hAnsi="宋体"/>
          <w:sz w:val="28"/>
          <w:szCs w:val="28"/>
        </w:rPr>
      </w:pPr>
      <w:r>
        <w:rPr>
          <w:rFonts w:ascii="宋体" w:hAnsi="宋体"/>
          <w:sz w:val="28"/>
          <w:szCs w:val="28"/>
        </w:rPr>
        <w:t>加气站的行为性危险、有害因素主要是人的不安全行为，如：携带烟火，使用手机、穿戴极易产生静电的衣物，领导指挥错误，操作人员操作失误和监护失误以及其他人员的不安全行为，均可能导致事故，造成人员伤害和财产损失。</w:t>
      </w:r>
    </w:p>
    <w:p>
      <w:pPr>
        <w:spacing w:line="560" w:lineRule="exact"/>
        <w:ind w:firstLine="560" w:firstLineChars="200"/>
        <w:rPr>
          <w:rFonts w:ascii="宋体" w:hAnsi="宋体"/>
          <w:sz w:val="28"/>
          <w:szCs w:val="28"/>
        </w:rPr>
      </w:pPr>
      <w:r>
        <w:rPr>
          <w:rFonts w:ascii="宋体" w:hAnsi="宋体"/>
          <w:sz w:val="28"/>
          <w:szCs w:val="28"/>
        </w:rPr>
        <w:t>2）环境的危险、有害因素</w:t>
      </w:r>
    </w:p>
    <w:p>
      <w:pPr>
        <w:spacing w:line="560" w:lineRule="exact"/>
        <w:ind w:firstLine="560" w:firstLineChars="200"/>
        <w:rPr>
          <w:rFonts w:eastAsia="仿宋_GB2312"/>
          <w:kern w:val="0"/>
          <w:sz w:val="28"/>
          <w:szCs w:val="28"/>
        </w:rPr>
      </w:pPr>
      <w:r>
        <w:rPr>
          <w:rFonts w:ascii="宋体" w:hAnsi="宋体"/>
          <w:sz w:val="28"/>
          <w:szCs w:val="28"/>
        </w:rPr>
        <w:t>加气站的周边环境与加气站的安全运营有着密切的关系，商业性汽车加气站绝大多数建立在车辆来往频繁的交通干道之侧，周围环境较复杂，受外部点火源的威胁较大，如站区围墙外闲杂人员焚烧物品的飞火，孩童放炮玩火的飞溅火花，频繁出入的车辆，外来人员携带火种，在站区内吸烟，汽车不熄火加气以及使用手机等均可能危及加气站的安全</w:t>
      </w:r>
      <w:r>
        <w:rPr>
          <w:rFonts w:ascii="宋体" w:hAnsi="宋体"/>
          <w:kern w:val="0"/>
          <w:sz w:val="28"/>
          <w:szCs w:val="28"/>
        </w:rPr>
        <w:t>。</w:t>
      </w:r>
    </w:p>
    <w:p>
      <w:pPr>
        <w:pStyle w:val="Heading3"/>
        <w:rPr>
          <w:rFonts w:hint="eastAsia"/>
        </w:rPr>
      </w:pPr>
      <w:bookmarkStart w:id="97" w:name="_Toc359868171"/>
      <w:bookmarkStart w:id="98" w:name="_Toc6878"/>
      <w:r>
        <w:rPr>
          <w:rFonts w:hint="eastAsia"/>
        </w:rPr>
        <w:t>4.2.10变配电系统及雷电、静电危害：</w:t>
      </w:r>
      <w:bookmarkEnd w:id="97"/>
      <w:bookmarkEnd w:id="98"/>
    </w:p>
    <w:p>
      <w:pPr>
        <w:spacing w:line="560" w:lineRule="exact"/>
        <w:ind w:firstLine="560" w:firstLineChars="200"/>
        <w:rPr>
          <w:rFonts w:ascii="宋体" w:hAnsi="宋体"/>
          <w:sz w:val="28"/>
          <w:szCs w:val="28"/>
        </w:rPr>
      </w:pPr>
      <w:r>
        <w:rPr>
          <w:rFonts w:ascii="宋体" w:hAnsi="宋体"/>
          <w:sz w:val="28"/>
          <w:szCs w:val="28"/>
        </w:rPr>
        <w:t>加气站变配电系统危险、危害因素分为两类：一类是自然灾害如雷击；另一类是电气设备本身和运行过程中不安全因素导致的危险、危害，主要有触电、火灾、爆炸等，分析如下：</w:t>
      </w:r>
    </w:p>
    <w:p>
      <w:pPr>
        <w:spacing w:line="560" w:lineRule="exact"/>
        <w:ind w:firstLine="560" w:firstLineChars="200"/>
        <w:rPr>
          <w:rFonts w:ascii="宋体" w:hAnsi="宋体"/>
          <w:sz w:val="28"/>
          <w:szCs w:val="28"/>
        </w:rPr>
      </w:pPr>
      <w:r>
        <w:rPr>
          <w:rFonts w:ascii="宋体" w:hAnsi="宋体"/>
          <w:sz w:val="28"/>
          <w:szCs w:val="28"/>
        </w:rPr>
        <w:t>1）触电危险</w:t>
      </w:r>
    </w:p>
    <w:p>
      <w:pPr>
        <w:spacing w:line="560" w:lineRule="exact"/>
        <w:ind w:firstLine="560" w:firstLineChars="200"/>
        <w:rPr>
          <w:rFonts w:ascii="宋体" w:hAnsi="宋体"/>
          <w:sz w:val="28"/>
          <w:szCs w:val="28"/>
        </w:rPr>
      </w:pPr>
      <w:r>
        <w:rPr>
          <w:rFonts w:ascii="宋体" w:hAnsi="宋体"/>
          <w:sz w:val="28"/>
          <w:szCs w:val="28"/>
        </w:rPr>
        <w:t>加气站配电设备、设施在生产运行中由于产品质量不佳，绝缘性能不好；现场环境恶劣（高温、潮湿、腐蚀、振动）、运行不当、机械损伤、维修不善导致绝缘老化破损；设计不合理、安装工艺不规范、各种电气安全净距离不够；安全措施和安全技术措施不完备、违章操作、保护失灵等原因，若人体不慎触及带电体或过份靠近带电部分，都有可能发生电击、电灼伤的触电危险。特别是高压设备和线路，因其电压值高，电场强度大，触电的潜在危险更大。</w:t>
      </w:r>
    </w:p>
    <w:p>
      <w:pPr>
        <w:spacing w:line="560" w:lineRule="exact"/>
        <w:ind w:firstLine="560" w:firstLineChars="200"/>
        <w:rPr>
          <w:rFonts w:ascii="宋体" w:hAnsi="宋体"/>
          <w:sz w:val="28"/>
          <w:szCs w:val="28"/>
        </w:rPr>
      </w:pPr>
      <w:r>
        <w:rPr>
          <w:rFonts w:ascii="宋体" w:hAnsi="宋体"/>
          <w:sz w:val="28"/>
          <w:szCs w:val="28"/>
        </w:rPr>
        <w:t>2）火灾、爆炸危险</w:t>
      </w:r>
    </w:p>
    <w:p>
      <w:pPr>
        <w:spacing w:line="560" w:lineRule="exact"/>
        <w:ind w:firstLine="560" w:firstLineChars="200"/>
        <w:rPr>
          <w:rFonts w:ascii="宋体" w:hAnsi="宋体"/>
          <w:sz w:val="28"/>
          <w:szCs w:val="28"/>
        </w:rPr>
        <w:sectPr>
          <w:headerReference w:type="default" r:id="rId39"/>
          <w:footerReference w:type="default" r:id="rId40"/>
          <w:type w:val="nextPage"/>
          <w:pgSz w:w="11906" w:h="16838"/>
          <w:pgMar w:top="1134" w:right="1588" w:bottom="1418" w:left="1134" w:header="851" w:footer="992" w:gutter="0"/>
          <w:pgNumType w:start="67"/>
          <w:cols w:num="1" w:space="720"/>
          <w:titlePg w:val="0"/>
          <w:docGrid w:type="lines" w:linePitch="290" w:charSpace="0"/>
        </w:sectPr>
      </w:pPr>
    </w:p>
    <w:p>
      <w:pPr>
        <w:spacing w:line="560" w:lineRule="exact"/>
        <w:ind w:firstLine="560" w:firstLineChars="200"/>
        <w:rPr>
          <w:rFonts w:ascii="宋体" w:hAnsi="宋体"/>
          <w:sz w:val="28"/>
          <w:szCs w:val="28"/>
        </w:rPr>
      </w:pPr>
      <w:r>
        <w:rPr>
          <w:rFonts w:ascii="宋体" w:hAnsi="宋体"/>
          <w:sz w:val="28"/>
          <w:szCs w:val="28"/>
        </w:rPr>
        <w:t>各种配电装置、电气设备、电器、照明设施、电缆、电气线路等，如果安装不当、外部火源移近、运行中正常的闭合与分断、不正常运行的过负荷、短路、过电压、接地故障、接触不良等，均可产生电气火花、电弧或者过热，若防护不当，可能发生电气火灾或引燃周围的可燃物质，造成火灾事故；在有过载电流流过时，还可能使导线（含母线、开关）过热，金属迅速气化而引起爆炸；充油电气设备（油浸电力变压器、电压互感器等）火灾危险性更大，还有可能引起爆炸。</w:t>
      </w:r>
    </w:p>
    <w:p>
      <w:pPr>
        <w:spacing w:line="560" w:lineRule="exact"/>
        <w:ind w:firstLine="560" w:firstLineChars="200"/>
        <w:rPr>
          <w:rFonts w:ascii="宋体" w:hAnsi="宋体"/>
          <w:sz w:val="28"/>
          <w:szCs w:val="28"/>
        </w:rPr>
      </w:pPr>
      <w:r>
        <w:rPr>
          <w:rFonts w:ascii="宋体" w:hAnsi="宋体"/>
          <w:sz w:val="28"/>
          <w:szCs w:val="28"/>
        </w:rPr>
        <w:t>3）雷击危险</w:t>
      </w:r>
    </w:p>
    <w:p>
      <w:pPr>
        <w:spacing w:line="560" w:lineRule="exact"/>
        <w:ind w:firstLine="560" w:firstLineChars="200"/>
        <w:rPr>
          <w:rFonts w:ascii="宋体" w:hAnsi="宋体"/>
          <w:sz w:val="28"/>
          <w:szCs w:val="28"/>
        </w:rPr>
      </w:pPr>
      <w:r>
        <w:rPr>
          <w:rFonts w:ascii="宋体" w:hAnsi="宋体"/>
          <w:sz w:val="28"/>
          <w:szCs w:val="28"/>
        </w:rPr>
        <w:t>室外变配电装置、配线（缆）、构架、箱式配电站及电气室都有遭受雷击的可能。若防雷设计不合理、施工不规范、接地电阻值不符合规范要求，则雷电过电压在雷电波及范围内会严重破坏建筑物及设备设施，并可能危及人身安全乃至有致命的危险，巨大的雷电流流入地下，会在雷击点及其连接的金属部分产生极高的对地电压，可能导致接触电压或跨步电压的触电事故；雷电流的热效应还能引起电气火灾及爆炸。</w:t>
      </w:r>
    </w:p>
    <w:p>
      <w:pPr>
        <w:spacing w:line="560" w:lineRule="exact"/>
        <w:ind w:firstLine="560" w:firstLineChars="200"/>
        <w:rPr>
          <w:rFonts w:ascii="宋体" w:hAnsi="宋体"/>
          <w:sz w:val="28"/>
          <w:szCs w:val="28"/>
        </w:rPr>
      </w:pPr>
      <w:r>
        <w:rPr>
          <w:rFonts w:ascii="宋体" w:hAnsi="宋体"/>
          <w:sz w:val="28"/>
          <w:szCs w:val="28"/>
        </w:rPr>
        <w:t>（1）加气站的雷电危害分布在爆炸火灾危险环境、变配电电气设备、加气站附属建筑物等。</w:t>
      </w:r>
    </w:p>
    <w:p>
      <w:pPr>
        <w:spacing w:line="560" w:lineRule="exact"/>
        <w:ind w:firstLine="560" w:firstLineChars="200"/>
        <w:rPr>
          <w:rFonts w:ascii="宋体" w:hAnsi="宋体"/>
          <w:sz w:val="28"/>
          <w:szCs w:val="28"/>
        </w:rPr>
      </w:pPr>
      <w:r>
        <w:rPr>
          <w:rFonts w:ascii="宋体" w:hAnsi="宋体"/>
          <w:sz w:val="28"/>
          <w:szCs w:val="28"/>
        </w:rPr>
        <w:t>（2）产生的原因：从雷电防护的角度分析，雷电危险因素的产生主要有：防雷装置设计不合理：防雷装置安装存在缺陷；防雷装置失效，防雷接地体接地电阻不符合要求；缺乏必要的人身防雷安全知识等。</w:t>
      </w:r>
    </w:p>
    <w:p>
      <w:pPr>
        <w:spacing w:line="560" w:lineRule="exact"/>
        <w:ind w:firstLine="560" w:firstLineChars="200"/>
        <w:rPr>
          <w:rFonts w:ascii="宋体" w:hAnsi="宋体"/>
          <w:sz w:val="28"/>
          <w:szCs w:val="28"/>
        </w:rPr>
      </w:pPr>
    </w:p>
    <w:p>
      <w:pPr>
        <w:pStyle w:val="Heading1"/>
        <w:rPr>
          <w:rFonts w:hint="eastAsia"/>
        </w:rPr>
      </w:pPr>
      <w:bookmarkStart w:id="99" w:name="_Toc30607"/>
      <w:bookmarkStart w:id="100" w:name="_Toc4108"/>
      <w:bookmarkStart w:id="101" w:name="_Toc359868172"/>
      <w:r>
        <w:t>第</w:t>
      </w:r>
      <w:r>
        <w:rPr>
          <w:rFonts w:hint="eastAsia"/>
        </w:rPr>
        <w:t>五</w:t>
      </w:r>
      <w:r>
        <w:t>章  试运行准备工作</w:t>
      </w:r>
      <w:bookmarkEnd w:id="99"/>
      <w:bookmarkEnd w:id="100"/>
      <w:bookmarkEnd w:id="101"/>
    </w:p>
    <w:p>
      <w:pPr>
        <w:pStyle w:val="Heading2"/>
        <w:rPr>
          <w:rFonts w:hint="eastAsia"/>
          <w:sz w:val="30"/>
          <w:szCs w:val="30"/>
        </w:rPr>
      </w:pPr>
      <w:bookmarkStart w:id="102" w:name="_Toc359868173"/>
      <w:bookmarkStart w:id="103" w:name="_Toc19702"/>
      <w:r>
        <w:rPr>
          <w:rFonts w:hint="eastAsia"/>
          <w:sz w:val="30"/>
          <w:szCs w:val="30"/>
        </w:rPr>
        <w:t>5.1试运行时间</w:t>
      </w:r>
      <w:bookmarkEnd w:id="102"/>
      <w:bookmarkEnd w:id="103"/>
    </w:p>
    <w:p>
      <w:pPr>
        <w:ind w:firstLine="560" w:firstLineChars="200"/>
        <w:rPr>
          <w:rFonts w:hint="eastAsia"/>
          <w:color w:val="000000"/>
          <w:sz w:val="28"/>
          <w:szCs w:val="28"/>
        </w:rPr>
      </w:pPr>
      <w:r>
        <w:rPr>
          <w:color w:val="000000"/>
          <w:sz w:val="28"/>
          <w:szCs w:val="28"/>
        </w:rPr>
        <w:t>本</w:t>
      </w:r>
      <w:r>
        <w:rPr>
          <w:rFonts w:hint="eastAsia"/>
          <w:color w:val="000000"/>
          <w:sz w:val="28"/>
          <w:szCs w:val="28"/>
        </w:rPr>
        <w:t>加气站</w:t>
      </w:r>
      <w:r>
        <w:rPr>
          <w:color w:val="000000"/>
          <w:sz w:val="28"/>
          <w:szCs w:val="28"/>
        </w:rPr>
        <w:t>试运行时间</w:t>
      </w:r>
      <w:r>
        <w:rPr>
          <w:rFonts w:hint="eastAsia"/>
          <w:color w:val="000000"/>
          <w:sz w:val="28"/>
          <w:szCs w:val="28"/>
        </w:rPr>
        <w:t>为四个月。</w:t>
      </w:r>
    </w:p>
    <w:p>
      <w:pPr>
        <w:pStyle w:val="Heading2"/>
        <w:rPr>
          <w:rFonts w:hint="eastAsia"/>
          <w:sz w:val="30"/>
          <w:szCs w:val="30"/>
        </w:rPr>
      </w:pPr>
      <w:bookmarkStart w:id="104" w:name="_Toc359868174"/>
      <w:bookmarkStart w:id="105" w:name="_Toc11016"/>
      <w:r>
        <w:rPr>
          <w:rFonts w:hint="eastAsia"/>
          <w:sz w:val="30"/>
          <w:szCs w:val="30"/>
        </w:rPr>
        <w:t>5.2试运行领导小组</w:t>
      </w:r>
      <w:bookmarkEnd w:id="104"/>
      <w:bookmarkEnd w:id="105"/>
    </w:p>
    <w:p>
      <w:pPr>
        <w:ind w:firstLine="560" w:firstLineChars="200"/>
        <w:rPr>
          <w:sz w:val="28"/>
          <w:szCs w:val="28"/>
        </w:rPr>
        <w:sectPr>
          <w:headerReference w:type="default" r:id="rId41"/>
          <w:footerReference w:type="default" r:id="rId42"/>
          <w:type w:val="nextPage"/>
          <w:pgSz w:w="11906" w:h="16838"/>
          <w:pgMar w:top="1134" w:right="1588" w:bottom="1418" w:left="1134" w:header="851" w:footer="992" w:gutter="0"/>
          <w:pgNumType w:start="68"/>
          <w:cols w:num="1" w:space="720"/>
          <w:titlePg w:val="0"/>
          <w:docGrid w:type="lines" w:linePitch="290" w:charSpace="0"/>
        </w:sectPr>
      </w:pPr>
      <w:r>
        <w:rPr>
          <w:sz w:val="28"/>
          <w:szCs w:val="28"/>
        </w:rPr>
        <w:t>本</w:t>
      </w:r>
      <w:r>
        <w:rPr>
          <w:rFonts w:hint="eastAsia"/>
          <w:sz w:val="28"/>
          <w:szCs w:val="28"/>
        </w:rPr>
        <w:t>加气站</w:t>
      </w:r>
      <w:r>
        <w:rPr>
          <w:sz w:val="28"/>
          <w:szCs w:val="28"/>
        </w:rPr>
        <w:t>试运行由</w:t>
      </w:r>
      <w:r>
        <w:rPr>
          <w:rFonts w:hint="eastAsia"/>
          <w:sz w:val="28"/>
          <w:szCs w:val="28"/>
        </w:rPr>
        <w:t>有限公司</w:t>
      </w:r>
      <w:r>
        <w:rPr>
          <w:sz w:val="28"/>
          <w:szCs w:val="28"/>
        </w:rPr>
        <w:t>统一领导，由本站站长</w:t>
      </w:r>
      <w:r>
        <w:rPr>
          <w:rFonts w:hint="eastAsia"/>
          <w:sz w:val="28"/>
          <w:szCs w:val="28"/>
          <w:lang w:val="en-US" w:eastAsia="zh-CN"/>
        </w:rPr>
        <w:t xml:space="preserve"> </w:t>
      </w:r>
      <w:r>
        <w:rPr>
          <w:sz w:val="28"/>
          <w:szCs w:val="28"/>
        </w:rPr>
        <w:t>为组长，</w:t>
      </w:r>
    </w:p>
    <w:p>
      <w:pPr>
        <w:ind w:firstLine="560" w:firstLineChars="200"/>
        <w:rPr>
          <w:sz w:val="28"/>
          <w:szCs w:val="28"/>
        </w:rPr>
      </w:pPr>
      <w:r>
        <w:rPr>
          <w:rFonts w:hint="eastAsia"/>
          <w:sz w:val="28"/>
          <w:szCs w:val="28"/>
        </w:rPr>
        <w:t>技术负责人</w:t>
      </w:r>
      <w:r>
        <w:rPr>
          <w:rFonts w:hint="eastAsia"/>
          <w:sz w:val="28"/>
          <w:szCs w:val="28"/>
          <w:lang w:val="en-US" w:eastAsia="zh-CN"/>
        </w:rPr>
        <w:t xml:space="preserve"> </w:t>
      </w:r>
      <w:r>
        <w:rPr>
          <w:sz w:val="28"/>
          <w:szCs w:val="28"/>
        </w:rPr>
        <w:t>为副组长的领导小组。</w:t>
      </w:r>
    </w:p>
    <w:p>
      <w:pPr>
        <w:pStyle w:val="Heading2"/>
        <w:rPr>
          <w:rFonts w:hint="eastAsia"/>
          <w:sz w:val="30"/>
          <w:szCs w:val="30"/>
        </w:rPr>
      </w:pPr>
      <w:bookmarkStart w:id="106" w:name="_Toc21453"/>
      <w:bookmarkStart w:id="107" w:name="_Toc359868175"/>
      <w:bookmarkStart w:id="108" w:name="_Toc3299"/>
      <w:r>
        <w:rPr>
          <w:rFonts w:hint="eastAsia"/>
          <w:sz w:val="30"/>
          <w:szCs w:val="30"/>
        </w:rPr>
        <w:t>5.3人员组织准备</w:t>
      </w:r>
      <w:bookmarkEnd w:id="106"/>
      <w:bookmarkEnd w:id="107"/>
      <w:bookmarkEnd w:id="108"/>
    </w:p>
    <w:p>
      <w:pPr>
        <w:tabs>
          <w:tab w:val="left" w:pos="1080"/>
        </w:tabs>
        <w:spacing w:line="360" w:lineRule="auto"/>
        <w:ind w:firstLine="560" w:firstLineChars="200"/>
        <w:rPr>
          <w:rFonts w:ascii="宋体" w:hAnsi="宋体" w:hint="eastAsia"/>
          <w:kern w:val="0"/>
          <w:sz w:val="28"/>
          <w:szCs w:val="28"/>
        </w:rPr>
      </w:pPr>
      <w:r>
        <w:rPr>
          <w:rFonts w:ascii="宋体" w:hAnsi="宋体"/>
          <w:kern w:val="0"/>
          <w:sz w:val="28"/>
          <w:szCs w:val="28"/>
        </w:rPr>
        <w:t>实行站长</w:t>
      </w:r>
      <w:r>
        <w:rPr>
          <w:rFonts w:ascii="宋体" w:hAnsi="宋体" w:hint="eastAsia"/>
          <w:kern w:val="0"/>
          <w:sz w:val="28"/>
          <w:szCs w:val="28"/>
        </w:rPr>
        <w:t>负责制</w:t>
      </w:r>
      <w:r>
        <w:rPr>
          <w:rFonts w:ascii="宋体" w:hAnsi="宋体"/>
          <w:kern w:val="0"/>
          <w:sz w:val="28"/>
          <w:szCs w:val="28"/>
        </w:rPr>
        <w:t>，</w:t>
      </w:r>
      <w:r>
        <w:rPr>
          <w:rFonts w:ascii="宋体" w:hAnsi="宋体" w:hint="eastAsia"/>
          <w:kern w:val="0"/>
          <w:sz w:val="28"/>
          <w:szCs w:val="28"/>
        </w:rPr>
        <w:t>加气站</w:t>
      </w:r>
      <w:r>
        <w:rPr>
          <w:rFonts w:ascii="宋体" w:hAnsi="宋体"/>
          <w:kern w:val="0"/>
          <w:sz w:val="28"/>
          <w:szCs w:val="28"/>
        </w:rPr>
        <w:t>站长是</w:t>
      </w:r>
      <w:r>
        <w:rPr>
          <w:rFonts w:ascii="宋体" w:hAnsi="宋体" w:hint="eastAsia"/>
          <w:kern w:val="0"/>
          <w:sz w:val="28"/>
          <w:szCs w:val="28"/>
        </w:rPr>
        <w:t>加气站</w:t>
      </w:r>
      <w:r>
        <w:rPr>
          <w:rFonts w:ascii="宋体" w:hAnsi="宋体"/>
          <w:kern w:val="0"/>
          <w:sz w:val="28"/>
          <w:szCs w:val="28"/>
        </w:rPr>
        <w:t>安全生产第一责任人。站长对生产运营的全过程负责</w:t>
      </w:r>
      <w:r>
        <w:rPr>
          <w:rFonts w:ascii="宋体" w:hAnsi="宋体" w:hint="eastAsia"/>
          <w:kern w:val="0"/>
          <w:sz w:val="28"/>
          <w:szCs w:val="28"/>
        </w:rPr>
        <w:t>，</w:t>
      </w:r>
      <w:r>
        <w:rPr>
          <w:rFonts w:ascii="宋体" w:hAnsi="宋体"/>
          <w:kern w:val="0"/>
          <w:sz w:val="28"/>
          <w:szCs w:val="28"/>
        </w:rPr>
        <w:t>负责抓好各项生产准备工作，对设备工艺的审查、监督和检查。</w:t>
      </w:r>
      <w:r>
        <w:rPr>
          <w:rFonts w:ascii="宋体" w:hAnsi="宋体" w:hint="eastAsia"/>
          <w:kern w:val="0"/>
          <w:sz w:val="28"/>
          <w:szCs w:val="28"/>
        </w:rPr>
        <w:t>站内员工10人，分三个班组，</w:t>
      </w:r>
      <w:r>
        <w:rPr>
          <w:rFonts w:ascii="宋体" w:hAnsi="宋体"/>
          <w:kern w:val="0"/>
          <w:sz w:val="28"/>
          <w:szCs w:val="28"/>
        </w:rPr>
        <w:t>每班设有安全管理员。</w:t>
      </w:r>
      <w:r>
        <w:rPr>
          <w:rFonts w:ascii="宋体" w:hAnsi="宋体" w:hint="eastAsia"/>
          <w:kern w:val="0"/>
          <w:sz w:val="28"/>
          <w:szCs w:val="28"/>
        </w:rPr>
        <w:t>员工已培训到位。</w:t>
      </w:r>
    </w:p>
    <w:tbl>
      <w:tblPr>
        <w:tblStyle w:val="TableNormal"/>
        <w:tblW w:w="0" w:type="auto"/>
        <w:tblInd w:w="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5"/>
        <w:gridCol w:w="2445"/>
        <w:gridCol w:w="2445"/>
      </w:tblGrid>
      <w:tr>
        <w:tblPrEx>
          <w:tblW w:w="0" w:type="auto"/>
          <w:tblInd w:w="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79"/>
        </w:trPr>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rPr>
              <w:t>职务</w:t>
            </w:r>
          </w:p>
        </w:tc>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rPr>
              <w:t>姓名</w:t>
            </w:r>
          </w:p>
        </w:tc>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rPr>
              <w:t>试运行工作安排</w:t>
            </w:r>
          </w:p>
        </w:tc>
      </w:tr>
      <w:tr>
        <w:tblPrEx>
          <w:tblW w:w="0" w:type="auto"/>
          <w:tblInd w:w="847" w:type="dxa"/>
          <w:tblLayout w:type="fixed"/>
          <w:tblCellMar>
            <w:top w:w="0" w:type="dxa"/>
            <w:left w:w="108" w:type="dxa"/>
            <w:bottom w:w="0" w:type="dxa"/>
            <w:right w:w="108" w:type="dxa"/>
          </w:tblCellMar>
        </w:tblPrEx>
        <w:trPr>
          <w:trHeight w:val="479"/>
        </w:trPr>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rPr>
              <w:t>站长</w:t>
            </w:r>
          </w:p>
        </w:tc>
        <w:tc>
          <w:tcPr>
            <w:tcW w:w="2445" w:type="dxa"/>
            <w:noWrap w:val="0"/>
            <w:vAlign w:val="top"/>
          </w:tcPr>
          <w:p>
            <w:pPr>
              <w:tabs>
                <w:tab w:val="left" w:pos="1080"/>
              </w:tabs>
              <w:spacing w:line="360" w:lineRule="auto"/>
              <w:jc w:val="center"/>
              <w:rPr>
                <w:rFonts w:ascii="宋体" w:hAnsi="宋体" w:hint="eastAsia"/>
                <w:kern w:val="0"/>
                <w:sz w:val="24"/>
              </w:rPr>
            </w:pPr>
          </w:p>
        </w:tc>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rPr>
              <w:t>组长</w:t>
            </w:r>
          </w:p>
        </w:tc>
      </w:tr>
      <w:tr>
        <w:tblPrEx>
          <w:tblW w:w="0" w:type="auto"/>
          <w:tblInd w:w="847" w:type="dxa"/>
          <w:tblLayout w:type="fixed"/>
          <w:tblCellMar>
            <w:top w:w="0" w:type="dxa"/>
            <w:left w:w="108" w:type="dxa"/>
            <w:bottom w:w="0" w:type="dxa"/>
            <w:right w:w="108" w:type="dxa"/>
          </w:tblCellMar>
        </w:tblPrEx>
        <w:trPr>
          <w:trHeight w:val="490"/>
        </w:trPr>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rPr>
              <w:t>技术负责人</w:t>
            </w:r>
          </w:p>
        </w:tc>
        <w:tc>
          <w:tcPr>
            <w:tcW w:w="2445" w:type="dxa"/>
            <w:noWrap w:val="0"/>
            <w:vAlign w:val="top"/>
          </w:tcPr>
          <w:p>
            <w:pPr>
              <w:tabs>
                <w:tab w:val="left" w:pos="1080"/>
              </w:tabs>
              <w:spacing w:line="360" w:lineRule="auto"/>
              <w:jc w:val="center"/>
              <w:rPr>
                <w:rFonts w:ascii="宋体" w:hAnsi="宋体" w:hint="eastAsia"/>
                <w:kern w:val="0"/>
                <w:sz w:val="24"/>
              </w:rPr>
            </w:pPr>
          </w:p>
        </w:tc>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rPr>
              <w:t>副组长</w:t>
            </w:r>
          </w:p>
        </w:tc>
      </w:tr>
      <w:tr>
        <w:tblPrEx>
          <w:tblW w:w="0" w:type="auto"/>
          <w:tblInd w:w="847" w:type="dxa"/>
          <w:tblLayout w:type="fixed"/>
          <w:tblCellMar>
            <w:top w:w="0" w:type="dxa"/>
            <w:left w:w="108" w:type="dxa"/>
            <w:bottom w:w="0" w:type="dxa"/>
            <w:right w:w="108" w:type="dxa"/>
          </w:tblCellMar>
        </w:tblPrEx>
        <w:trPr>
          <w:trHeight w:val="479"/>
        </w:trPr>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rPr>
              <w:t>组长</w:t>
            </w:r>
          </w:p>
        </w:tc>
        <w:tc>
          <w:tcPr>
            <w:tcW w:w="2445" w:type="dxa"/>
            <w:noWrap w:val="0"/>
            <w:vAlign w:val="top"/>
          </w:tcPr>
          <w:p>
            <w:pPr>
              <w:tabs>
                <w:tab w:val="left" w:pos="1080"/>
              </w:tabs>
              <w:spacing w:line="360" w:lineRule="auto"/>
              <w:jc w:val="center"/>
              <w:rPr>
                <w:rFonts w:ascii="宋体" w:hAnsi="宋体" w:hint="eastAsia"/>
                <w:kern w:val="0"/>
                <w:sz w:val="24"/>
              </w:rPr>
            </w:pPr>
          </w:p>
        </w:tc>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rPr>
              <w:t>安全管理员</w:t>
            </w:r>
          </w:p>
        </w:tc>
      </w:tr>
      <w:tr>
        <w:tblPrEx>
          <w:tblW w:w="0" w:type="auto"/>
          <w:tblInd w:w="847" w:type="dxa"/>
          <w:tblLayout w:type="fixed"/>
          <w:tblCellMar>
            <w:top w:w="0" w:type="dxa"/>
            <w:left w:w="108" w:type="dxa"/>
            <w:bottom w:w="0" w:type="dxa"/>
            <w:right w:w="108" w:type="dxa"/>
          </w:tblCellMar>
        </w:tblPrEx>
        <w:trPr>
          <w:trHeight w:val="490"/>
        </w:trPr>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lang w:eastAsia="zh-CN"/>
              </w:rPr>
              <w:t>设备管理</w:t>
            </w:r>
          </w:p>
        </w:tc>
        <w:tc>
          <w:tcPr>
            <w:tcW w:w="2445" w:type="dxa"/>
            <w:noWrap w:val="0"/>
            <w:vAlign w:val="top"/>
          </w:tcPr>
          <w:p>
            <w:pPr>
              <w:tabs>
                <w:tab w:val="left" w:pos="1080"/>
              </w:tabs>
              <w:spacing w:line="360" w:lineRule="auto"/>
              <w:jc w:val="center"/>
              <w:rPr>
                <w:rFonts w:ascii="宋体" w:hAnsi="宋体" w:hint="eastAsia"/>
                <w:kern w:val="0"/>
                <w:sz w:val="24"/>
              </w:rPr>
            </w:pPr>
          </w:p>
        </w:tc>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lang w:eastAsia="zh-CN"/>
              </w:rPr>
              <w:t>安全管理员</w:t>
            </w:r>
          </w:p>
        </w:tc>
      </w:tr>
      <w:tr>
        <w:tblPrEx>
          <w:tblW w:w="0" w:type="auto"/>
          <w:tblInd w:w="847" w:type="dxa"/>
          <w:tblLayout w:type="fixed"/>
          <w:tblCellMar>
            <w:top w:w="0" w:type="dxa"/>
            <w:left w:w="108" w:type="dxa"/>
            <w:bottom w:w="0" w:type="dxa"/>
            <w:right w:w="108" w:type="dxa"/>
          </w:tblCellMar>
        </w:tblPrEx>
        <w:trPr>
          <w:trHeight w:val="479"/>
        </w:trPr>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rPr>
              <w:t>加气工</w:t>
            </w:r>
          </w:p>
        </w:tc>
        <w:tc>
          <w:tcPr>
            <w:tcW w:w="2445" w:type="dxa"/>
            <w:noWrap w:val="0"/>
            <w:vAlign w:val="top"/>
          </w:tcPr>
          <w:p>
            <w:pPr>
              <w:tabs>
                <w:tab w:val="left" w:pos="1080"/>
              </w:tabs>
              <w:spacing w:line="360" w:lineRule="auto"/>
              <w:jc w:val="center"/>
              <w:rPr>
                <w:rFonts w:ascii="宋体" w:hAnsi="宋体" w:hint="eastAsia"/>
                <w:kern w:val="0"/>
                <w:sz w:val="24"/>
              </w:rPr>
            </w:pPr>
          </w:p>
        </w:tc>
        <w:tc>
          <w:tcPr>
            <w:tcW w:w="2445" w:type="dxa"/>
            <w:noWrap w:val="0"/>
            <w:vAlign w:val="top"/>
          </w:tcPr>
          <w:p>
            <w:pPr>
              <w:jc w:val="center"/>
            </w:pPr>
            <w:r>
              <w:rPr>
                <w:rFonts w:ascii="宋体" w:hAnsi="宋体" w:hint="eastAsia"/>
                <w:kern w:val="0"/>
                <w:sz w:val="24"/>
              </w:rPr>
              <w:t>充装工</w:t>
            </w:r>
          </w:p>
        </w:tc>
      </w:tr>
      <w:tr>
        <w:tblPrEx>
          <w:tblW w:w="0" w:type="auto"/>
          <w:tblInd w:w="847" w:type="dxa"/>
          <w:tblLayout w:type="fixed"/>
          <w:tblCellMar>
            <w:top w:w="0" w:type="dxa"/>
            <w:left w:w="108" w:type="dxa"/>
            <w:bottom w:w="0" w:type="dxa"/>
            <w:right w:w="108" w:type="dxa"/>
          </w:tblCellMar>
        </w:tblPrEx>
        <w:trPr>
          <w:trHeight w:val="490"/>
        </w:trPr>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rPr>
              <w:t>加气工</w:t>
            </w:r>
          </w:p>
        </w:tc>
        <w:tc>
          <w:tcPr>
            <w:tcW w:w="2445" w:type="dxa"/>
            <w:noWrap w:val="0"/>
            <w:vAlign w:val="top"/>
          </w:tcPr>
          <w:p>
            <w:pPr>
              <w:tabs>
                <w:tab w:val="left" w:pos="1080"/>
              </w:tabs>
              <w:spacing w:line="360" w:lineRule="auto"/>
              <w:jc w:val="center"/>
              <w:rPr>
                <w:rFonts w:ascii="宋体" w:hAnsi="宋体" w:hint="eastAsia"/>
                <w:kern w:val="0"/>
                <w:sz w:val="24"/>
              </w:rPr>
            </w:pPr>
          </w:p>
        </w:tc>
        <w:tc>
          <w:tcPr>
            <w:tcW w:w="2445" w:type="dxa"/>
            <w:noWrap w:val="0"/>
            <w:vAlign w:val="top"/>
          </w:tcPr>
          <w:p>
            <w:pPr>
              <w:jc w:val="center"/>
            </w:pPr>
            <w:r>
              <w:rPr>
                <w:rFonts w:ascii="宋体" w:hAnsi="宋体" w:hint="eastAsia"/>
                <w:kern w:val="0"/>
                <w:sz w:val="24"/>
              </w:rPr>
              <w:t>充装工</w:t>
            </w:r>
          </w:p>
        </w:tc>
      </w:tr>
      <w:tr>
        <w:tblPrEx>
          <w:tblW w:w="0" w:type="auto"/>
          <w:tblInd w:w="847" w:type="dxa"/>
          <w:tblLayout w:type="fixed"/>
          <w:tblCellMar>
            <w:top w:w="0" w:type="dxa"/>
            <w:left w:w="108" w:type="dxa"/>
            <w:bottom w:w="0" w:type="dxa"/>
            <w:right w:w="108" w:type="dxa"/>
          </w:tblCellMar>
        </w:tblPrEx>
        <w:trPr>
          <w:trHeight w:val="479"/>
        </w:trPr>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rPr>
              <w:t>加气工</w:t>
            </w:r>
          </w:p>
        </w:tc>
        <w:tc>
          <w:tcPr>
            <w:tcW w:w="2445" w:type="dxa"/>
            <w:noWrap w:val="0"/>
            <w:vAlign w:val="top"/>
          </w:tcPr>
          <w:p>
            <w:pPr>
              <w:tabs>
                <w:tab w:val="left" w:pos="1080"/>
              </w:tabs>
              <w:spacing w:line="360" w:lineRule="auto"/>
              <w:jc w:val="center"/>
              <w:rPr>
                <w:rFonts w:ascii="宋体" w:hAnsi="宋体" w:hint="eastAsia"/>
                <w:kern w:val="0"/>
                <w:sz w:val="24"/>
              </w:rPr>
            </w:pPr>
          </w:p>
        </w:tc>
        <w:tc>
          <w:tcPr>
            <w:tcW w:w="2445" w:type="dxa"/>
            <w:noWrap w:val="0"/>
            <w:vAlign w:val="top"/>
          </w:tcPr>
          <w:p>
            <w:pPr>
              <w:jc w:val="center"/>
            </w:pPr>
            <w:r>
              <w:rPr>
                <w:rFonts w:ascii="宋体" w:hAnsi="宋体" w:hint="eastAsia"/>
                <w:kern w:val="0"/>
                <w:sz w:val="24"/>
              </w:rPr>
              <w:t>充装工</w:t>
            </w:r>
          </w:p>
        </w:tc>
      </w:tr>
      <w:tr>
        <w:tblPrEx>
          <w:tblW w:w="0" w:type="auto"/>
          <w:tblInd w:w="847" w:type="dxa"/>
          <w:tblLayout w:type="fixed"/>
          <w:tblCellMar>
            <w:top w:w="0" w:type="dxa"/>
            <w:left w:w="108" w:type="dxa"/>
            <w:bottom w:w="0" w:type="dxa"/>
            <w:right w:w="108" w:type="dxa"/>
          </w:tblCellMar>
        </w:tblPrEx>
        <w:trPr>
          <w:trHeight w:val="479"/>
        </w:trPr>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rPr>
              <w:t>加气工</w:t>
            </w:r>
          </w:p>
        </w:tc>
        <w:tc>
          <w:tcPr>
            <w:tcW w:w="2445" w:type="dxa"/>
            <w:noWrap w:val="0"/>
            <w:vAlign w:val="top"/>
          </w:tcPr>
          <w:p>
            <w:pPr>
              <w:tabs>
                <w:tab w:val="left" w:pos="1080"/>
              </w:tabs>
              <w:spacing w:line="360" w:lineRule="auto"/>
              <w:jc w:val="center"/>
              <w:rPr>
                <w:rFonts w:ascii="宋体" w:hAnsi="宋体" w:hint="eastAsia"/>
                <w:kern w:val="0"/>
                <w:sz w:val="24"/>
              </w:rPr>
            </w:pPr>
          </w:p>
        </w:tc>
        <w:tc>
          <w:tcPr>
            <w:tcW w:w="2445" w:type="dxa"/>
            <w:noWrap w:val="0"/>
            <w:vAlign w:val="top"/>
          </w:tcPr>
          <w:p>
            <w:pPr>
              <w:jc w:val="center"/>
              <w:rPr>
                <w:sz w:val="24"/>
              </w:rPr>
            </w:pPr>
            <w:r>
              <w:rPr>
                <w:rFonts w:ascii="宋体" w:hAnsi="宋体" w:hint="eastAsia"/>
                <w:kern w:val="0"/>
                <w:sz w:val="24"/>
              </w:rPr>
              <w:t>充装工</w:t>
            </w:r>
          </w:p>
        </w:tc>
      </w:tr>
      <w:tr>
        <w:tblPrEx>
          <w:tblW w:w="0" w:type="auto"/>
          <w:tblInd w:w="847" w:type="dxa"/>
          <w:tblLayout w:type="fixed"/>
          <w:tblCellMar>
            <w:top w:w="0" w:type="dxa"/>
            <w:left w:w="108" w:type="dxa"/>
            <w:bottom w:w="0" w:type="dxa"/>
            <w:right w:w="108" w:type="dxa"/>
          </w:tblCellMar>
        </w:tblPrEx>
        <w:trPr>
          <w:trHeight w:val="501"/>
        </w:trPr>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rPr>
              <w:t>加气工</w:t>
            </w:r>
          </w:p>
        </w:tc>
        <w:tc>
          <w:tcPr>
            <w:tcW w:w="2445" w:type="dxa"/>
            <w:noWrap w:val="0"/>
            <w:vAlign w:val="top"/>
          </w:tcPr>
          <w:p>
            <w:pPr>
              <w:tabs>
                <w:tab w:val="left" w:pos="1080"/>
              </w:tabs>
              <w:spacing w:line="360" w:lineRule="auto"/>
              <w:jc w:val="center"/>
              <w:rPr>
                <w:rFonts w:ascii="宋体" w:hAnsi="宋体" w:hint="eastAsia"/>
                <w:kern w:val="0"/>
                <w:sz w:val="24"/>
              </w:rPr>
            </w:pPr>
          </w:p>
        </w:tc>
        <w:tc>
          <w:tcPr>
            <w:tcW w:w="2445" w:type="dxa"/>
            <w:noWrap w:val="0"/>
            <w:vAlign w:val="top"/>
          </w:tcPr>
          <w:p>
            <w:pPr>
              <w:tabs>
                <w:tab w:val="left" w:pos="1080"/>
              </w:tabs>
              <w:spacing w:line="360" w:lineRule="auto"/>
              <w:jc w:val="center"/>
              <w:rPr>
                <w:sz w:val="24"/>
              </w:rPr>
            </w:pPr>
            <w:r>
              <w:rPr>
                <w:rFonts w:ascii="宋体" w:hAnsi="宋体" w:hint="eastAsia"/>
                <w:kern w:val="0"/>
                <w:sz w:val="24"/>
              </w:rPr>
              <w:t>充装工</w:t>
            </w:r>
          </w:p>
        </w:tc>
      </w:tr>
      <w:tr>
        <w:tblPrEx>
          <w:tblW w:w="0" w:type="auto"/>
          <w:tblInd w:w="847" w:type="dxa"/>
          <w:tblLayout w:type="fixed"/>
          <w:tblCellMar>
            <w:top w:w="0" w:type="dxa"/>
            <w:left w:w="108" w:type="dxa"/>
            <w:bottom w:w="0" w:type="dxa"/>
            <w:right w:w="108" w:type="dxa"/>
          </w:tblCellMar>
        </w:tblPrEx>
        <w:trPr>
          <w:trHeight w:val="501"/>
        </w:trPr>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rPr>
              <w:t>加气工</w:t>
            </w:r>
          </w:p>
        </w:tc>
        <w:tc>
          <w:tcPr>
            <w:tcW w:w="2445" w:type="dxa"/>
            <w:noWrap w:val="0"/>
            <w:vAlign w:val="top"/>
          </w:tcPr>
          <w:p>
            <w:pPr>
              <w:tabs>
                <w:tab w:val="left" w:pos="1080"/>
              </w:tabs>
              <w:spacing w:line="360" w:lineRule="auto"/>
              <w:jc w:val="center"/>
              <w:rPr>
                <w:rFonts w:ascii="宋体" w:hAnsi="宋体" w:hint="eastAsia"/>
                <w:kern w:val="0"/>
                <w:sz w:val="24"/>
              </w:rPr>
            </w:pPr>
          </w:p>
        </w:tc>
        <w:tc>
          <w:tcPr>
            <w:tcW w:w="2445" w:type="dxa"/>
            <w:noWrap w:val="0"/>
            <w:vAlign w:val="top"/>
          </w:tcPr>
          <w:p>
            <w:pPr>
              <w:jc w:val="center"/>
              <w:rPr>
                <w:rFonts w:hint="eastAsia"/>
                <w:sz w:val="24"/>
              </w:rPr>
            </w:pPr>
            <w:r>
              <w:rPr>
                <w:rFonts w:ascii="宋体" w:hAnsi="宋体" w:hint="eastAsia"/>
                <w:kern w:val="0"/>
                <w:sz w:val="24"/>
                <w:lang w:eastAsia="zh-CN"/>
              </w:rPr>
              <w:t>安全管理员</w:t>
            </w:r>
          </w:p>
        </w:tc>
      </w:tr>
      <w:tr>
        <w:tblPrEx>
          <w:tblW w:w="0" w:type="auto"/>
          <w:tblInd w:w="847" w:type="dxa"/>
          <w:tblLayout w:type="fixed"/>
          <w:tblCellMar>
            <w:top w:w="0" w:type="dxa"/>
            <w:left w:w="108" w:type="dxa"/>
            <w:bottom w:w="0" w:type="dxa"/>
            <w:right w:w="108" w:type="dxa"/>
          </w:tblCellMar>
        </w:tblPrEx>
        <w:trPr>
          <w:trHeight w:val="501"/>
        </w:trPr>
        <w:tc>
          <w:tcPr>
            <w:tcW w:w="2445" w:type="dxa"/>
            <w:noWrap w:val="0"/>
            <w:vAlign w:val="top"/>
          </w:tcPr>
          <w:p>
            <w:pPr>
              <w:tabs>
                <w:tab w:val="left" w:pos="1080"/>
              </w:tabs>
              <w:spacing w:line="360" w:lineRule="auto"/>
              <w:jc w:val="center"/>
              <w:rPr>
                <w:rFonts w:ascii="宋体" w:hAnsi="宋体" w:hint="eastAsia"/>
                <w:kern w:val="0"/>
                <w:sz w:val="24"/>
              </w:rPr>
            </w:pPr>
            <w:r>
              <w:rPr>
                <w:rFonts w:ascii="宋体" w:hAnsi="宋体" w:hint="eastAsia"/>
                <w:kern w:val="0"/>
                <w:sz w:val="24"/>
              </w:rPr>
              <w:t>加气工</w:t>
            </w:r>
          </w:p>
        </w:tc>
        <w:tc>
          <w:tcPr>
            <w:tcW w:w="2445" w:type="dxa"/>
            <w:noWrap w:val="0"/>
            <w:vAlign w:val="top"/>
          </w:tcPr>
          <w:p>
            <w:pPr>
              <w:tabs>
                <w:tab w:val="left" w:pos="1080"/>
              </w:tabs>
              <w:spacing w:line="360" w:lineRule="auto"/>
              <w:jc w:val="center"/>
              <w:rPr>
                <w:rFonts w:ascii="宋体" w:hAnsi="宋体" w:hint="eastAsia"/>
                <w:kern w:val="0"/>
                <w:sz w:val="24"/>
              </w:rPr>
            </w:pPr>
          </w:p>
        </w:tc>
        <w:tc>
          <w:tcPr>
            <w:tcW w:w="2445" w:type="dxa"/>
            <w:noWrap w:val="0"/>
            <w:vAlign w:val="top"/>
          </w:tcPr>
          <w:p>
            <w:pPr>
              <w:jc w:val="center"/>
              <w:rPr>
                <w:sz w:val="24"/>
              </w:rPr>
            </w:pPr>
            <w:r>
              <w:rPr>
                <w:rFonts w:ascii="宋体" w:hAnsi="宋体" w:hint="eastAsia"/>
                <w:kern w:val="0"/>
                <w:sz w:val="24"/>
              </w:rPr>
              <w:t>充装工</w:t>
            </w:r>
          </w:p>
        </w:tc>
      </w:tr>
    </w:tbl>
    <w:p>
      <w:pPr>
        <w:pStyle w:val="Heading2"/>
        <w:rPr>
          <w:rFonts w:hint="eastAsia"/>
          <w:sz w:val="30"/>
          <w:szCs w:val="30"/>
        </w:rPr>
      </w:pPr>
      <w:bookmarkStart w:id="109" w:name="_Toc359868176"/>
      <w:bookmarkStart w:id="110" w:name="_Toc18556"/>
      <w:bookmarkStart w:id="111" w:name="_Toc19518"/>
      <w:r>
        <w:rPr>
          <w:rFonts w:hint="eastAsia"/>
          <w:sz w:val="30"/>
          <w:szCs w:val="30"/>
        </w:rPr>
        <w:t>5.4工艺设施和技术准备</w:t>
      </w:r>
      <w:bookmarkEnd w:id="109"/>
      <w:bookmarkEnd w:id="110"/>
      <w:bookmarkEnd w:id="111"/>
    </w:p>
    <w:p>
      <w:pPr>
        <w:ind w:firstLine="560" w:firstLineChars="200"/>
        <w:rPr>
          <w:rFonts w:ascii="宋体" w:hAnsi="宋体" w:hint="eastAsia"/>
          <w:kern w:val="0"/>
          <w:sz w:val="28"/>
          <w:szCs w:val="28"/>
        </w:rPr>
      </w:pPr>
      <w:r>
        <w:rPr>
          <w:rFonts w:ascii="宋体" w:hAnsi="宋体" w:hint="eastAsia"/>
          <w:kern w:val="0"/>
          <w:sz w:val="28"/>
          <w:szCs w:val="28"/>
        </w:rPr>
        <w:t>工艺设备设施、电力线路安装到位，各种管线连接完毕，</w:t>
      </w:r>
      <w:r>
        <w:rPr>
          <w:rFonts w:ascii="宋体" w:hAnsi="宋体"/>
          <w:kern w:val="0"/>
          <w:sz w:val="28"/>
          <w:szCs w:val="28"/>
        </w:rPr>
        <w:t>技术准备的任务是</w:t>
      </w:r>
      <w:r>
        <w:rPr>
          <w:rFonts w:ascii="宋体" w:hAnsi="宋体" w:hint="eastAsia"/>
          <w:kern w:val="0"/>
          <w:sz w:val="28"/>
          <w:szCs w:val="28"/>
        </w:rPr>
        <w:t>试</w:t>
      </w:r>
      <w:r>
        <w:rPr>
          <w:rFonts w:ascii="宋体" w:hAnsi="宋体" w:hint="eastAsia"/>
          <w:kern w:val="0"/>
          <w:sz w:val="28"/>
          <w:szCs w:val="28"/>
        </w:rPr>
        <w:br/>
      </w:r>
      <w:r>
        <w:rPr>
          <w:rFonts w:ascii="宋体" w:hAnsi="宋体" w:hint="eastAsia"/>
          <w:kern w:val="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3" w:history="1">
        <w:r>
          <w:rPr>
            <w:rFonts w:ascii="SimSun" w:eastAsia="SimSun" w:hAnsi="SimSun" w:cs="SimSun"/>
            <w:b/>
            <w:bCs/>
            <w:color w:val="0000EE"/>
            <w:kern w:val="0"/>
            <w:sz w:val="30"/>
            <w:szCs w:val="30"/>
            <w:u w:val="single" w:color="0000EE"/>
          </w:rPr>
          <w:t>https://d.book118.com/838043017065006047</w:t>
        </w:r>
      </w:hyperlink>
    </w:p>
    <w:p>
      <w:pPr>
        <w:ind w:firstLine="560" w:firstLineChars="200"/>
        <w:rPr>
          <w:rFonts w:ascii="宋体" w:hAnsi="宋体" w:hint="eastAsia"/>
          <w:kern w:val="0"/>
          <w:sz w:val="28"/>
          <w:szCs w:val="28"/>
        </w:rPr>
      </w:pPr>
    </w:p>
    <w:sectPr>
      <w:headerReference w:type="default" r:id="rId44"/>
      <w:footerReference w:type="default" r:id="rId45"/>
      <w:type w:val="nextPage"/>
      <w:pgSz w:w="11906" w:h="16838"/>
      <w:pgMar w:top="1134" w:right="1588" w:bottom="1418" w:left="1134" w:header="851" w:footer="992" w:gutter="0"/>
      <w:pgNumType w:start="69"/>
      <w:cols w:num="1" w:space="720"/>
      <w:titlePg w:val="0"/>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align>top</wp:align>
              </wp:positionV>
              <wp:extent cx="222250" cy="306705"/>
              <wp:effectExtent l="0" t="0" r="0" b="0"/>
              <wp:wrapNone/>
              <wp:docPr id="20"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49"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58240"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align>top</wp:align>
              </wp:positionV>
              <wp:extent cx="222250" cy="306705"/>
              <wp:effectExtent l="0" t="0" r="0" b="0"/>
              <wp:wrapNone/>
              <wp:docPr id="384052800"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50"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60288"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align>top</wp:align>
              </wp:positionV>
              <wp:extent cx="222250" cy="306705"/>
              <wp:effectExtent l="0" t="0" r="0" b="0"/>
              <wp:wrapNone/>
              <wp:docPr id="1842781085"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51"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62336"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align>top</wp:align>
              </wp:positionV>
              <wp:extent cx="222250" cy="306705"/>
              <wp:effectExtent l="0" t="0" r="0" b="0"/>
              <wp:wrapNone/>
              <wp:docPr id="1475056826"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52"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64384"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align>top</wp:align>
              </wp:positionV>
              <wp:extent cx="222250" cy="306705"/>
              <wp:effectExtent l="0" t="0" r="0" b="0"/>
              <wp:wrapNone/>
              <wp:docPr id="1751946970"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53"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66432"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align>top</wp:align>
              </wp:positionV>
              <wp:extent cx="222250" cy="306705"/>
              <wp:effectExtent l="0" t="0" r="0" b="0"/>
              <wp:wrapNone/>
              <wp:docPr id="923892246"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54"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68480"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align>top</wp:align>
              </wp:positionV>
              <wp:extent cx="222250" cy="306705"/>
              <wp:effectExtent l="0" t="0" r="0" b="0"/>
              <wp:wrapNone/>
              <wp:docPr id="1679660371"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55"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70528"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align>top</wp:align>
              </wp:positionV>
              <wp:extent cx="222250" cy="306705"/>
              <wp:effectExtent l="0" t="0" r="0" b="0"/>
              <wp:wrapNone/>
              <wp:docPr id="1743465606"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56"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72576"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align>top</wp:align>
              </wp:positionV>
              <wp:extent cx="222250" cy="306705"/>
              <wp:effectExtent l="0" t="0" r="0" b="0"/>
              <wp:wrapNone/>
              <wp:docPr id="503461201"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57"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74624"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align>top</wp:align>
              </wp:positionV>
              <wp:extent cx="222250" cy="306705"/>
              <wp:effectExtent l="0" t="0" r="0" b="0"/>
              <wp:wrapNone/>
              <wp:docPr id="1207827960"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58"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76672"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align>top</wp:align>
              </wp:positionV>
              <wp:extent cx="222250" cy="306705"/>
              <wp:effectExtent l="0" t="0" r="0" b="0"/>
              <wp:wrapNone/>
              <wp:docPr id="208977290"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59"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78720"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align>top</wp:align>
              </wp:positionV>
              <wp:extent cx="222250" cy="306705"/>
              <wp:effectExtent l="0" t="0" r="0" b="0"/>
              <wp:wrapNone/>
              <wp:docPr id="1550118011"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60"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80768"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align>top</wp:align>
              </wp:positionV>
              <wp:extent cx="222250" cy="306705"/>
              <wp:effectExtent l="0" t="0" r="0" b="0"/>
              <wp:wrapNone/>
              <wp:docPr id="1362361306"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61"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82816"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align>top</wp:align>
              </wp:positionV>
              <wp:extent cx="222250" cy="306705"/>
              <wp:effectExtent l="0" t="0" r="0" b="0"/>
              <wp:wrapNone/>
              <wp:docPr id="590213977"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62"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84864"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align>top</wp:align>
              </wp:positionV>
              <wp:extent cx="222250" cy="306705"/>
              <wp:effectExtent l="0" t="0" r="0" b="0"/>
              <wp:wrapNone/>
              <wp:docPr id="587809190"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63"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86912"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align>top</wp:align>
              </wp:positionV>
              <wp:extent cx="222250" cy="306705"/>
              <wp:effectExtent l="0" t="0" r="0" b="0"/>
              <wp:wrapNone/>
              <wp:docPr id="4144443"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64"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88960"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align>top</wp:align>
              </wp:positionV>
              <wp:extent cx="222250" cy="306705"/>
              <wp:effectExtent l="0" t="0" r="0" b="0"/>
              <wp:wrapNone/>
              <wp:docPr id="1705192130"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65"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91008"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align>top</wp:align>
              </wp:positionV>
              <wp:extent cx="222250" cy="306705"/>
              <wp:effectExtent l="0" t="0" r="0" b="0"/>
              <wp:wrapNone/>
              <wp:docPr id="2067192435"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66"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93056"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align>top</wp:align>
              </wp:positionV>
              <wp:extent cx="222250" cy="306705"/>
              <wp:effectExtent l="0" t="0" r="0" b="0"/>
              <wp:wrapNone/>
              <wp:docPr id="1417841368"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67"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95104"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align>top</wp:align>
              </wp:positionV>
              <wp:extent cx="222250" cy="306705"/>
              <wp:effectExtent l="0" t="0" r="0" b="0"/>
              <wp:wrapNone/>
              <wp:docPr id="1937120643" name="文本框27"/>
              <wp:cNvGraphicFramePr/>
              <a:graphic xmlns:a="http://schemas.openxmlformats.org/drawingml/2006/main">
                <a:graphicData uri="http://schemas.microsoft.com/office/word/2010/wordprocessingShape">
                  <wps:wsp xmlns:wps="http://schemas.microsoft.com/office/word/2010/wordprocessingShape">
                    <wps:cNvSpPr txBox="1"/>
                    <wps:spPr>
                      <a:xfrm>
                        <a:off x="0" y="0"/>
                        <a:ext cx="222250" cy="306705"/>
                      </a:xfrm>
                      <a:prstGeom prst="rect">
                        <a:avLst/>
                      </a:prstGeom>
                      <a:noFill/>
                      <a:ln>
                        <a:noFill/>
                      </a:ln>
                    </wps:spPr>
                    <wps:txbx>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27" o:spid="_x0000_s2068" type="#_x0000_t202" style="width:17.5pt;height:24.15pt;margin-top:0;margin-left:0;mso-position-horizontal:center;mso-position-horizontal-relative:margin;mso-position-vertical:top;mso-wrap-distance-bottom:0;mso-wrap-distance-left:9pt;mso-wrap-distance-right:9pt;mso-wrap-distance-top:0;mso-wrap-style:none;position:absolute;v-text-anchor:top;z-index:251697152" filled="f" fillcolor="this" stroked="f">
              <v:textbox style="mso-fit-shape-to-text:t" inset="0,0,0,0">
                <w:txbxContent>
                  <w:p>
                    <w:pPr>
                      <w:pStyle w:val="Footer"/>
                      <w:rPr>
                        <w:rStyle w:val="pagenumber0"/>
                        <w:rFonts w:hint="eastAsia"/>
                        <w:b/>
                        <w:sz w:val="21"/>
                        <w:szCs w:val="21"/>
                      </w:rPr>
                    </w:pPr>
                    <w:r>
                      <w:rPr>
                        <w:rStyle w:val="pagenumber0"/>
                        <w:rFonts w:hint="eastAsia"/>
                        <w:b/>
                        <w:sz w:val="21"/>
                        <w:szCs w:val="21"/>
                        <w:lang w:val="en-US" w:eastAsia="zh-CN"/>
                      </w:rPr>
                      <w:t>-49</w:t>
                    </w:r>
                    <w:r>
                      <w:rPr>
                        <w:rStyle w:val="pagenumber0"/>
                        <w:rFonts w:hint="eastAsia"/>
                        <w:b/>
                        <w:sz w:val="21"/>
                        <w:szCs w:val="21"/>
                      </w:rPr>
                      <w:t>-</w:t>
                    </w:r>
                  </w:p>
                </w:txbxContent>
              </v:textbox>
              <w10:wrap anchorx="margin"/>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top w:val="none" w:sz="0" w:space="2" w:color="auto"/>
        <w:bottom w:val="single" w:sz="12" w:space="1" w:color="auto"/>
      </w:pBdr>
      <w:jc w:val="center"/>
      <w:rPr>
        <w:rFonts w:ascii="楷体_GB2312" w:eastAsia="楷体_GB2312" w:hint="eastAsia"/>
        <w:b/>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4"/>
    <w:multiLevelType w:val="singleLevel"/>
    <w:tmpl w:val="00000004"/>
    <w:lvl w:ilvl="0">
      <w:start w:val="1"/>
      <w:numFmt w:val="decimal"/>
      <w:suff w:val="nothing"/>
      <w:lvlText w:val="（%1）"/>
      <w:lvlJc w:val="left"/>
    </w:lvl>
  </w:abstractNum>
  <w:abstractNum w:abstractNumId="1">
    <w:nsid w:val="0000000B"/>
    <w:multiLevelType w:val="singleLevel"/>
    <w:tmpl w:val="0000000B"/>
    <w:lvl w:ilvl="0">
      <w:start w:val="1"/>
      <w:numFmt w:val="decimal"/>
      <w:suff w:val="nothing"/>
      <w:lvlText w:val="（%1）"/>
      <w:lvlJc w:val="left"/>
    </w:lvl>
  </w:abstractNum>
  <w:abstractNum w:abstractNumId="2">
    <w:nsid w:val="0000000C"/>
    <w:multiLevelType w:val="singleLevel"/>
    <w:tmpl w:val="0000000C"/>
    <w:lvl w:ilvl="0">
      <w:start w:val="1"/>
      <w:numFmt w:val="chineseCounting"/>
      <w:suff w:val="nothing"/>
      <w:lvlText w:val="%1、"/>
      <w:lvlJc w:val="left"/>
    </w:lvl>
  </w:abstractNum>
  <w:abstractNum w:abstractNumId="3">
    <w:nsid w:val="0000000D"/>
    <w:multiLevelType w:val="singleLevel"/>
    <w:tmpl w:val="0000000D"/>
    <w:lvl w:ilvl="0">
      <w:start w:val="4"/>
      <w:numFmt w:val="chineseCounting"/>
      <w:suff w:val="nothing"/>
      <w:lvlText w:val="%1、"/>
      <w:lvlJc w:val="left"/>
    </w:lvl>
  </w:abstractNum>
  <w:abstractNum w:abstractNumId="4">
    <w:nsid w:val="0000000E"/>
    <w:multiLevelType w:val="singleLevel"/>
    <w:tmpl w:val="0000000E"/>
    <w:lvl w:ilvl="0">
      <w:start w:val="5"/>
      <w:numFmt w:val="chineseCounting"/>
      <w:suff w:val="nothing"/>
      <w:lvlText w:val="%1、"/>
      <w:lvlJc w:val="left"/>
    </w:lvl>
  </w:abstractNum>
  <w:abstractNum w:abstractNumId="5">
    <w:nsid w:val="00000011"/>
    <w:multiLevelType w:val="multilevel"/>
    <w:tmpl w:val="00000011"/>
    <w:lvl w:ilvl="0">
      <w:start w:val="1"/>
      <w:numFmt w:val="decimal"/>
      <w:lvlText w:val="（%1）"/>
      <w:lvlJc w:val="left"/>
      <w:pPr>
        <w:tabs>
          <w:tab w:val="left" w:pos="1140"/>
        </w:tabs>
        <w:ind w:left="1140" w:hanging="720"/>
      </w:pPr>
      <w:rPr>
        <w:rFonts w:hint="default"/>
      </w:r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6">
    <w:nsid w:val="00000012"/>
    <w:multiLevelType w:val="multilevel"/>
    <w:tmpl w:val="00000012"/>
    <w:lvl w:ilvl="0">
      <w:start w:val="1"/>
      <w:numFmt w:val="decimal"/>
      <w:lvlText w:val="%1、"/>
      <w:lvlJc w:val="left"/>
      <w:pPr>
        <w:tabs>
          <w:tab w:val="left" w:pos="510"/>
        </w:tabs>
        <w:ind w:left="0" w:firstLine="510"/>
      </w:pPr>
      <w:rPr>
        <w:rFonts w:hint="default"/>
        <w:sz w:val="28"/>
        <w:szCs w:val="28"/>
      </w:rPr>
    </w:lvl>
    <w:lvl w:ilvl="1">
      <w:start w:val="1"/>
      <w:numFmt w:val="decimal"/>
      <w:lvlText w:val="%2、"/>
      <w:lvlJc w:val="left"/>
      <w:pPr>
        <w:tabs>
          <w:tab w:val="left" w:pos="420"/>
        </w:tabs>
        <w:ind w:left="-90" w:firstLine="510"/>
      </w:pPr>
      <w:rPr>
        <w:rFonts w:hint="default"/>
        <w:sz w:val="28"/>
        <w:szCs w:val="28"/>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nsid w:val="5851EDD5"/>
    <w:multiLevelType w:val="singleLevel"/>
    <w:tmpl w:val="5851EDD5"/>
    <w:lvl w:ilvl="0">
      <w:start w:val="7"/>
      <w:numFmt w:val="chineseCounting"/>
      <w:suff w:val="space"/>
      <w:lvlText w:val="第%1章"/>
      <w:lvlJc w:val="left"/>
    </w:lvl>
  </w:abstractNum>
  <w:num w:numId="1">
    <w:abstractNumId w:val="6"/>
  </w:num>
  <w:num w:numId="2">
    <w:abstractNumId w:val="5"/>
  </w:num>
  <w:num w:numId="3">
    <w:abstractNumId w:val="7"/>
  </w:num>
  <w:num w:numId="4">
    <w:abstractNumId w:val="2"/>
  </w:num>
  <w:num w:numId="5">
    <w:abstractNumId w:val="1"/>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420"/>
  <w:drawingGridHorizontalSpacing w:val="0"/>
  <w:drawingGridVerticalSpacing w:val="156"/>
  <w:noPunctuationKerning/>
  <w:characterSpacingControl w:val="compressPunctuation"/>
  <w:doNotValidateAgainstSchema/>
  <w:doNotDemarcateInvalidXml/>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57859"/>
    <w:rsid w:val="000810B2"/>
    <w:rsid w:val="000A7361"/>
    <w:rsid w:val="00112CA3"/>
    <w:rsid w:val="00190FA3"/>
    <w:rsid w:val="00194919"/>
    <w:rsid w:val="00197470"/>
    <w:rsid w:val="001B03D5"/>
    <w:rsid w:val="00243E1F"/>
    <w:rsid w:val="00252AB0"/>
    <w:rsid w:val="00267AE2"/>
    <w:rsid w:val="00270455"/>
    <w:rsid w:val="002E76CB"/>
    <w:rsid w:val="002F3FF0"/>
    <w:rsid w:val="00321E46"/>
    <w:rsid w:val="00323B45"/>
    <w:rsid w:val="00327DBE"/>
    <w:rsid w:val="0033030B"/>
    <w:rsid w:val="003313ED"/>
    <w:rsid w:val="003F3886"/>
    <w:rsid w:val="00414D9A"/>
    <w:rsid w:val="00461A6C"/>
    <w:rsid w:val="00487A22"/>
    <w:rsid w:val="00507F75"/>
    <w:rsid w:val="00555E31"/>
    <w:rsid w:val="00570080"/>
    <w:rsid w:val="0058186E"/>
    <w:rsid w:val="005A4F29"/>
    <w:rsid w:val="006665A5"/>
    <w:rsid w:val="00682272"/>
    <w:rsid w:val="00683BEA"/>
    <w:rsid w:val="00695747"/>
    <w:rsid w:val="007431B1"/>
    <w:rsid w:val="00761817"/>
    <w:rsid w:val="00770802"/>
    <w:rsid w:val="00782AA6"/>
    <w:rsid w:val="007B1C36"/>
    <w:rsid w:val="007F20D0"/>
    <w:rsid w:val="00862247"/>
    <w:rsid w:val="00864325"/>
    <w:rsid w:val="00890846"/>
    <w:rsid w:val="009567E5"/>
    <w:rsid w:val="00960E62"/>
    <w:rsid w:val="00980F23"/>
    <w:rsid w:val="00983140"/>
    <w:rsid w:val="009958D9"/>
    <w:rsid w:val="009F59BD"/>
    <w:rsid w:val="00B57625"/>
    <w:rsid w:val="00BB4604"/>
    <w:rsid w:val="00C84F8A"/>
    <w:rsid w:val="00CA27BB"/>
    <w:rsid w:val="00D425D6"/>
    <w:rsid w:val="00D50655"/>
    <w:rsid w:val="00E732E6"/>
    <w:rsid w:val="00EB20AC"/>
    <w:rsid w:val="00EC06F7"/>
    <w:rsid w:val="00EC2136"/>
    <w:rsid w:val="00EF67C1"/>
    <w:rsid w:val="00F1609A"/>
    <w:rsid w:val="00F40AE2"/>
    <w:rsid w:val="00F436A8"/>
    <w:rsid w:val="00F524DC"/>
    <w:rsid w:val="00FB6C3F"/>
    <w:rsid w:val="00FD2EDE"/>
    <w:rsid w:val="014519A3"/>
    <w:rsid w:val="02015C06"/>
    <w:rsid w:val="02420AC2"/>
    <w:rsid w:val="027E7901"/>
    <w:rsid w:val="02FD29A8"/>
    <w:rsid w:val="047F420A"/>
    <w:rsid w:val="04801C94"/>
    <w:rsid w:val="05075126"/>
    <w:rsid w:val="05423033"/>
    <w:rsid w:val="058B34B6"/>
    <w:rsid w:val="06BD59F6"/>
    <w:rsid w:val="06C73D15"/>
    <w:rsid w:val="07D75A70"/>
    <w:rsid w:val="08A8788F"/>
    <w:rsid w:val="08D8332A"/>
    <w:rsid w:val="0AA223EE"/>
    <w:rsid w:val="0B376076"/>
    <w:rsid w:val="0B7521DD"/>
    <w:rsid w:val="0C4F6C88"/>
    <w:rsid w:val="0F3669D2"/>
    <w:rsid w:val="0FB46087"/>
    <w:rsid w:val="1046543F"/>
    <w:rsid w:val="10950A41"/>
    <w:rsid w:val="14E75759"/>
    <w:rsid w:val="16414490"/>
    <w:rsid w:val="16A776B7"/>
    <w:rsid w:val="16E85E9C"/>
    <w:rsid w:val="17771796"/>
    <w:rsid w:val="177E0D80"/>
    <w:rsid w:val="17FD6D5B"/>
    <w:rsid w:val="184320CC"/>
    <w:rsid w:val="18432BDE"/>
    <w:rsid w:val="1982396C"/>
    <w:rsid w:val="1A772C7B"/>
    <w:rsid w:val="1B127E93"/>
    <w:rsid w:val="1D7D0704"/>
    <w:rsid w:val="1DCE759B"/>
    <w:rsid w:val="1F0B6D13"/>
    <w:rsid w:val="1F6F209E"/>
    <w:rsid w:val="21883AFB"/>
    <w:rsid w:val="21981A65"/>
    <w:rsid w:val="21B6234A"/>
    <w:rsid w:val="21C0196E"/>
    <w:rsid w:val="24575623"/>
    <w:rsid w:val="26214D05"/>
    <w:rsid w:val="2651520D"/>
    <w:rsid w:val="2A596803"/>
    <w:rsid w:val="2A8F1762"/>
    <w:rsid w:val="2A9D6672"/>
    <w:rsid w:val="2BC3720B"/>
    <w:rsid w:val="2BEC5AD6"/>
    <w:rsid w:val="2E76083F"/>
    <w:rsid w:val="302123DD"/>
    <w:rsid w:val="31FD071A"/>
    <w:rsid w:val="32596246"/>
    <w:rsid w:val="34556B26"/>
    <w:rsid w:val="34951498"/>
    <w:rsid w:val="364E4B78"/>
    <w:rsid w:val="36B819D0"/>
    <w:rsid w:val="36F13E65"/>
    <w:rsid w:val="37F23A52"/>
    <w:rsid w:val="3932421B"/>
    <w:rsid w:val="3955411F"/>
    <w:rsid w:val="3BDB4DC2"/>
    <w:rsid w:val="3C1F512B"/>
    <w:rsid w:val="3C2A634C"/>
    <w:rsid w:val="3C701758"/>
    <w:rsid w:val="3E543698"/>
    <w:rsid w:val="3EEB3A5C"/>
    <w:rsid w:val="3F3E0875"/>
    <w:rsid w:val="3F6F625E"/>
    <w:rsid w:val="3F70133C"/>
    <w:rsid w:val="40B347FA"/>
    <w:rsid w:val="411837A3"/>
    <w:rsid w:val="42B32C8A"/>
    <w:rsid w:val="42C21719"/>
    <w:rsid w:val="43BE2DE9"/>
    <w:rsid w:val="44A82F58"/>
    <w:rsid w:val="451012A6"/>
    <w:rsid w:val="45CE5D0A"/>
    <w:rsid w:val="47143AAC"/>
    <w:rsid w:val="47CD4E00"/>
    <w:rsid w:val="49CE19A5"/>
    <w:rsid w:val="4BF94AA1"/>
    <w:rsid w:val="4CB03B0D"/>
    <w:rsid w:val="4CC13B41"/>
    <w:rsid w:val="4E107E8C"/>
    <w:rsid w:val="4E9F2283"/>
    <w:rsid w:val="4FA76DBC"/>
    <w:rsid w:val="50A201F0"/>
    <w:rsid w:val="51D32822"/>
    <w:rsid w:val="529662C3"/>
    <w:rsid w:val="54570503"/>
    <w:rsid w:val="54ED13B2"/>
    <w:rsid w:val="560074A0"/>
    <w:rsid w:val="56910414"/>
    <w:rsid w:val="578372CD"/>
    <w:rsid w:val="583D003F"/>
    <w:rsid w:val="58C56F96"/>
    <w:rsid w:val="58D30C92"/>
    <w:rsid w:val="5B694C34"/>
    <w:rsid w:val="5B716522"/>
    <w:rsid w:val="5C3B64FF"/>
    <w:rsid w:val="5E2D5907"/>
    <w:rsid w:val="5E845518"/>
    <w:rsid w:val="5F3E60A4"/>
    <w:rsid w:val="5F5A0F9E"/>
    <w:rsid w:val="600F020B"/>
    <w:rsid w:val="606758E2"/>
    <w:rsid w:val="624017BE"/>
    <w:rsid w:val="62DE5E1E"/>
    <w:rsid w:val="62E92CB0"/>
    <w:rsid w:val="632D4A46"/>
    <w:rsid w:val="63B050EB"/>
    <w:rsid w:val="644D291F"/>
    <w:rsid w:val="64706618"/>
    <w:rsid w:val="6528246D"/>
    <w:rsid w:val="66440A61"/>
    <w:rsid w:val="67375712"/>
    <w:rsid w:val="678A786E"/>
    <w:rsid w:val="6CB35F89"/>
    <w:rsid w:val="6D2D7413"/>
    <w:rsid w:val="6E0B4FD8"/>
    <w:rsid w:val="6FCC794A"/>
    <w:rsid w:val="6FD67E3B"/>
    <w:rsid w:val="6FDA6257"/>
    <w:rsid w:val="700F4197"/>
    <w:rsid w:val="71B0504E"/>
    <w:rsid w:val="72D301DC"/>
    <w:rsid w:val="73827E3E"/>
    <w:rsid w:val="77407E02"/>
    <w:rsid w:val="780A5952"/>
    <w:rsid w:val="79B458F3"/>
    <w:rsid w:val="7A7D4257"/>
    <w:rsid w:val="7AD536E3"/>
    <w:rsid w:val="7B254590"/>
    <w:rsid w:val="7BD02A8D"/>
    <w:rsid w:val="7C1A4CD1"/>
    <w:rsid w:val="7CA331DB"/>
    <w:rsid w:val="7CDA3B58"/>
    <w:rsid w:val="7D927F06"/>
    <w:rsid w:val="7DE26849"/>
    <w:rsid w:val="7DEA70AC"/>
  </w:rsids>
  <w:docVars>
    <w:docVar w:name="commondata" w:val="eyJoZGlkIjoiNWYwMDg5YTk3YmUyOWJjM2MwOGRjNjg1YWI3ODI3YTQifQ=="/>
  </w:docVar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lsdException w:name="Table Grid"/>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4"/>
      <w:lang w:val="en-US" w:eastAsia="zh-CN" w:bidi="ar-SA"/>
    </w:rPr>
  </w:style>
  <w:style w:type="paragraph" w:styleId="Heading1">
    <w:name w:val="heading 1"/>
    <w:basedOn w:val="Normal"/>
    <w:next w:val="Normal"/>
    <w:qFormat/>
    <w:pPr>
      <w:keepNext/>
      <w:keepLines/>
      <w:jc w:val="center"/>
      <w:outlineLvl w:val="0"/>
    </w:pPr>
    <w:rPr>
      <w:rFonts w:ascii="黑体" w:eastAsia="黑体"/>
      <w:b/>
      <w:bCs/>
      <w:kern w:val="44"/>
      <w:sz w:val="32"/>
      <w:szCs w:val="44"/>
    </w:rPr>
  </w:style>
  <w:style w:type="paragraph" w:styleId="Heading2">
    <w:name w:val="heading 2"/>
    <w:basedOn w:val="Normal"/>
    <w:next w:val="Normal"/>
    <w:qFormat/>
    <w:pPr>
      <w:keepNext/>
      <w:keepLines/>
      <w:spacing w:before="260" w:beforeLines="0" w:after="260" w:afterLines="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beforeLines="0" w:after="260" w:afterLines="0" w:line="413" w:lineRule="auto"/>
      <w:outlineLvl w:val="2"/>
    </w:pPr>
    <w:rPr>
      <w:rFonts w:eastAsia="宋体"/>
      <w:b/>
      <w:bCs/>
      <w:kern w:val="2"/>
      <w:sz w:val="32"/>
      <w:szCs w:val="32"/>
      <w:lang w:val="en-US" w:eastAsia="zh-CN" w:bidi="ar-SA"/>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pPr>
      <w:spacing w:after="120" w:afterLines="0"/>
    </w:pPr>
    <w:rPr>
      <w:rFonts w:eastAsia="宋体"/>
      <w:kern w:val="2"/>
      <w:sz w:val="21"/>
      <w:szCs w:val="24"/>
      <w:lang w:val="en-US" w:eastAsia="zh-CN" w:bidi="ar-SA"/>
    </w:rPr>
  </w:style>
  <w:style w:type="paragraph" w:styleId="TOC3">
    <w:name w:val="toc 3"/>
    <w:basedOn w:val="Normal"/>
    <w:next w:val="Normal"/>
    <w:pPr>
      <w:ind w:left="840" w:leftChars="400"/>
    </w:pPr>
    <w:rPr>
      <w:sz w:val="24"/>
    </w:r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TOC1">
    <w:name w:val="toc 1"/>
    <w:basedOn w:val="Normal"/>
    <w:next w:val="Normal"/>
    <w:pPr>
      <w:tabs>
        <w:tab w:val="right" w:leader="dot" w:pos="9174"/>
      </w:tabs>
    </w:pPr>
    <w:rPr>
      <w:rFonts w:ascii="黑体"/>
      <w:sz w:val="24"/>
      <w:szCs w:val="28"/>
    </w:rPr>
  </w:style>
  <w:style w:type="paragraph" w:styleId="TOC4">
    <w:name w:val="toc 4"/>
    <w:basedOn w:val="Normal"/>
    <w:next w:val="Normal"/>
    <w:semiHidden/>
    <w:pPr>
      <w:ind w:left="1260" w:leftChars="600"/>
    </w:pPr>
  </w:style>
  <w:style w:type="paragraph" w:styleId="TOC2">
    <w:name w:val="toc 2"/>
    <w:basedOn w:val="Normal"/>
    <w:next w:val="Normal"/>
    <w:pPr>
      <w:tabs>
        <w:tab w:val="right" w:leader="dot" w:pos="9174"/>
      </w:tabs>
      <w:ind w:left="420" w:leftChars="200"/>
    </w:pPr>
    <w:rPr>
      <w:rFonts w:ascii="楷体_GB2312"/>
      <w:sz w:val="24"/>
    </w:rPr>
  </w:style>
  <w:style w:type="paragraph" w:styleId="Title">
    <w:name w:val="Title"/>
    <w:basedOn w:val="Normal"/>
    <w:qFormat/>
    <w:pPr>
      <w:autoSpaceDE w:val="0"/>
      <w:autoSpaceDN w:val="0"/>
      <w:adjustRightInd w:val="0"/>
      <w:snapToGrid w:val="0"/>
      <w:spacing w:before="240" w:beforeLines="0" w:after="60" w:afterLines="0" w:line="460" w:lineRule="exact"/>
      <w:jc w:val="center"/>
      <w:outlineLvl w:val="0"/>
    </w:pPr>
    <w:rPr>
      <w:rFonts w:eastAsia="黑体"/>
      <w:b/>
      <w:color w:val="000000"/>
      <w:spacing w:val="14"/>
      <w:kern w:val="2"/>
      <w:sz w:val="32"/>
    </w:rPr>
  </w:style>
  <w:style w:type="character" w:styleId="PageNumber">
    <w:name w:val="page number"/>
    <w:basedOn w:val="DefaultParagraphFont"/>
  </w:style>
  <w:style w:type="character" w:styleId="Hyperlink">
    <w:name w:val="Hyperlink"/>
    <w:basedOn w:val="DefaultParagraphFont"/>
    <w:rPr>
      <w:color w:val="0000FF"/>
      <w:u w:val="single"/>
    </w:rPr>
  </w:style>
  <w:style w:type="character" w:customStyle="1" w:styleId="pagenumber0">
    <w:name w:val="page number"/>
    <w:basedOn w:val="DefaultParagraphFont"/>
  </w:style>
  <w:style w:type="character" w:customStyle="1" w:styleId="3GB2312CharChar">
    <w:name w:val="样式 标题 3 + 仿宋_GB2312 小四 Char Char"/>
    <w:link w:val="3GB2312"/>
    <w:rPr>
      <w:rFonts w:ascii="仿宋_GB2312" w:eastAsia="仿宋_GB2312" w:hAnsi="仿宋_GB2312"/>
      <w:b/>
      <w:bCs/>
      <w:kern w:val="2"/>
      <w:sz w:val="24"/>
      <w:szCs w:val="32"/>
      <w:lang w:val="en-US" w:eastAsia="zh-CN" w:bidi="ar-SA"/>
    </w:rPr>
  </w:style>
  <w:style w:type="paragraph" w:customStyle="1" w:styleId="3GB2312">
    <w:name w:val="样式 标题 3 + 仿宋_GB2312 小四"/>
    <w:basedOn w:val="Heading3"/>
    <w:link w:val="3GB2312CharChar"/>
    <w:rPr>
      <w:rFonts w:ascii="仿宋_GB2312" w:eastAsia="仿宋_GB2312" w:hAnsi="仿宋_GB2312"/>
      <w:sz w:val="24"/>
    </w:rPr>
  </w:style>
  <w:style w:type="paragraph" w:customStyle="1" w:styleId="5">
    <w:name w:val="样式5"/>
    <w:basedOn w:val="2"/>
  </w:style>
  <w:style w:type="paragraph" w:customStyle="1" w:styleId="2">
    <w:name w:val="样式2"/>
    <w:basedOn w:val="Heading1"/>
  </w:style>
  <w:style w:type="paragraph" w:customStyle="1" w:styleId="8">
    <w:name w:val="样式8"/>
    <w:basedOn w:val="TOC2"/>
    <w:rPr>
      <w:b/>
    </w:rPr>
  </w:style>
  <w:style w:type="paragraph" w:customStyle="1" w:styleId="HTMLAddress">
    <w:name w:val="HTML Address"/>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ZchnZchnCharCharZchnZchnCharCharZchnZchn">
    <w:name w:val=" Zchn Zchn Char Char Zchn Zchn Char Char Zchn Zchn"/>
    <w:basedOn w:val="Normal"/>
    <w:pPr>
      <w:widowControl/>
      <w:spacing w:after="160" w:afterLines="0" w:line="240" w:lineRule="exact"/>
      <w:jc w:val="left"/>
    </w:pPr>
  </w:style>
  <w:style w:type="paragraph" w:customStyle="1" w:styleId="BodyTextIndent3">
    <w:name w:val="Body Text Indent 3"/>
    <w:basedOn w:val="Normal"/>
    <w:pPr>
      <w:spacing w:after="120" w:afterLines="0"/>
      <w:ind w:left="420" w:leftChars="200"/>
    </w:pPr>
    <w:rPr>
      <w:sz w:val="16"/>
      <w:szCs w:val="16"/>
    </w:rPr>
  </w:style>
  <w:style w:type="paragraph" w:customStyle="1" w:styleId="4">
    <w:name w:val="样式4"/>
    <w:basedOn w:val="2"/>
    <w:rPr>
      <w:sz w:val="28"/>
      <w:szCs w:val="28"/>
    </w:rPr>
  </w:style>
  <w:style w:type="paragraph" w:customStyle="1" w:styleId="6">
    <w:name w:val="样式6"/>
    <w:basedOn w:val="HTMLAddress"/>
    <w:pPr>
      <w:jc w:val="center"/>
    </w:pPr>
    <w:rPr>
      <w:b/>
      <w:bCs/>
      <w:color w:val="464646"/>
      <w:sz w:val="28"/>
      <w:szCs w:val="28"/>
    </w:rPr>
  </w:style>
  <w:style w:type="paragraph" w:customStyle="1" w:styleId="7">
    <w:name w:val="样式7"/>
    <w:basedOn w:val="Heading1"/>
  </w:style>
  <w:style w:type="paragraph" w:customStyle="1" w:styleId="3">
    <w:name w:val="样式3"/>
    <w:basedOn w:val="Heading1"/>
  </w:style>
  <w:style w:type="paragraph" w:customStyle="1" w:styleId="PlainText">
    <w:name w:val="Plain Text"/>
    <w:basedOn w:val="Normal"/>
    <w:rPr>
      <w:rFonts w:ascii="宋体" w:hAnsi="Courier New" w:cs="Courier New"/>
      <w:szCs w:val="21"/>
    </w:rPr>
  </w:style>
  <w:style w:type="paragraph" w:customStyle="1" w:styleId="1">
    <w:name w:val="样式1"/>
    <w:basedOn w:val="Normal"/>
    <w:pPr>
      <w:ind w:firstLine="562" w:firstLineChars="200"/>
    </w:pPr>
    <w:rPr>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customXml" Target="../customXml/item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yperlink" Target="https://d.book118.com/838043017065006047" TargetMode="Externa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theme" Target="theme/theme1.xml" /><Relationship Id="rId47" Type="http://schemas.openxmlformats.org/officeDocument/2006/relationships/numbering" Target="numbering.xml" /><Relationship Id="rId48" Type="http://schemas.openxmlformats.org/officeDocument/2006/relationships/styles" Target="styles.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4640</Words>
  <Characters>26450</Characters>
  <Application>Microsoft Office Word</Application>
  <DocSecurity>0</DocSecurity>
  <Lines>220</Lines>
  <Paragraphs>62</Paragraphs>
  <ScaleCrop>false</ScaleCrop>
  <Company/>
  <LinksUpToDate>false</LinksUpToDate>
  <CharactersWithSpaces>31028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西安交通燃气有限责任公司</dc:title>
  <dc:creator>Administrator</dc:creator>
  <cp:lastModifiedBy>ฏ๎๎๎๎๎๎๎๎๎๎๎๎๎๎亢</cp:lastModifiedBy>
  <cp:revision>3</cp:revision>
  <cp:lastPrinted>2014-08-28T01:37:00Z</cp:lastPrinted>
  <dcterms:created xsi:type="dcterms:W3CDTF">2016-01-25T05:05:00Z</dcterms:created>
  <dcterms:modified xsi:type="dcterms:W3CDTF">2024-03-19T01:57:48Z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685E691E5F834A54854B05B48D7BBA3F_13</vt:lpwstr>
  </property>
  <property fmtid="{D5CDD505-2E9C-101B-9397-08002B2CF9AE}" pid="3" name="KSOProductBuildVer">
    <vt:lpwstr>2052-12.1.0.15120</vt:lpwstr>
  </property>
</Properties>
</file>