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美妆项目可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416569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)、美妆项目技术工艺分析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)、美妆项目技术流程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二、美妆项目选址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一)、美妆项目选址原则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)、美妆项目选址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、美妆项目建设背景及必要性分析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、美妆项目总平面设计要求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889339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479601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五)、美妆项目实施保障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十、美妆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(一)、美妆项目管理方法论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)、美妆项目计划与进度管理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)、美妆项目风险管理与应对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面介绍和规划一个创新性的美妆项目，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满足需求。该方案的目的是为了提供美妆项目的全面概览，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二)、美妆项目技术工艺分析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提供优质产品和服务。保障工艺流程能够满足美妆项目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美妆项目建设贯彻“三同时”的原则，注重环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pacing w:val="-6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1" w:line="414" w:lineRule="auto"/>
        <w:ind w:left="31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美</w:t>
      </w:r>
      <w:r>
        <w:rPr>
          <w:rFonts w:ascii="FangSong" w:eastAsia="FangSong" w:hAnsi="FangSong" w:cs="FangSong"/>
          <w:spacing w:val="-6"/>
          <w:sz w:val="28"/>
          <w:szCs w:val="28"/>
        </w:rPr>
        <w:t>妆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以确保美妆项目在技术开发和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4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妆项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(三)、美妆项目技术流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美妆项目运营中，进行技术持续改进。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工具监测和分析美妆项目各环节数据。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共同构建了高效、稳定的美妆项目技术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，确保美妆项目顺利推进。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用的设备能够满足美妆项目的技术要求，例如：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备与美妆项目工艺流程相匹配，例如：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产能力是否符合美妆项目的产能需求。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二、美妆项目选址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)、美妆项目选址原则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49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确保美妆项</w:t>
      </w:r>
      <w:r>
        <w:rPr>
          <w:rFonts w:ascii="FangSong" w:eastAsia="FangSong" w:hAnsi="FangSong" w:cs="FangSong"/>
          <w:spacing w:val="-6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的发</w:t>
      </w:r>
      <w:r>
        <w:rPr>
          <w:rFonts w:ascii="FangSong" w:eastAsia="FangSong" w:hAnsi="FangSong" w:cs="FangSong"/>
          <w:spacing w:val="-14"/>
          <w:sz w:val="28"/>
          <w:szCs w:val="28"/>
        </w:rPr>
        <w:t>展</w:t>
      </w:r>
      <w:r>
        <w:rPr>
          <w:rFonts w:ascii="FangSong" w:eastAsia="FangSong" w:hAnsi="FangSong" w:cs="FangSong"/>
          <w:spacing w:val="-8"/>
          <w:sz w:val="28"/>
          <w:szCs w:val="28"/>
        </w:rPr>
        <w:t>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美妆项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目有</w:t>
      </w:r>
      <w:r>
        <w:rPr>
          <w:rFonts w:ascii="FangSong" w:eastAsia="FangSong" w:hAnsi="FangSong" w:cs="FangSong"/>
          <w:spacing w:val="-14"/>
          <w:sz w:val="28"/>
          <w:szCs w:val="28"/>
        </w:rPr>
        <w:t>望</w:t>
      </w:r>
      <w:r>
        <w:rPr>
          <w:rFonts w:ascii="FangSong" w:eastAsia="FangSong" w:hAnsi="FangSong" w:cs="FangSong"/>
          <w:spacing w:val="-8"/>
          <w:sz w:val="28"/>
          <w:szCs w:val="28"/>
        </w:rPr>
        <w:t>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为城市功能提升和社会经济发展作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出</w:t>
      </w:r>
      <w:r>
        <w:rPr>
          <w:rFonts w:ascii="FangSong" w:eastAsia="FangSong" w:hAnsi="FangSong" w:cs="FangSong"/>
          <w:spacing w:val="-10"/>
          <w:sz w:val="28"/>
          <w:szCs w:val="28"/>
        </w:rPr>
        <w:t>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越的交通条件是美妆项目成功的关键因素之一。选址地应该具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提供方便的通勤途径。这有助于提高整体生产效率并降低物流成本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美妆项目建设阶段，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场地、容易获取的</w:t>
      </w:r>
      <w:r>
        <w:rPr>
          <w:rFonts w:ascii="FangSong" w:eastAsia="FangSong" w:hAnsi="FangSong" w:cs="FangSong"/>
          <w:spacing w:val="-3"/>
          <w:sz w:val="28"/>
          <w:szCs w:val="28"/>
        </w:rPr>
        <w:t>建筑材料以及适宜的施工场址都将直接影响到美妆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美</w:t>
      </w:r>
      <w:r>
        <w:rPr>
          <w:rFonts w:ascii="FangSong" w:eastAsia="FangSong" w:hAnsi="FangSong" w:cs="FangSong"/>
          <w:spacing w:val="-6"/>
          <w:sz w:val="28"/>
          <w:szCs w:val="28"/>
        </w:rPr>
        <w:t>妆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环境保护政策相</w:t>
      </w:r>
      <w:r>
        <w:rPr>
          <w:rFonts w:ascii="FangSong" w:eastAsia="FangSong" w:hAnsi="FangSong" w:cs="FangSong"/>
          <w:spacing w:val="-5"/>
          <w:sz w:val="28"/>
          <w:szCs w:val="28"/>
        </w:rPr>
        <w:t>一</w:t>
      </w:r>
      <w:r>
        <w:rPr>
          <w:rFonts w:ascii="FangSong" w:eastAsia="FangSong" w:hAnsi="FangSong" w:cs="FangSong"/>
          <w:spacing w:val="-3"/>
          <w:sz w:val="28"/>
          <w:szCs w:val="28"/>
        </w:rPr>
        <w:t>致。我们将致力于在美妆项目建设和运营过程中最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大</w:t>
      </w:r>
      <w:r>
        <w:rPr>
          <w:rFonts w:ascii="FangSong" w:eastAsia="FangSong" w:hAnsi="FangSong" w:cs="FangSong"/>
          <w:spacing w:val="-12"/>
          <w:sz w:val="28"/>
          <w:szCs w:val="28"/>
        </w:rPr>
        <w:t>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确保美妆项目的可持续发展，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并履行环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境</w:t>
      </w:r>
      <w:r>
        <w:rPr>
          <w:rFonts w:ascii="FangSong" w:eastAsia="FangSong" w:hAnsi="FangSong" w:cs="FangSong"/>
          <w:spacing w:val="-5"/>
          <w:sz w:val="28"/>
          <w:szCs w:val="28"/>
        </w:rPr>
        <w:t>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我们将有效平衡美妆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在美妆项目</w:t>
      </w:r>
      <w:r>
        <w:rPr>
          <w:rFonts w:ascii="FangSong" w:eastAsia="FangSong" w:hAnsi="FangSong" w:cs="FangSong"/>
          <w:spacing w:val="-2"/>
          <w:sz w:val="28"/>
          <w:szCs w:val="28"/>
        </w:rPr>
        <w:t>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划，确保美</w:t>
      </w:r>
      <w:r>
        <w:rPr>
          <w:rFonts w:ascii="FangSong" w:eastAsia="FangSong" w:hAnsi="FangSong" w:cs="FangSong"/>
          <w:spacing w:val="-3"/>
          <w:sz w:val="28"/>
          <w:szCs w:val="28"/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(二)、美妆项目选址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选择美妆项目的地理位置时，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术开发</w:t>
      </w:r>
      <w:r>
        <w:rPr>
          <w:rFonts w:ascii="FangSong" w:eastAsia="FangSong" w:hAnsi="FangSong" w:cs="FangSong"/>
          <w:spacing w:val="-4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的理想位置。选址的一些关键因素和考虑：</w:t>
      </w:r>
    </w:p>
    <w:p>
      <w:pPr>
        <w:spacing w:before="287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品的分销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为美妆项目的顺利推进提供了有力支持。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优惠等方面的支持。这将显著减轻美妆项目的财务压力，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众</w:t>
      </w:r>
      <w:r>
        <w:rPr>
          <w:rFonts w:ascii="FangSong" w:eastAsia="FangSong" w:hAnsi="FangSong" w:cs="FangSong"/>
          <w:spacing w:val="-16"/>
          <w:sz w:val="28"/>
          <w:szCs w:val="28"/>
        </w:rPr>
        <w:t>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为美妆项目提供了丰富的合作机会，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境的保护。选址处有利于建设绿色、环保型的美妆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3"/>
          <w:sz w:val="28"/>
          <w:szCs w:val="28"/>
        </w:rPr>
        <w:t>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术开发区被视为未来经济发展的重要增长点。美妆项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为美妆项目在长远的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未</w:t>
      </w:r>
      <w:r>
        <w:rPr>
          <w:rFonts w:ascii="FangSong" w:eastAsia="FangSong" w:hAnsi="FangSong" w:cs="FangSong"/>
          <w:spacing w:val="-7"/>
          <w:sz w:val="28"/>
          <w:szCs w:val="28"/>
        </w:rPr>
        <w:t>来</w:t>
      </w:r>
      <w:r>
        <w:rPr>
          <w:rFonts w:ascii="FangSong" w:eastAsia="FangSong" w:hAnsi="FangSong" w:cs="FangSong"/>
          <w:spacing w:val="-5"/>
          <w:sz w:val="28"/>
          <w:szCs w:val="28"/>
        </w:rPr>
        <w:t>奠定坚实基础。</w:t>
      </w:r>
    </w:p>
    <w:p>
      <w:pPr>
        <w:spacing w:before="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417" w:lineRule="auto"/>
        <w:ind w:left="33" w:right="176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确保美妆项目的建设与运营与当地发展规划相协调，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为美妆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成</w:t>
      </w:r>
      <w:r>
        <w:rPr>
          <w:rFonts w:ascii="FangSong" w:eastAsia="FangSong" w:hAnsi="FangSong" w:cs="FangSong"/>
          <w:spacing w:val="-3"/>
          <w:sz w:val="28"/>
          <w:szCs w:val="28"/>
        </w:rPr>
        <w:t>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的建设</w:t>
      </w:r>
      <w:r>
        <w:rPr>
          <w:rFonts w:ascii="FangSong" w:eastAsia="FangSong" w:hAnsi="FangSong" w:cs="FangSong"/>
          <w:spacing w:val="-11"/>
          <w:sz w:val="28"/>
          <w:szCs w:val="28"/>
        </w:rPr>
        <w:t>条</w:t>
      </w:r>
      <w:r>
        <w:rPr>
          <w:rFonts w:ascii="FangSong" w:eastAsia="FangSong" w:hAnsi="FangSong" w:cs="FangSong"/>
          <w:spacing w:val="-7"/>
          <w:sz w:val="28"/>
          <w:szCs w:val="28"/>
        </w:rPr>
        <w:t>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遇的土地上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美妆项目的建设提供了必要的基础支持，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确保美妆项目选址符合当地的用地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规</w:t>
      </w:r>
      <w:r>
        <w:rPr>
          <w:rFonts w:ascii="FangSong" w:eastAsia="FangSong" w:hAnsi="FangSong" w:cs="FangSong"/>
          <w:spacing w:val="-8"/>
          <w:sz w:val="28"/>
          <w:szCs w:val="28"/>
        </w:rPr>
        <w:t>划要求。这有助于美妆项目在合规范围内进行建设，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妆项目的用工提供了充足的保障，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9"/>
          <w:sz w:val="28"/>
          <w:szCs w:val="28"/>
        </w:rPr>
        <w:t>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7" w:line="417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括税收、用地等方面的优惠政策。这为美妆项目创造了更加宽松的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88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美妆项目的过程中，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确保美妆项目在不对周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6" w:lineRule="auto"/>
        <w:ind w:left="4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pacing w:val="-6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系</w:t>
      </w:r>
      <w:r>
        <w:rPr>
          <w:rFonts w:ascii="FangSong" w:eastAsia="FangSong" w:hAnsi="FangSong" w:cs="FangSong"/>
          <w:spacing w:val="-25"/>
          <w:sz w:val="28"/>
          <w:szCs w:val="28"/>
        </w:rPr>
        <w:t>统</w:t>
      </w:r>
      <w:r>
        <w:rPr>
          <w:rFonts w:ascii="FangSong" w:eastAsia="FangSong" w:hAnsi="FangSong" w:cs="FangSong"/>
          <w:spacing w:val="-13"/>
          <w:sz w:val="28"/>
          <w:szCs w:val="28"/>
        </w:rPr>
        <w:t>。这为美妆项目的安全运行提供了可靠的支持，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减小了安全风险。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妆项目提供了明确的建设方向，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确保用地符合工业美妆项目的规划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美妆项目所在地区容积率和建筑密度都有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具体的控制指标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我们将确保美妆项目建设在合理的容积率和建筑密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度范围</w:t>
      </w:r>
      <w:r>
        <w:rPr>
          <w:rFonts w:ascii="FangSong" w:eastAsia="FangSong" w:hAnsi="FangSong" w:cs="FangSong"/>
          <w:spacing w:val="-2"/>
          <w:sz w:val="28"/>
          <w:szCs w:val="28"/>
        </w:rPr>
        <w:t>内，以充分利用土地资源，提高美妆项目效益。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4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确土地用途划分是用地控制的核心之一。根据美妆项目的性质，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我</w:t>
      </w:r>
      <w:r>
        <w:rPr>
          <w:rFonts w:ascii="FangSong" w:eastAsia="FangSong" w:hAnsi="FangSong" w:cs="FangSong"/>
          <w:spacing w:val="-18"/>
          <w:sz w:val="28"/>
          <w:szCs w:val="28"/>
        </w:rPr>
        <w:t>们</w:t>
      </w:r>
      <w:r>
        <w:rPr>
          <w:rFonts w:ascii="FangSong" w:eastAsia="FangSong" w:hAnsi="FangSong" w:cs="FangSong"/>
          <w:spacing w:val="-12"/>
          <w:sz w:val="28"/>
          <w:szCs w:val="28"/>
        </w:rPr>
        <w:t>将确保用地合理划分，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保持美妆项目的合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7"/>
          <w:sz w:val="28"/>
          <w:szCs w:val="28"/>
        </w:rPr>
        <w:t>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47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们将严格按照规定的利用年限进行美妆项目建设和运营，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障</w:t>
      </w:r>
      <w:r>
        <w:rPr>
          <w:rFonts w:ascii="FangSong" w:eastAsia="FangSong" w:hAnsi="FangSong" w:cs="FangSong"/>
          <w:spacing w:val="-6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美妆项目建设完成后，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土</w:t>
      </w:r>
      <w:r>
        <w:rPr>
          <w:rFonts w:ascii="FangSong" w:eastAsia="FangSong" w:hAnsi="FangSong" w:cs="FangSong"/>
          <w:spacing w:val="-12"/>
          <w:sz w:val="28"/>
          <w:szCs w:val="28"/>
        </w:rPr>
        <w:t>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环境，减小美妆项目对周边土地的影响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2" w:right="73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我们将确保美妆项目在法</w:t>
      </w:r>
      <w:r>
        <w:rPr>
          <w:rFonts w:ascii="FangSong" w:eastAsia="FangSong" w:hAnsi="FangSong" w:cs="FangSong"/>
          <w:spacing w:val="-7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框</w:t>
      </w:r>
      <w:r>
        <w:rPr>
          <w:rFonts w:ascii="FangSong" w:eastAsia="FangSong" w:hAnsi="FangSong" w:cs="FangSong"/>
          <w:spacing w:val="-17"/>
          <w:sz w:val="28"/>
          <w:szCs w:val="28"/>
        </w:rPr>
        <w:t>架内合规建设，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并为社区和环境提供可持续的发展空间。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7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。这为美妆项目提供了便捷的物流通道，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售，提高了美妆项目的市场竞争力。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自然条件适宜。美妆项目建设将充分利用这一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1"/>
          <w:sz w:val="28"/>
          <w:szCs w:val="28"/>
        </w:rPr>
        <w:t>优</w:t>
      </w:r>
      <w:r>
        <w:rPr>
          <w:rFonts w:ascii="FangSong" w:eastAsia="FangSong" w:hAnsi="FangSong" w:cs="FangSong"/>
          <w:spacing w:val="-16"/>
          <w:sz w:val="28"/>
          <w:szCs w:val="28"/>
        </w:rPr>
        <w:t>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设施。美妆项目将充分利用这些配套设施，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4"/>
          <w:sz w:val="28"/>
          <w:szCs w:val="28"/>
        </w:rPr>
        <w:t>于美妆项目的稳定运营。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总体要求中还包括对环境的保护要求。美妆项目将遵循当地环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6"/>
          <w:sz w:val="28"/>
          <w:szCs w:val="28"/>
        </w:rPr>
        <w:t>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绿色、可持续的工业美妆项目。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促进美妆项目与当地社区的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互</w:t>
      </w:r>
      <w:r>
        <w:rPr>
          <w:rFonts w:ascii="FangSong" w:eastAsia="FangSong" w:hAnsi="FangSong" w:cs="FangSong"/>
          <w:spacing w:val="-9"/>
          <w:sz w:val="28"/>
          <w:szCs w:val="28"/>
        </w:rPr>
        <w:t>利共赢。</w:t>
      </w:r>
    </w:p>
    <w:p>
      <w:pPr>
        <w:spacing w:before="3" w:line="415" w:lineRule="auto"/>
        <w:ind w:left="34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美妆项目将在选址的基础上更好地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周</w:t>
      </w:r>
      <w:r>
        <w:rPr>
          <w:rFonts w:ascii="FangSong" w:eastAsia="FangSong" w:hAnsi="FangSong" w:cs="FangSong"/>
          <w:spacing w:val="-2"/>
          <w:sz w:val="28"/>
          <w:szCs w:val="28"/>
        </w:rPr>
        <w:t>边环境相融合，确保建设和运营的可持续性和社会接受度。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在美</w:t>
      </w:r>
      <w:r>
        <w:rPr>
          <w:rFonts w:ascii="FangSong" w:eastAsia="FangSong" w:hAnsi="FangSong" w:cs="FangSong"/>
          <w:spacing w:val="-15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影</w:t>
      </w:r>
      <w:r>
        <w:rPr>
          <w:rFonts w:ascii="FangSong" w:eastAsia="FangSong" w:hAnsi="FangSong" w:cs="FangSong"/>
          <w:spacing w:val="-12"/>
          <w:sz w:val="28"/>
          <w:szCs w:val="28"/>
        </w:rPr>
        <w:t>响。</w:t>
      </w:r>
    </w:p>
    <w:p>
      <w:pPr>
        <w:spacing w:before="1" w:line="411" w:lineRule="auto"/>
        <w:ind w:left="56" w:right="189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我们计划通过多功能空间规划来优化土地利用。在美妆项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3"/>
          <w:sz w:val="28"/>
          <w:szCs w:val="28"/>
        </w:rPr>
        <w:t>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包括生产区、办公区、绿化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等，以确保每块用地都发挥最大潜力。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建筑的垂直利用率。这一措施有助于减小美妆项目的占地面积，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pacing w:val="-6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还有助于提高美妆项目的整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体可持续性，</w:t>
      </w:r>
      <w:r>
        <w:rPr>
          <w:rFonts w:ascii="FangSong" w:eastAsia="FangSong" w:hAnsi="FangSong" w:cs="FangSong"/>
          <w:spacing w:val="-3"/>
          <w:sz w:val="28"/>
          <w:szCs w:val="28"/>
        </w:rPr>
        <w:t>符</w:t>
      </w:r>
      <w:r>
        <w:rPr>
          <w:rFonts w:ascii="FangSong" w:eastAsia="FangSong" w:hAnsi="FangSong" w:cs="FangSong"/>
          <w:spacing w:val="-2"/>
          <w:sz w:val="28"/>
          <w:szCs w:val="28"/>
        </w:rPr>
        <w:t>合现代绿色建筑的发展趋势。</w:t>
      </w:r>
    </w:p>
    <w:p>
      <w:pPr>
        <w:spacing w:before="2" w:line="411" w:lineRule="auto"/>
        <w:ind w:left="33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共设施也是我们的设计理念之一。在美妆项目内部建设一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些公</w:t>
      </w:r>
      <w:r>
        <w:rPr>
          <w:rFonts w:ascii="FangSong" w:eastAsia="FangSong" w:hAnsi="FangSong" w:cs="FangSong"/>
          <w:spacing w:val="-3"/>
          <w:sz w:val="28"/>
          <w:szCs w:val="28"/>
        </w:rPr>
        <w:t>共</w:t>
      </w:r>
      <w:r>
        <w:rPr>
          <w:rFonts w:ascii="FangSong" w:eastAsia="FangSong" w:hAnsi="FangSong" w:cs="FangSong"/>
          <w:spacing w:val="-2"/>
          <w:sz w:val="28"/>
          <w:szCs w:val="28"/>
        </w:rPr>
        <w:t>设施，并向周边社区或其他企事业单位开放，如共享会议室、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通过这些具体措施，我</w:t>
      </w:r>
      <w:r>
        <w:rPr>
          <w:rFonts w:ascii="FangSong" w:eastAsia="FangSong" w:hAnsi="FangSong" w:cs="FangSong"/>
          <w:spacing w:val="-2"/>
          <w:sz w:val="28"/>
          <w:szCs w:val="28"/>
        </w:rPr>
        <w:t>们致力于实现美妆项目用地的经济高效利用，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为可</w:t>
      </w:r>
      <w:r>
        <w:rPr>
          <w:rFonts w:ascii="FangSong" w:eastAsia="FangSong" w:hAnsi="FangSong" w:cs="FangSong"/>
          <w:spacing w:val="-5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4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在美妆项目整体</w:t>
      </w:r>
      <w:r>
        <w:rPr>
          <w:rFonts w:ascii="FangSong" w:eastAsia="FangSong" w:hAnsi="FangSong" w:cs="FangSong"/>
          <w:spacing w:val="-2"/>
          <w:sz w:val="28"/>
          <w:szCs w:val="28"/>
        </w:rPr>
        <w:t>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产品出货；办公区域靠近美妆项目核心区，方便管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理和内外部沟通；</w:t>
      </w:r>
      <w:r>
        <w:rPr>
          <w:rFonts w:ascii="FangSong" w:eastAsia="FangSong" w:hAnsi="FangSong" w:cs="FangSong"/>
          <w:spacing w:val="-3"/>
          <w:sz w:val="28"/>
          <w:szCs w:val="28"/>
        </w:rPr>
        <w:t>休闲区和绿化区域分布在美妆项目的角落，为员工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我们通过科学的交通流线规划，确保了美妆项目内外的车辆</w:t>
      </w:r>
      <w:r>
        <w:rPr>
          <w:rFonts w:ascii="FangSong" w:eastAsia="FangSong" w:hAnsi="FangSong" w:cs="FangSong"/>
          <w:spacing w:val="-6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置人行道和绿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8" w:right="189" w:firstLine="11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美妆项目区域内设置了一系列公共设施，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心</w:t>
      </w:r>
      <w:r>
        <w:rPr>
          <w:rFonts w:ascii="FangSong" w:eastAsia="FangSong" w:hAnsi="FangSong" w:cs="FangSong"/>
          <w:spacing w:val="-15"/>
          <w:sz w:val="28"/>
          <w:szCs w:val="28"/>
        </w:rPr>
        <w:t>、</w:t>
      </w:r>
      <w:r>
        <w:rPr>
          <w:rFonts w:ascii="FangSong" w:eastAsia="FangSong" w:hAnsi="FangSong" w:cs="FangSong"/>
          <w:spacing w:val="-12"/>
          <w:sz w:val="28"/>
          <w:szCs w:val="28"/>
        </w:rPr>
        <w:t>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方便员工利用，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时也对外部开</w:t>
      </w:r>
      <w:r>
        <w:rPr>
          <w:rFonts w:ascii="FangSong" w:eastAsia="FangSong" w:hAnsi="FangSong" w:cs="FangSong"/>
          <w:spacing w:val="-3"/>
          <w:sz w:val="28"/>
          <w:szCs w:val="28"/>
        </w:rPr>
        <w:t>放</w:t>
      </w:r>
      <w:r>
        <w:rPr>
          <w:rFonts w:ascii="FangSong" w:eastAsia="FangSong" w:hAnsi="FangSong" w:cs="FangSong"/>
          <w:spacing w:val="-2"/>
          <w:sz w:val="28"/>
          <w:szCs w:val="28"/>
        </w:rPr>
        <w:t>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189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美</w:t>
      </w:r>
      <w:r>
        <w:rPr>
          <w:rFonts w:ascii="FangSong" w:eastAsia="FangSong" w:hAnsi="FangSong" w:cs="FangSong"/>
          <w:spacing w:val="-14"/>
          <w:sz w:val="28"/>
          <w:szCs w:val="28"/>
        </w:rPr>
        <w:t>妆项目总图中，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护的功</w:t>
      </w:r>
      <w:r>
        <w:rPr>
          <w:rFonts w:ascii="FangSong" w:eastAsia="FangSong" w:hAnsi="FangSong" w:cs="FangSong"/>
          <w:spacing w:val="-3"/>
          <w:sz w:val="28"/>
          <w:szCs w:val="28"/>
        </w:rPr>
        <w:t>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610" w:bottom="0" w:left="1785" w:header="0" w:footer="0" w:gutter="0"/>
          <w:pgNumType w:start="19"/>
          <w:cols w:space="708"/>
        </w:sectPr>
      </w:pPr>
    </w:p>
    <w:p>
      <w:pPr>
        <w:spacing w:before="120" w:line="207" w:lineRule="auto"/>
        <w:ind w:left="716"/>
        <w:rPr>
          <w:rFonts w:ascii="Microsoft YaHei" w:eastAsia="Microsoft YaHei" w:hAnsi="Microsoft YaHei" w:cs="Microsoft YaHei"/>
          <w:sz w:val="60"/>
          <w:szCs w:val="60"/>
        </w:rPr>
      </w:pPr>
      <w:bookmarkStart w:id="14" w:name="_bookmark15"/>
      <w:bookmarkEnd w:id="14"/>
      <w:r>
        <w:rPr>
          <w:rFonts w:ascii="Microsoft YaHei" w:eastAsia="Microsoft YaHei" w:hAnsi="Microsoft YaHei" w:cs="Microsoft YaHei"/>
          <w:color w:val="E27536"/>
          <w:position w:val="-8"/>
          <w:sz w:val="60"/>
          <w:szCs w:val="60"/>
        </w:rPr>
        <w:drawing>
          <wp:inline distT="0" distB="0" distL="0" distR="0">
            <wp:extent cx="515575" cy="43982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575" cy="43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color w:val="E27536"/>
          <w:spacing w:val="4"/>
          <w:sz w:val="60"/>
          <w:szCs w:val="60"/>
        </w:rPr>
        <w:t xml:space="preserve">  </w:t>
      </w:r>
      <w:r>
        <w:rPr>
          <w:rFonts w:ascii="Microsoft YaHei" w:eastAsia="Microsoft YaHei" w:hAnsi="Microsoft YaHei" w:cs="Microsoft YaHei"/>
          <w:color w:val="E27536"/>
          <w:spacing w:val="4"/>
          <w:sz w:val="60"/>
          <w:szCs w:val="60"/>
          <w14:textOutline w14:w="6350">
            <w14:solidFill>
              <w14:srgbClr w14:val="E27536"/>
            </w14:solidFill>
            <w14:prstDash w14:val="solid"/>
            <w14:miter w14:lim="0"/>
          </w14:textOutline>
        </w:rPr>
        <w:t>建议和行动计划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71" w:line="181" w:lineRule="auto"/>
        <w:ind w:left="2678"/>
        <w:rPr>
          <w:rFonts w:ascii="Microsoft YaHei" w:eastAsia="Microsoft YaHei" w:hAnsi="Microsoft YaHei" w:cs="Microsoft YaHei"/>
          <w:sz w:val="40"/>
          <w:szCs w:val="4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705450</wp:posOffset>
            </wp:positionH>
            <wp:positionV relativeFrom="paragraph">
              <wp:posOffset>-1737043</wp:posOffset>
            </wp:positionV>
            <wp:extent cx="10845800" cy="4430183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45800" cy="4430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DFD"/>
          <w:spacing w:val="4"/>
          <w:sz w:val="40"/>
          <w:szCs w:val="40"/>
          <w14:textOutline w14:w="3175">
            <w14:solidFill>
              <w14:srgbClr w14:val="FFFDFD"/>
            </w14:solidFill>
            <w14:prstDash w14:val="solid"/>
            <w14:miter w14:lim="0"/>
          </w14:textOutline>
        </w:rPr>
        <w:t>01</w:t>
      </w:r>
      <w:r>
        <w:rPr>
          <w:rFonts w:ascii="Microsoft YaHei" w:eastAsia="Microsoft YaHei" w:hAnsi="Microsoft YaHei" w:cs="Microsoft YaHei"/>
          <w:color w:val="FFFDFD"/>
          <w:spacing w:val="4"/>
          <w:sz w:val="40"/>
          <w:szCs w:val="40"/>
        </w:rPr>
        <w:t xml:space="preserve">               </w:t>
      </w:r>
      <w:r>
        <w:rPr>
          <w:rFonts w:ascii="Microsoft YaHei" w:eastAsia="Microsoft YaHei" w:hAnsi="Microsoft YaHei" w:cs="Microsoft YaHei"/>
          <w:color w:val="FFFDFD"/>
          <w:spacing w:val="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DFD"/>
          <w:spacing w:val="2"/>
          <w:sz w:val="40"/>
          <w:szCs w:val="40"/>
        </w:rPr>
        <w:t xml:space="preserve">                  </w:t>
      </w:r>
      <w:r>
        <w:rPr>
          <w:rFonts w:ascii="Microsoft YaHei" w:eastAsia="Microsoft YaHei" w:hAnsi="Microsoft YaHei" w:cs="Microsoft YaHei"/>
          <w:color w:val="FFFDFD"/>
          <w:spacing w:val="2"/>
          <w:sz w:val="40"/>
          <w:szCs w:val="40"/>
          <w14:textOutline w14:w="3175">
            <w14:solidFill>
              <w14:srgbClr w14:val="FFFDFD"/>
            </w14:solidFill>
            <w14:prstDash w14:val="solid"/>
            <w14:miter w14:lim="0"/>
          </w14:textOutline>
        </w:rPr>
        <w:t>02</w:t>
      </w:r>
      <w:r>
        <w:rPr>
          <w:rFonts w:ascii="Microsoft YaHei" w:eastAsia="Microsoft YaHei" w:hAnsi="Microsoft YaHei" w:cs="Microsoft YaHei"/>
          <w:color w:val="FFFDFD"/>
          <w:spacing w:val="2"/>
          <w:sz w:val="40"/>
          <w:szCs w:val="40"/>
        </w:rPr>
        <w:t xml:space="preserve">                                 </w:t>
      </w:r>
      <w:r>
        <w:rPr>
          <w:rFonts w:ascii="Microsoft YaHei" w:eastAsia="Microsoft YaHei" w:hAnsi="Microsoft YaHei" w:cs="Microsoft YaHei"/>
          <w:color w:val="FFFDFD"/>
          <w:spacing w:val="2"/>
          <w:sz w:val="40"/>
          <w:szCs w:val="40"/>
          <w14:textOutline w14:w="3175">
            <w14:solidFill>
              <w14:srgbClr w14:val="FFFDFD"/>
            </w14:solidFill>
            <w14:prstDash w14:val="solid"/>
            <w14:miter w14:lim="0"/>
          </w14:textOutline>
        </w:rPr>
        <w:t>03</w:t>
      </w:r>
      <w:r>
        <w:rPr>
          <w:rFonts w:ascii="Microsoft YaHei" w:eastAsia="Microsoft YaHei" w:hAnsi="Microsoft YaHei" w:cs="Microsoft YaHei"/>
          <w:color w:val="FFFDFD"/>
          <w:spacing w:val="2"/>
          <w:sz w:val="40"/>
          <w:szCs w:val="40"/>
        </w:rPr>
        <w:t xml:space="preserve">                                 </w:t>
      </w:r>
      <w:r>
        <w:rPr>
          <w:rFonts w:ascii="Microsoft YaHei" w:eastAsia="Microsoft YaHei" w:hAnsi="Microsoft YaHei" w:cs="Microsoft YaHei"/>
          <w:color w:val="FFFDFD"/>
          <w:spacing w:val="2"/>
          <w:sz w:val="40"/>
          <w:szCs w:val="40"/>
          <w14:textOutline w14:w="3175">
            <w14:solidFill>
              <w14:srgbClr w14:val="FFFDFD"/>
            </w14:solidFill>
            <w14:prstDash w14:val="solid"/>
            <w14:miter w14:lim="0"/>
          </w14:textOutline>
        </w:rPr>
        <w:t>04</w:t>
      </w:r>
    </w:p>
    <w:p/>
    <w:p/>
    <w:p/>
    <w:p>
      <w:pPr>
        <w:sectPr>
          <w:headerReference w:type="default" r:id="rId6"/>
          <w:pgSz w:w="19200" w:h="10800"/>
          <w:pgMar w:top="400" w:right="0" w:bottom="0" w:left="0" w:header="0" w:footer="0" w:gutter="0"/>
          <w:pgNumType w:start="20"/>
          <w:cols w:num="1" w:space="708" w:equalWidth="0">
            <w:col w:w="19200" w:space="0"/>
          </w:cols>
        </w:sectPr>
      </w:pPr>
    </w:p>
    <w:p>
      <w:pPr>
        <w:spacing w:line="110" w:lineRule="exact"/>
      </w:pPr>
    </w:p>
    <w:p>
      <w:pPr>
        <w:sectPr>
          <w:headerReference w:type="default" r:id="rId7"/>
          <w:type w:val="nextPage"/>
          <w:pgSz w:w="19200" w:h="10800"/>
          <w:pgMar w:top="400" w:right="0" w:bottom="0" w:left="0" w:header="0" w:footer="0" w:gutter="0"/>
          <w:pgNumType w:start="21"/>
          <w:cols w:num="1" w:space="708" w:equalWidth="0">
            <w:col w:w="19200" w:space="0"/>
          </w:cols>
          <w:titlePg w:val="0"/>
        </w:sectPr>
      </w:pPr>
    </w:p>
    <w:p>
      <w:pPr>
        <w:spacing w:before="94" w:line="187" w:lineRule="auto"/>
        <w:ind w:left="13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DFD"/>
          <w:spacing w:val="8"/>
          <w:sz w:val="28"/>
          <w:szCs w:val="28"/>
        </w:rPr>
        <w:t>建</w:t>
      </w:r>
      <w:r>
        <w:rPr>
          <w:rFonts w:ascii="Microsoft YaHei" w:eastAsia="Microsoft YaHei" w:hAnsi="Microsoft YaHei" w:cs="Microsoft YaHei"/>
          <w:color w:val="FFFDFD"/>
          <w:spacing w:val="6"/>
          <w:sz w:val="28"/>
          <w:szCs w:val="28"/>
        </w:rPr>
        <w:t>议</w:t>
      </w:r>
      <w:r>
        <w:rPr>
          <w:rFonts w:ascii="Microsoft YaHei" w:eastAsia="Microsoft YaHei" w:hAnsi="Microsoft YaHei" w:cs="Microsoft YaHei"/>
          <w:color w:val="FFFDFD"/>
          <w:spacing w:val="4"/>
          <w:sz w:val="28"/>
          <w:szCs w:val="28"/>
        </w:rPr>
        <w:t>采用高强度材料和先</w:t>
      </w:r>
    </w:p>
    <w:p>
      <w:pPr>
        <w:spacing w:before="265" w:line="187" w:lineRule="auto"/>
        <w:ind w:left="133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DFD"/>
          <w:spacing w:val="8"/>
          <w:sz w:val="28"/>
          <w:szCs w:val="28"/>
        </w:rPr>
        <w:t>进</w:t>
      </w:r>
      <w:r>
        <w:rPr>
          <w:rFonts w:ascii="Microsoft YaHei" w:eastAsia="Microsoft YaHei" w:hAnsi="Microsoft YaHei" w:cs="Microsoft YaHei"/>
          <w:color w:val="FFFDFD"/>
          <w:spacing w:val="7"/>
          <w:sz w:val="28"/>
          <w:szCs w:val="28"/>
        </w:rPr>
        <w:t>的</w:t>
      </w:r>
      <w:r>
        <w:rPr>
          <w:rFonts w:ascii="Microsoft YaHei" w:eastAsia="Microsoft YaHei" w:hAnsi="Microsoft YaHei" w:cs="Microsoft YaHei"/>
          <w:color w:val="FFFDFD"/>
          <w:spacing w:val="4"/>
          <w:sz w:val="28"/>
          <w:szCs w:val="28"/>
        </w:rPr>
        <w:t>生产工艺，以提高井</w:t>
      </w:r>
    </w:p>
    <w:p>
      <w:pPr>
        <w:spacing w:before="267" w:line="164" w:lineRule="auto"/>
        <w:ind w:left="1334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DFD"/>
          <w:spacing w:val="-2"/>
          <w:sz w:val="28"/>
          <w:szCs w:val="28"/>
        </w:rPr>
        <w:t>盖的</w:t>
      </w:r>
      <w:r>
        <w:rPr>
          <w:rFonts w:ascii="Microsoft YaHei" w:eastAsia="Microsoft YaHei" w:hAnsi="Microsoft YaHei" w:cs="Microsoft YaHei"/>
          <w:color w:val="FFFDFD"/>
          <w:spacing w:val="-1"/>
          <w:sz w:val="28"/>
          <w:szCs w:val="28"/>
        </w:rPr>
        <w:t>耐久性和安全性。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183" w:lineRule="auto"/>
        <w:ind w:left="3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DFD"/>
          <w:spacing w:val="-10"/>
          <w:sz w:val="30"/>
          <w:szCs w:val="30"/>
        </w:rPr>
        <w:t>建</w:t>
      </w:r>
      <w:r>
        <w:rPr>
          <w:rFonts w:ascii="Microsoft YaHei" w:eastAsia="Microsoft YaHei" w:hAnsi="Microsoft YaHei" w:cs="Microsoft YaHei"/>
          <w:color w:val="FFFDFD"/>
          <w:spacing w:val="-8"/>
          <w:sz w:val="30"/>
          <w:szCs w:val="30"/>
        </w:rPr>
        <w:t>议</w:t>
      </w:r>
      <w:r>
        <w:rPr>
          <w:rFonts w:ascii="Microsoft YaHei" w:eastAsia="Microsoft YaHei" w:hAnsi="Microsoft YaHei" w:cs="Microsoft YaHei"/>
          <w:color w:val="FFFDFD"/>
          <w:spacing w:val="-5"/>
          <w:sz w:val="30"/>
          <w:szCs w:val="30"/>
        </w:rPr>
        <w:t>加强井盖的防水、</w:t>
      </w:r>
    </w:p>
    <w:p>
      <w:pPr>
        <w:spacing w:before="278" w:line="184" w:lineRule="auto"/>
        <w:ind w:left="17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DFD"/>
          <w:spacing w:val="-2"/>
          <w:sz w:val="30"/>
          <w:szCs w:val="30"/>
        </w:rPr>
        <w:t>防滑和防震性能，</w:t>
      </w:r>
      <w:r>
        <w:rPr>
          <w:rFonts w:ascii="Microsoft YaHei" w:eastAsia="Microsoft YaHei" w:hAnsi="Microsoft YaHei" w:cs="Microsoft YaHei"/>
          <w:color w:val="FFFDFD"/>
          <w:spacing w:val="-1"/>
          <w:sz w:val="30"/>
          <w:szCs w:val="30"/>
        </w:rPr>
        <w:t>以适</w:t>
      </w:r>
    </w:p>
    <w:p>
      <w:pPr>
        <w:spacing w:before="280" w:line="298" w:lineRule="exact"/>
        <w:rPr>
          <w:rFonts w:ascii="Microsoft YaHei" w:eastAsia="Microsoft YaHei" w:hAnsi="Microsoft YaHei" w:cs="Microsoft YaHei"/>
          <w:sz w:val="30"/>
          <w:szCs w:val="30"/>
        </w:rPr>
      </w:pPr>
      <w:r>
        <w:rPr>
          <w:rFonts w:ascii="Microsoft YaHei" w:eastAsia="Microsoft YaHei" w:hAnsi="Microsoft YaHei" w:cs="Microsoft YaHei"/>
          <w:color w:val="FFFDFD"/>
          <w:spacing w:val="-10"/>
          <w:position w:val="-2"/>
          <w:sz w:val="30"/>
          <w:szCs w:val="30"/>
        </w:rPr>
        <w:t>应</w:t>
      </w:r>
      <w:r>
        <w:rPr>
          <w:rFonts w:ascii="Microsoft YaHei" w:eastAsia="Microsoft YaHei" w:hAnsi="Microsoft YaHei" w:cs="Microsoft YaHei"/>
          <w:color w:val="FFFDFD"/>
          <w:spacing w:val="-8"/>
          <w:position w:val="-2"/>
          <w:sz w:val="30"/>
          <w:szCs w:val="30"/>
        </w:rPr>
        <w:t>不</w:t>
      </w:r>
      <w:r>
        <w:rPr>
          <w:rFonts w:ascii="Microsoft YaHei" w:eastAsia="Microsoft YaHei" w:hAnsi="Microsoft YaHei" w:cs="Microsoft YaHei"/>
          <w:color w:val="FFFDFD"/>
          <w:spacing w:val="-5"/>
          <w:position w:val="-2"/>
          <w:sz w:val="30"/>
          <w:szCs w:val="30"/>
        </w:rPr>
        <w:t>同的使用环境。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6" w:line="185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DFD"/>
          <w:spacing w:val="8"/>
          <w:sz w:val="28"/>
          <w:szCs w:val="28"/>
        </w:rPr>
        <w:t>建</w:t>
      </w:r>
      <w:r>
        <w:rPr>
          <w:rFonts w:ascii="Microsoft YaHei" w:eastAsia="Microsoft YaHei" w:hAnsi="Microsoft YaHei" w:cs="Microsoft YaHei"/>
          <w:color w:val="FFFDFD"/>
          <w:spacing w:val="6"/>
          <w:sz w:val="28"/>
          <w:szCs w:val="28"/>
        </w:rPr>
        <w:t>议</w:t>
      </w:r>
      <w:r>
        <w:rPr>
          <w:rFonts w:ascii="Microsoft YaHei" w:eastAsia="Microsoft YaHei" w:hAnsi="Microsoft YaHei" w:cs="Microsoft YaHei"/>
          <w:color w:val="FFFDFD"/>
          <w:spacing w:val="4"/>
          <w:sz w:val="28"/>
          <w:szCs w:val="28"/>
        </w:rPr>
        <w:t>在井盖设计中充分考</w:t>
      </w:r>
    </w:p>
    <w:p>
      <w:pPr>
        <w:spacing w:before="270" w:line="185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DFD"/>
          <w:spacing w:val="8"/>
          <w:sz w:val="28"/>
          <w:szCs w:val="28"/>
        </w:rPr>
        <w:t>虑</w:t>
      </w:r>
      <w:r>
        <w:rPr>
          <w:rFonts w:ascii="Microsoft YaHei" w:eastAsia="Microsoft YaHei" w:hAnsi="Microsoft YaHei" w:cs="Microsoft YaHei"/>
          <w:color w:val="FFFDFD"/>
          <w:spacing w:val="5"/>
          <w:sz w:val="28"/>
          <w:szCs w:val="28"/>
        </w:rPr>
        <w:t>人</w:t>
      </w:r>
      <w:r>
        <w:rPr>
          <w:rFonts w:ascii="Microsoft YaHei" w:eastAsia="Microsoft YaHei" w:hAnsi="Microsoft YaHei" w:cs="Microsoft YaHei"/>
          <w:color w:val="FFFDFD"/>
          <w:spacing w:val="4"/>
          <w:sz w:val="28"/>
          <w:szCs w:val="28"/>
        </w:rPr>
        <w:t>机工程学因素，以提</w:t>
      </w:r>
    </w:p>
    <w:p>
      <w:pPr>
        <w:spacing w:before="266" w:line="164" w:lineRule="auto"/>
        <w:ind w:left="1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FFFDFD"/>
          <w:spacing w:val="-1"/>
          <w:sz w:val="28"/>
          <w:szCs w:val="28"/>
        </w:rPr>
        <w:t>高使用舒适性和</w:t>
      </w:r>
      <w:r>
        <w:rPr>
          <w:rFonts w:ascii="Microsoft YaHei" w:eastAsia="Microsoft YaHei" w:hAnsi="Microsoft YaHei" w:cs="Microsoft YaHei"/>
          <w:color w:val="FFFDFD"/>
          <w:sz w:val="28"/>
          <w:szCs w:val="28"/>
        </w:rPr>
        <w:t>便捷性。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9" w:line="187" w:lineRule="auto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FFFDFD"/>
          <w:spacing w:val="8"/>
          <w:sz w:val="25"/>
          <w:szCs w:val="25"/>
        </w:rPr>
        <w:t>建议</w:t>
      </w:r>
      <w:r>
        <w:rPr>
          <w:rFonts w:ascii="Microsoft YaHei" w:eastAsia="Microsoft YaHei" w:hAnsi="Microsoft YaHei" w:cs="Microsoft YaHei"/>
          <w:color w:val="FFFDFD"/>
          <w:spacing w:val="4"/>
          <w:sz w:val="25"/>
          <w:szCs w:val="25"/>
        </w:rPr>
        <w:t>加强市场调研和竞争分</w:t>
      </w:r>
    </w:p>
    <w:p>
      <w:pPr>
        <w:spacing w:before="239" w:line="186" w:lineRule="auto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FFFDFD"/>
          <w:spacing w:val="8"/>
          <w:sz w:val="25"/>
          <w:szCs w:val="25"/>
        </w:rPr>
        <w:t>析，</w:t>
      </w:r>
      <w:r>
        <w:rPr>
          <w:rFonts w:ascii="Microsoft YaHei" w:eastAsia="Microsoft YaHei" w:hAnsi="Microsoft YaHei" w:cs="Microsoft YaHei"/>
          <w:color w:val="FFFDFD"/>
          <w:spacing w:val="4"/>
          <w:sz w:val="25"/>
          <w:szCs w:val="25"/>
        </w:rPr>
        <w:t>以制定更有针对性的产</w:t>
      </w:r>
    </w:p>
    <w:p>
      <w:pPr>
        <w:spacing w:before="240" w:line="186" w:lineRule="auto"/>
        <w:ind w:left="13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FFFDFD"/>
          <w:spacing w:val="-2"/>
          <w:sz w:val="25"/>
          <w:szCs w:val="25"/>
        </w:rPr>
        <w:t>品推</w:t>
      </w:r>
      <w:r>
        <w:rPr>
          <w:rFonts w:ascii="Microsoft YaHei" w:eastAsia="Microsoft YaHei" w:hAnsi="Microsoft YaHei" w:cs="Microsoft YaHei"/>
          <w:color w:val="FFFDFD"/>
          <w:spacing w:val="-1"/>
          <w:sz w:val="25"/>
          <w:szCs w:val="25"/>
        </w:rPr>
        <w:t>广和市场拓展策略。</w:t>
      </w:r>
    </w:p>
    <w:p>
      <w:pPr>
        <w:sectPr>
          <w:headerReference w:type="default" r:id="rId8"/>
          <w:type w:val="continuous"/>
          <w:pgSz w:w="19200" w:h="10800"/>
          <w:pgMar w:top="400" w:right="0" w:bottom="0" w:left="0" w:header="0" w:footer="0" w:gutter="0"/>
          <w:pgNumType w:start="22"/>
          <w:cols w:num="4" w:space="708" w:equalWidth="0">
            <w:col w:w="5821" w:space="100"/>
            <w:col w:w="4306" w:space="100"/>
            <w:col w:w="4428" w:space="100"/>
            <w:col w:w="4348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  <w:sectPr>
          <w:headerReference w:type="default" r:id="rId9"/>
          <w:pgSz w:w="19200" w:h="10800"/>
          <w:pgMar w:top="400" w:right="0" w:bottom="0" w:left="0" w:header="0" w:footer="0" w:gutter="0"/>
          <w:pgNumType w:start="23"/>
          <w:cols w:space="708"/>
        </w:sectPr>
      </w:pPr>
    </w:p>
    <w:p>
      <w:pPr>
        <w:spacing w:before="823" w:line="1963" w:lineRule="exact"/>
        <w:ind w:left="5361"/>
        <w:rPr>
          <w:rFonts w:ascii="Microsoft YaHei" w:eastAsia="Microsoft YaHei" w:hAnsi="Microsoft YaHei" w:cs="Microsoft YaHei"/>
          <w:sz w:val="192"/>
          <w:szCs w:val="192"/>
        </w:rPr>
      </w:pPr>
      <w:bookmarkStart w:id="15" w:name="_bookmark16"/>
      <w:bookmarkEnd w:id="15"/>
      <w:bookmarkStart w:id="16" w:name="_bookmark17"/>
      <w:bookmarkEnd w:id="16"/>
      <w:r>
        <w:rPr>
          <w:rFonts w:ascii="Microsoft YaHei" w:eastAsia="Microsoft YaHei" w:hAnsi="Microsoft YaHei" w:cs="Microsoft YaHei"/>
          <w:color w:val="FFFFFF"/>
          <w:spacing w:val="81"/>
          <w:position w:val="-14"/>
          <w:sz w:val="192"/>
          <w:szCs w:val="192"/>
          <w14:textOutline w14:w="28575">
            <w14:solidFill>
              <w14:srgbClr w14:val="FFFFFF"/>
            </w14:solidFill>
            <w14:prstDash w14:val="solid"/>
            <w14:miter w14:lim="0"/>
          </w14:textOutline>
        </w:rPr>
        <w:t>T</w:t>
      </w:r>
      <w:r>
        <w:rPr>
          <w:rFonts w:ascii="Microsoft YaHei" w:eastAsia="Microsoft YaHei" w:hAnsi="Microsoft YaHei" w:cs="Microsoft YaHei"/>
          <w:color w:val="FFFFFF"/>
          <w:spacing w:val="78"/>
          <w:position w:val="-14"/>
          <w:sz w:val="192"/>
          <w:szCs w:val="192"/>
          <w14:textOutline w14:w="28575">
            <w14:solidFill>
              <w14:srgbClr w14:val="FFFFFF"/>
            </w14:solidFill>
            <w14:prstDash w14:val="solid"/>
            <w14:miter w14:lim="0"/>
          </w14:textOutline>
        </w:rPr>
        <w:t>HANKS</w:t>
      </w:r>
    </w:p>
    <w:p>
      <w:pPr>
        <w:spacing w:line="173" w:lineRule="auto"/>
        <w:ind w:left="7794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1"/>
          <w:szCs w:val="21"/>
        </w:rPr>
        <w:t>THAN</w:t>
      </w:r>
      <w:r>
        <w:rPr>
          <w:rFonts w:ascii="Microsoft YaHei" w:eastAsia="Microsoft YaHei" w:hAnsi="Microsoft YaHei" w:cs="Microsoft YaHei"/>
          <w:color w:val="FFFFFF"/>
          <w:sz w:val="21"/>
          <w:szCs w:val="21"/>
        </w:rPr>
        <w:t>K</w:t>
      </w:r>
      <w:r>
        <w:rPr>
          <w:rFonts w:ascii="Microsoft YaHei" w:eastAsia="Microsoft YaHei" w:hAnsi="Microsoft YaHei" w:cs="Microsoft YaHei"/>
          <w:color w:val="FFFFFF"/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21"/>
          <w:szCs w:val="21"/>
        </w:rPr>
        <w:t>YOU</w:t>
      </w:r>
      <w:r>
        <w:rPr>
          <w:rFonts w:ascii="Microsoft YaHei" w:eastAsia="Microsoft YaHei" w:hAnsi="Microsoft YaHei" w:cs="Microsoft YaHei"/>
          <w:color w:val="FFFFFF"/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21"/>
          <w:szCs w:val="21"/>
        </w:rPr>
        <w:t>FOR</w:t>
      </w:r>
      <w:r>
        <w:rPr>
          <w:rFonts w:ascii="Microsoft YaHei" w:eastAsia="Microsoft YaHei" w:hAnsi="Microsoft YaHei" w:cs="Microsoft YaHei"/>
          <w:color w:val="FFFFFF"/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21"/>
          <w:szCs w:val="21"/>
        </w:rPr>
        <w:t>YOUR</w:t>
      </w:r>
      <w:r>
        <w:rPr>
          <w:rFonts w:ascii="Microsoft YaHei" w:eastAsia="Microsoft YaHei" w:hAnsi="Microsoft YaHei" w:cs="Microsoft YaHei"/>
          <w:color w:val="FFFFFF"/>
          <w:spacing w:val="-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z w:val="21"/>
          <w:szCs w:val="21"/>
        </w:rPr>
        <w:t>WATCHING</w:t>
      </w:r>
    </w:p>
    <w:p>
      <w:pPr>
        <w:sectPr>
          <w:headerReference w:type="default" r:id="rId10"/>
          <w:type w:val="nextPage"/>
          <w:pgSz w:w="19200" w:h="10800"/>
          <w:pgMar w:top="400" w:right="0" w:bottom="0" w:left="0" w:header="0" w:footer="0" w:gutter="0"/>
          <w:pgNumType w:start="24"/>
          <w:cols w:space="708"/>
          <w:titlePg w:val="0"/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9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headerReference w:type="default" r:id="rId11"/>
          <w:pgSz w:w="11906" w:h="16839"/>
          <w:pgMar w:top="400" w:right="1785" w:bottom="0" w:left="1785" w:header="0" w:footer="0" w:gutter="0"/>
          <w:pgNumType w:start="25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在美</w:t>
      </w:r>
      <w:r>
        <w:rPr>
          <w:rFonts w:ascii="FangSong" w:eastAsia="FangSong" w:hAnsi="FangSong" w:cs="FangSong"/>
          <w:spacing w:val="-15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以确保美妆项目的可持续发展和建筑结构的安全性：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headerReference w:type="default" r:id="rId12"/>
          <w:pgSz w:w="11906" w:h="16839"/>
          <w:pgMar w:top="400" w:right="1697" w:bottom="0" w:left="1785" w:header="0" w:footer="0" w:gutter="0"/>
          <w:pgNumType w:start="26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(二)、美妆项目总平面设计要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pacing w:val="-6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headerReference w:type="default" r:id="rId13"/>
          <w:pgSz w:w="11906" w:h="16839"/>
          <w:pgMar w:top="400" w:right="1785" w:bottom="0" w:left="1785" w:header="0" w:footer="0" w:gutter="0"/>
          <w:pgNumType w:start="27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适应美妆项目的实际使用需要。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headerReference w:type="default" r:id="rId14"/>
          <w:pgSz w:w="11906" w:h="16839"/>
          <w:pgMar w:top="400" w:right="1718" w:bottom="0" w:left="1785" w:header="0" w:footer="0" w:gutter="0"/>
          <w:pgNumType w:start="28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妆项目所处地区的地质条件和地震风险，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结合美妆项目的实际需求和环境条件，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筑工程的设计总体要求是确保美妆项目实现预期功能、安全稳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ectPr>
          <w:headerReference w:type="default" r:id="rId15"/>
          <w:pgSz w:w="11906" w:h="16839"/>
          <w:pgMar w:top="400" w:right="1785" w:bottom="0" w:left="1785" w:header="0" w:footer="0" w:gutter="0"/>
          <w:pgNumType w:start="29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建筑的功能布局满足美妆项目需求，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1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headerReference w:type="default" r:id="rId16"/>
          <w:pgSz w:w="11906" w:h="16839"/>
          <w:pgMar w:top="400" w:right="1704" w:bottom="0" w:left="1785" w:header="0" w:footer="0" w:gutter="0"/>
          <w:pgNumType w:start="30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够达到高标准，满足美妆项目的长期发展需求。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75" w:firstLine="5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美妆项目规划的总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平方米，充分考虑到美妆项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headerReference w:type="default" r:id="rId17"/>
          <w:pgSz w:w="11906" w:h="16839"/>
          <w:pgMar w:top="400" w:right="1724" w:bottom="0" w:left="1785" w:header="0" w:footer="0" w:gutter="0"/>
          <w:pgNumType w:start="31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美妆项目总投资比例：</w:t>
      </w:r>
    </w:p>
    <w:p>
      <w:pPr>
        <w:spacing w:before="288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美</w:t>
      </w:r>
      <w:r>
        <w:rPr>
          <w:rFonts w:ascii="FangSong" w:eastAsia="FangSong" w:hAnsi="FangSong" w:cs="FangSong"/>
          <w:spacing w:val="-3"/>
          <w:sz w:val="28"/>
          <w:szCs w:val="28"/>
        </w:rPr>
        <w:t>妆项目总投资的比例为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美妆项目运营的需求，同时避免了过度浪费。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妆项目整体布局：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使美妆项目更好地适应当地的自然和人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headerReference w:type="default" r:id="rId18"/>
          <w:pgSz w:w="11906" w:h="16839"/>
          <w:pgMar w:top="400" w:right="1623" w:bottom="0" w:left="1785" w:header="0" w:footer="0" w:gutter="0"/>
          <w:pgNumType w:start="32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美妆行业作为一个充满活力的领域，涵盖了广泛的产品和服务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美妆行业在技术上取得了显著的突破。高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</w:p>
    <w:p>
      <w:pPr>
        <w:sectPr>
          <w:headerReference w:type="default" r:id="rId19"/>
          <w:pgSz w:w="11906" w:h="16839"/>
          <w:pgMar w:top="400" w:right="1763" w:bottom="0" w:left="1785" w:header="0" w:footer="0" w:gutter="0"/>
          <w:pgNumType w:start="33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91" w:line="224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*美妆行业**是一片充满活力的领域，囊括了广泛的产品和服务。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美妆行业市场规模庞大，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  <w:sectPr>
          <w:headerReference w:type="default" r:id="rId20"/>
          <w:pgSz w:w="11906" w:h="16839"/>
          <w:pgMar w:top="400" w:right="1638" w:bottom="0" w:left="1785" w:header="0" w:footer="0" w:gutter="0"/>
          <w:pgNumType w:start="34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美妆行业在技术上取得了显著的突破。高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https://d.book118.com/838060026127006045</w:t>
        </w:r>
      </w:hyperlink>
    </w:p>
    <w:p/>
    <w:sectPr>
      <w:headerReference w:type="default" r:id="rId22"/>
      <w:type w:val="nextPage"/>
      <w:pgSz w:w="11906" w:h="16839"/>
      <w:pgMar w:top="400" w:right="1638" w:bottom="0" w:left="1785" w:header="0" w:footer="0" w:gutter="0"/>
      <w:pgNumType w:start="3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390509803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0509803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843132685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3132685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436500525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6500525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1" Type="http://schemas.openxmlformats.org/officeDocument/2006/relationships/header" Target="header6.xml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header" Target="header10.xml" /><Relationship Id="rId16" Type="http://schemas.openxmlformats.org/officeDocument/2006/relationships/header" Target="header11.xml" /><Relationship Id="rId17" Type="http://schemas.openxmlformats.org/officeDocument/2006/relationships/header" Target="header12.xml" /><Relationship Id="rId18" Type="http://schemas.openxmlformats.org/officeDocument/2006/relationships/header" Target="header13.xml" /><Relationship Id="rId19" Type="http://schemas.openxmlformats.org/officeDocument/2006/relationships/header" Target="header14.xml" /><Relationship Id="rId2" Type="http://schemas.openxmlformats.org/officeDocument/2006/relationships/webSettings" Target="webSettings.xml" /><Relationship Id="rId20" Type="http://schemas.openxmlformats.org/officeDocument/2006/relationships/header" Target="header15.xml" /><Relationship Id="rId21" Type="http://schemas.openxmlformats.org/officeDocument/2006/relationships/hyperlink" Target="https://d.book118.com/838060026127006045" TargetMode="External" /><Relationship Id="rId22" Type="http://schemas.openxmlformats.org/officeDocument/2006/relationships/header" Target="header16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eader" Target="header3.xml" /><Relationship Id="rId9" Type="http://schemas.openxmlformats.org/officeDocument/2006/relationships/header" Target="header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2024-03-14T07:16:14Z</vt:filetime>
  </property>
  <property fmtid="{D5CDD505-2E9C-101B-9397-08002B2CF9AE}" pid="3" name="CRO">
    <vt:lpwstr>wqlLaW5nc29mdCBQREYgdG8gV1BTIDgw</vt:lpwstr>
  </property>
</Properties>
</file>