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特异性动物源农药项目规划设计纲要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12" w:history="1">
        <w:r>
          <w:rPr>
            <w:rFonts w:ascii="仿宋" w:eastAsia="仿宋" w:hAnsi="仿宋" w:cs="仿宋" w:hint="eastAsia"/>
            <w:lang w:eastAsia="zh-CN"/>
          </w:rPr>
          <w:t>概论</w:t>
        </w:r>
        <w:r>
          <w:tab/>
        </w:r>
        <w:r>
          <w:fldChar w:fldCharType="begin"/>
        </w:r>
        <w:r>
          <w:instrText xml:space="preserve"> PAGEREF _Toc20312 \h </w:instrText>
        </w:r>
        <w:r>
          <w:fldChar w:fldCharType="separate"/>
        </w:r>
        <w:r>
          <w:t>3</w:t>
        </w:r>
        <w:r>
          <w:fldChar w:fldCharType="end"/>
        </w:r>
      </w:hyperlink>
    </w:p>
    <w:p>
      <w:pPr>
        <w:pStyle w:val="TOC1"/>
        <w:tabs>
          <w:tab w:val="right" w:leader="dot" w:pos="8306"/>
        </w:tabs>
      </w:pPr>
      <w:hyperlink w:anchor="_Toc1279" w:history="1">
        <w:r>
          <w:rPr>
            <w:rFonts w:ascii="仿宋" w:eastAsia="仿宋" w:hAnsi="仿宋" w:cs="仿宋" w:hint="eastAsia"/>
            <w:lang w:eastAsia="zh-CN"/>
          </w:rPr>
          <w:t>一、特异性动物源农药项目危机管理</w:t>
        </w:r>
        <w:r>
          <w:tab/>
        </w:r>
        <w:r>
          <w:fldChar w:fldCharType="begin"/>
        </w:r>
        <w:r>
          <w:instrText xml:space="preserve"> PAGEREF _Toc1279 \h </w:instrText>
        </w:r>
        <w:r>
          <w:fldChar w:fldCharType="separate"/>
        </w:r>
        <w:r>
          <w:t>3</w:t>
        </w:r>
        <w:r>
          <w:fldChar w:fldCharType="end"/>
        </w:r>
      </w:hyperlink>
    </w:p>
    <w:p>
      <w:pPr>
        <w:pStyle w:val="TOC2"/>
        <w:tabs>
          <w:tab w:val="right" w:leader="dot" w:pos="8306"/>
        </w:tabs>
      </w:pPr>
      <w:hyperlink w:anchor="_Toc25465" w:history="1">
        <w:r>
          <w:rPr>
            <w:rFonts w:ascii="仿宋" w:eastAsia="仿宋" w:hAnsi="仿宋" w:cs="仿宋" w:hint="eastAsia"/>
            <w:lang w:eastAsia="zh-CN"/>
          </w:rPr>
          <w:t>(一)、危机预警与识别</w:t>
        </w:r>
        <w:r>
          <w:tab/>
        </w:r>
        <w:r>
          <w:fldChar w:fldCharType="begin"/>
        </w:r>
        <w:r>
          <w:instrText xml:space="preserve"> PAGEREF _Toc25465 \h </w:instrText>
        </w:r>
        <w:r>
          <w:fldChar w:fldCharType="separate"/>
        </w:r>
        <w:r>
          <w:t>3</w:t>
        </w:r>
        <w:r>
          <w:fldChar w:fldCharType="end"/>
        </w:r>
      </w:hyperlink>
    </w:p>
    <w:p>
      <w:pPr>
        <w:pStyle w:val="TOC2"/>
        <w:tabs>
          <w:tab w:val="right" w:leader="dot" w:pos="8306"/>
        </w:tabs>
      </w:pPr>
      <w:hyperlink w:anchor="_Toc492" w:history="1">
        <w:r>
          <w:rPr>
            <w:rFonts w:ascii="仿宋" w:eastAsia="仿宋" w:hAnsi="仿宋" w:cs="仿宋" w:hint="eastAsia"/>
            <w:lang w:eastAsia="zh-CN"/>
          </w:rPr>
          <w:t>(二)、危机应对与恢复</w:t>
        </w:r>
        <w:r>
          <w:tab/>
        </w:r>
        <w:r>
          <w:fldChar w:fldCharType="begin"/>
        </w:r>
        <w:r>
          <w:instrText xml:space="preserve"> PAGEREF _Toc492 \h </w:instrText>
        </w:r>
        <w:r>
          <w:fldChar w:fldCharType="separate"/>
        </w:r>
        <w:r>
          <w:t>4</w:t>
        </w:r>
        <w:r>
          <w:fldChar w:fldCharType="end"/>
        </w:r>
      </w:hyperlink>
    </w:p>
    <w:p>
      <w:pPr>
        <w:pStyle w:val="TOC1"/>
        <w:tabs>
          <w:tab w:val="right" w:leader="dot" w:pos="8306"/>
        </w:tabs>
      </w:pPr>
      <w:hyperlink w:anchor="_Toc4197" w:history="1">
        <w:r>
          <w:rPr>
            <w:rFonts w:ascii="仿宋" w:eastAsia="仿宋" w:hAnsi="仿宋" w:cs="仿宋" w:hint="eastAsia"/>
            <w:lang w:eastAsia="zh-CN"/>
          </w:rPr>
          <w:t>二、特异性动物源农药项目可持续发展</w:t>
        </w:r>
        <w:r>
          <w:tab/>
        </w:r>
        <w:r>
          <w:fldChar w:fldCharType="begin"/>
        </w:r>
        <w:r>
          <w:instrText xml:space="preserve"> PAGEREF _Toc4197 \h </w:instrText>
        </w:r>
        <w:r>
          <w:fldChar w:fldCharType="separate"/>
        </w:r>
        <w:r>
          <w:t>6</w:t>
        </w:r>
        <w:r>
          <w:fldChar w:fldCharType="end"/>
        </w:r>
      </w:hyperlink>
    </w:p>
    <w:p>
      <w:pPr>
        <w:pStyle w:val="TOC2"/>
        <w:tabs>
          <w:tab w:val="right" w:leader="dot" w:pos="8306"/>
        </w:tabs>
      </w:pPr>
      <w:hyperlink w:anchor="_Toc8497" w:history="1">
        <w:r>
          <w:rPr>
            <w:rFonts w:ascii="仿宋" w:eastAsia="仿宋" w:hAnsi="仿宋" w:cs="仿宋" w:hint="eastAsia"/>
            <w:lang w:eastAsia="zh-CN"/>
          </w:rPr>
          <w:t>(一)、可持续战略与实践</w:t>
        </w:r>
        <w:r>
          <w:tab/>
        </w:r>
        <w:r>
          <w:fldChar w:fldCharType="begin"/>
        </w:r>
        <w:r>
          <w:instrText xml:space="preserve"> PAGEREF _Toc8497 \h </w:instrText>
        </w:r>
        <w:r>
          <w:fldChar w:fldCharType="separate"/>
        </w:r>
        <w:r>
          <w:t>6</w:t>
        </w:r>
        <w:r>
          <w:fldChar w:fldCharType="end"/>
        </w:r>
      </w:hyperlink>
    </w:p>
    <w:p>
      <w:pPr>
        <w:pStyle w:val="TOC2"/>
        <w:tabs>
          <w:tab w:val="right" w:leader="dot" w:pos="8306"/>
        </w:tabs>
      </w:pPr>
      <w:hyperlink w:anchor="_Toc3349" w:history="1">
        <w:r>
          <w:rPr>
            <w:rFonts w:ascii="仿宋" w:eastAsia="仿宋" w:hAnsi="仿宋" w:cs="仿宋" w:hint="eastAsia"/>
            <w:lang w:eastAsia="zh-CN"/>
          </w:rPr>
          <w:t>(二)、环保与社会责任</w:t>
        </w:r>
        <w:r>
          <w:tab/>
        </w:r>
        <w:r>
          <w:fldChar w:fldCharType="begin"/>
        </w:r>
        <w:r>
          <w:instrText xml:space="preserve"> PAGEREF _Toc3349 \h </w:instrText>
        </w:r>
        <w:r>
          <w:fldChar w:fldCharType="separate"/>
        </w:r>
        <w:r>
          <w:t>6</w:t>
        </w:r>
        <w:r>
          <w:fldChar w:fldCharType="end"/>
        </w:r>
      </w:hyperlink>
    </w:p>
    <w:p>
      <w:pPr>
        <w:pStyle w:val="TOC1"/>
        <w:tabs>
          <w:tab w:val="right" w:leader="dot" w:pos="8306"/>
        </w:tabs>
      </w:pPr>
      <w:hyperlink w:anchor="_Toc13761" w:history="1">
        <w:r>
          <w:rPr>
            <w:rFonts w:ascii="仿宋" w:eastAsia="仿宋" w:hAnsi="仿宋" w:cs="仿宋" w:hint="eastAsia"/>
            <w:lang w:eastAsia="zh-CN"/>
          </w:rPr>
          <w:t>三、特异性动物源农药项目建设单位说明</w:t>
        </w:r>
        <w:r>
          <w:tab/>
        </w:r>
        <w:r>
          <w:fldChar w:fldCharType="begin"/>
        </w:r>
        <w:r>
          <w:instrText xml:space="preserve"> PAGEREF _Toc13761 \h </w:instrText>
        </w:r>
        <w:r>
          <w:fldChar w:fldCharType="separate"/>
        </w:r>
        <w:r>
          <w:t>7</w:t>
        </w:r>
        <w:r>
          <w:fldChar w:fldCharType="end"/>
        </w:r>
      </w:hyperlink>
    </w:p>
    <w:p>
      <w:pPr>
        <w:pStyle w:val="TOC2"/>
        <w:tabs>
          <w:tab w:val="right" w:leader="dot" w:pos="8306"/>
        </w:tabs>
      </w:pPr>
      <w:hyperlink w:anchor="_Toc24870" w:history="1">
        <w:r>
          <w:rPr>
            <w:rFonts w:ascii="仿宋" w:eastAsia="仿宋" w:hAnsi="仿宋" w:cs="仿宋" w:hint="eastAsia"/>
            <w:lang w:eastAsia="zh-CN"/>
          </w:rPr>
          <w:t>(一)、特异性动物源农药项目承办单位基本情况</w:t>
        </w:r>
        <w:r>
          <w:tab/>
        </w:r>
        <w:r>
          <w:fldChar w:fldCharType="begin"/>
        </w:r>
        <w:r>
          <w:instrText xml:space="preserve"> PAGEREF _Toc24870 \h </w:instrText>
        </w:r>
        <w:r>
          <w:fldChar w:fldCharType="separate"/>
        </w:r>
        <w:r>
          <w:t>7</w:t>
        </w:r>
        <w:r>
          <w:fldChar w:fldCharType="end"/>
        </w:r>
      </w:hyperlink>
    </w:p>
    <w:p>
      <w:pPr>
        <w:pStyle w:val="TOC2"/>
        <w:tabs>
          <w:tab w:val="right" w:leader="dot" w:pos="8306"/>
        </w:tabs>
      </w:pPr>
      <w:hyperlink w:anchor="_Toc28524" w:history="1">
        <w:r>
          <w:rPr>
            <w:rFonts w:ascii="仿宋" w:eastAsia="仿宋" w:hAnsi="仿宋" w:cs="仿宋" w:hint="eastAsia"/>
            <w:lang w:eastAsia="zh-CN"/>
          </w:rPr>
          <w:t>(二)、公司经济效益分析</w:t>
        </w:r>
        <w:r>
          <w:tab/>
        </w:r>
        <w:r>
          <w:fldChar w:fldCharType="begin"/>
        </w:r>
        <w:r>
          <w:instrText xml:space="preserve"> PAGEREF _Toc28524 \h </w:instrText>
        </w:r>
        <w:r>
          <w:fldChar w:fldCharType="separate"/>
        </w:r>
        <w:r>
          <w:t>8</w:t>
        </w:r>
        <w:r>
          <w:fldChar w:fldCharType="end"/>
        </w:r>
      </w:hyperlink>
    </w:p>
    <w:p>
      <w:pPr>
        <w:pStyle w:val="TOC1"/>
        <w:tabs>
          <w:tab w:val="right" w:leader="dot" w:pos="8306"/>
        </w:tabs>
      </w:pPr>
      <w:hyperlink w:anchor="_Toc20776" w:history="1">
        <w:r>
          <w:rPr>
            <w:rFonts w:ascii="仿宋" w:eastAsia="仿宋" w:hAnsi="仿宋" w:cs="仿宋" w:hint="eastAsia"/>
            <w:lang w:eastAsia="zh-CN"/>
          </w:rPr>
          <w:t>四、市场分析、调研</w:t>
        </w:r>
        <w:r>
          <w:tab/>
        </w:r>
        <w:r>
          <w:fldChar w:fldCharType="begin"/>
        </w:r>
        <w:r>
          <w:instrText xml:space="preserve"> PAGEREF _Toc20776 \h </w:instrText>
        </w:r>
        <w:r>
          <w:fldChar w:fldCharType="separate"/>
        </w:r>
        <w:r>
          <w:t>9</w:t>
        </w:r>
        <w:r>
          <w:fldChar w:fldCharType="end"/>
        </w:r>
      </w:hyperlink>
    </w:p>
    <w:p>
      <w:pPr>
        <w:pStyle w:val="TOC2"/>
        <w:tabs>
          <w:tab w:val="right" w:leader="dot" w:pos="8306"/>
        </w:tabs>
      </w:pPr>
      <w:hyperlink w:anchor="_Toc3200" w:history="1">
        <w:r>
          <w:rPr>
            <w:rFonts w:ascii="仿宋" w:eastAsia="仿宋" w:hAnsi="仿宋" w:cs="仿宋" w:hint="eastAsia"/>
            <w:lang w:eastAsia="zh-CN"/>
          </w:rPr>
          <w:t>(一)、特异性动物源农药行业分析</w:t>
        </w:r>
        <w:r>
          <w:tab/>
        </w:r>
        <w:r>
          <w:fldChar w:fldCharType="begin"/>
        </w:r>
        <w:r>
          <w:instrText xml:space="preserve"> PAGEREF _Toc3200 \h </w:instrText>
        </w:r>
        <w:r>
          <w:fldChar w:fldCharType="separate"/>
        </w:r>
        <w:r>
          <w:t>9</w:t>
        </w:r>
        <w:r>
          <w:fldChar w:fldCharType="end"/>
        </w:r>
      </w:hyperlink>
    </w:p>
    <w:p>
      <w:pPr>
        <w:pStyle w:val="TOC2"/>
        <w:tabs>
          <w:tab w:val="right" w:leader="dot" w:pos="8306"/>
        </w:tabs>
      </w:pPr>
      <w:hyperlink w:anchor="_Toc26178" w:history="1">
        <w:r>
          <w:rPr>
            <w:rFonts w:ascii="仿宋" w:eastAsia="仿宋" w:hAnsi="仿宋" w:cs="仿宋" w:hint="eastAsia"/>
            <w:lang w:eastAsia="zh-CN"/>
          </w:rPr>
          <w:t>(二)、特异性动物源农药市场分析预测</w:t>
        </w:r>
        <w:r>
          <w:tab/>
        </w:r>
        <w:r>
          <w:fldChar w:fldCharType="begin"/>
        </w:r>
        <w:r>
          <w:instrText xml:space="preserve"> PAGEREF _Toc26178 \h </w:instrText>
        </w:r>
        <w:r>
          <w:fldChar w:fldCharType="separate"/>
        </w:r>
        <w:r>
          <w:t>10</w:t>
        </w:r>
        <w:r>
          <w:fldChar w:fldCharType="end"/>
        </w:r>
      </w:hyperlink>
    </w:p>
    <w:p>
      <w:pPr>
        <w:pStyle w:val="TOC1"/>
        <w:tabs>
          <w:tab w:val="right" w:leader="dot" w:pos="8306"/>
        </w:tabs>
      </w:pPr>
      <w:hyperlink w:anchor="_Toc27982" w:history="1">
        <w:r>
          <w:rPr>
            <w:rFonts w:ascii="仿宋" w:eastAsia="仿宋" w:hAnsi="仿宋" w:cs="仿宋" w:hint="eastAsia"/>
            <w:lang w:eastAsia="zh-CN"/>
          </w:rPr>
          <w:t>五、特异性动物源农药项目选址可行性分析</w:t>
        </w:r>
        <w:r>
          <w:tab/>
        </w:r>
        <w:r>
          <w:fldChar w:fldCharType="begin"/>
        </w:r>
        <w:r>
          <w:instrText xml:space="preserve"> PAGEREF _Toc27982 \h </w:instrText>
        </w:r>
        <w:r>
          <w:fldChar w:fldCharType="separate"/>
        </w:r>
        <w:r>
          <w:t>11</w:t>
        </w:r>
        <w:r>
          <w:fldChar w:fldCharType="end"/>
        </w:r>
      </w:hyperlink>
    </w:p>
    <w:p>
      <w:pPr>
        <w:pStyle w:val="TOC2"/>
        <w:tabs>
          <w:tab w:val="right" w:leader="dot" w:pos="8306"/>
        </w:tabs>
      </w:pPr>
      <w:hyperlink w:anchor="_Toc13347" w:history="1">
        <w:r>
          <w:rPr>
            <w:rFonts w:ascii="仿宋" w:eastAsia="仿宋" w:hAnsi="仿宋" w:cs="仿宋" w:hint="eastAsia"/>
            <w:lang w:eastAsia="zh-CN"/>
          </w:rPr>
          <w:t>(一)、特异性动物源农药项目选址</w:t>
        </w:r>
        <w:r>
          <w:tab/>
        </w:r>
        <w:r>
          <w:fldChar w:fldCharType="begin"/>
        </w:r>
        <w:r>
          <w:instrText xml:space="preserve"> PAGEREF _Toc13347 \h </w:instrText>
        </w:r>
        <w:r>
          <w:fldChar w:fldCharType="separate"/>
        </w:r>
        <w:r>
          <w:t>11</w:t>
        </w:r>
        <w:r>
          <w:fldChar w:fldCharType="end"/>
        </w:r>
      </w:hyperlink>
    </w:p>
    <w:p>
      <w:pPr>
        <w:pStyle w:val="TOC2"/>
        <w:tabs>
          <w:tab w:val="right" w:leader="dot" w:pos="8306"/>
        </w:tabs>
      </w:pPr>
      <w:hyperlink w:anchor="_Toc16610" w:history="1">
        <w:r>
          <w:rPr>
            <w:rFonts w:ascii="仿宋" w:eastAsia="仿宋" w:hAnsi="仿宋" w:cs="仿宋" w:hint="eastAsia"/>
            <w:lang w:eastAsia="zh-CN"/>
          </w:rPr>
          <w:t>(二)、用地控制指标</w:t>
        </w:r>
        <w:r>
          <w:tab/>
        </w:r>
        <w:r>
          <w:fldChar w:fldCharType="begin"/>
        </w:r>
        <w:r>
          <w:instrText xml:space="preserve"> PAGEREF _Toc16610 \h </w:instrText>
        </w:r>
        <w:r>
          <w:fldChar w:fldCharType="separate"/>
        </w:r>
        <w:r>
          <w:t>11</w:t>
        </w:r>
        <w:r>
          <w:fldChar w:fldCharType="end"/>
        </w:r>
      </w:hyperlink>
    </w:p>
    <w:p>
      <w:pPr>
        <w:pStyle w:val="TOC2"/>
        <w:tabs>
          <w:tab w:val="right" w:leader="dot" w:pos="8306"/>
        </w:tabs>
      </w:pPr>
      <w:hyperlink w:anchor="_Toc22367" w:history="1">
        <w:r>
          <w:rPr>
            <w:rFonts w:ascii="仿宋" w:eastAsia="仿宋" w:hAnsi="仿宋" w:cs="仿宋" w:hint="eastAsia"/>
            <w:lang w:eastAsia="zh-CN"/>
          </w:rPr>
          <w:t>(三)、节约用地措施</w:t>
        </w:r>
        <w:r>
          <w:tab/>
        </w:r>
        <w:r>
          <w:fldChar w:fldCharType="begin"/>
        </w:r>
        <w:r>
          <w:instrText xml:space="preserve"> PAGEREF _Toc22367 \h </w:instrText>
        </w:r>
        <w:r>
          <w:fldChar w:fldCharType="separate"/>
        </w:r>
        <w:r>
          <w:t>13</w:t>
        </w:r>
        <w:r>
          <w:fldChar w:fldCharType="end"/>
        </w:r>
      </w:hyperlink>
    </w:p>
    <w:p>
      <w:pPr>
        <w:pStyle w:val="TOC2"/>
        <w:tabs>
          <w:tab w:val="right" w:leader="dot" w:pos="8306"/>
        </w:tabs>
      </w:pPr>
      <w:hyperlink w:anchor="_Toc31854" w:history="1">
        <w:r>
          <w:rPr>
            <w:rFonts w:ascii="仿宋" w:eastAsia="仿宋" w:hAnsi="仿宋" w:cs="仿宋" w:hint="eastAsia"/>
            <w:lang w:eastAsia="zh-CN"/>
          </w:rPr>
          <w:t>(四)、总图布置方案</w:t>
        </w:r>
        <w:r>
          <w:tab/>
        </w:r>
        <w:r>
          <w:fldChar w:fldCharType="begin"/>
        </w:r>
        <w:r>
          <w:instrText xml:space="preserve"> PAGEREF _Toc31854 \h </w:instrText>
        </w:r>
        <w:r>
          <w:fldChar w:fldCharType="separate"/>
        </w:r>
        <w:r>
          <w:t>14</w:t>
        </w:r>
        <w:r>
          <w:fldChar w:fldCharType="end"/>
        </w:r>
      </w:hyperlink>
    </w:p>
    <w:p>
      <w:pPr>
        <w:pStyle w:val="TOC2"/>
        <w:tabs>
          <w:tab w:val="right" w:leader="dot" w:pos="8306"/>
        </w:tabs>
      </w:pPr>
      <w:hyperlink w:anchor="_Toc14232" w:history="1">
        <w:r>
          <w:rPr>
            <w:rFonts w:ascii="仿宋" w:eastAsia="仿宋" w:hAnsi="仿宋" w:cs="仿宋" w:hint="eastAsia"/>
            <w:lang w:eastAsia="zh-CN"/>
          </w:rPr>
          <w:t>(五)、选址综合评价</w:t>
        </w:r>
        <w:r>
          <w:tab/>
        </w:r>
        <w:r>
          <w:fldChar w:fldCharType="begin"/>
        </w:r>
        <w:r>
          <w:instrText xml:space="preserve"> PAGEREF _Toc14232 \h </w:instrText>
        </w:r>
        <w:r>
          <w:fldChar w:fldCharType="separate"/>
        </w:r>
        <w:r>
          <w:t>15</w:t>
        </w:r>
        <w:r>
          <w:fldChar w:fldCharType="end"/>
        </w:r>
      </w:hyperlink>
    </w:p>
    <w:p>
      <w:pPr>
        <w:pStyle w:val="TOC1"/>
        <w:tabs>
          <w:tab w:val="right" w:leader="dot" w:pos="8306"/>
        </w:tabs>
      </w:pPr>
      <w:hyperlink w:anchor="_Toc6981" w:history="1">
        <w:r>
          <w:rPr>
            <w:rFonts w:ascii="仿宋" w:eastAsia="仿宋" w:hAnsi="仿宋" w:cs="仿宋" w:hint="eastAsia"/>
            <w:lang w:eastAsia="zh-CN"/>
          </w:rPr>
          <w:t>六、特异性动物源农药项目绩效评估</w:t>
        </w:r>
        <w:r>
          <w:tab/>
        </w:r>
        <w:r>
          <w:fldChar w:fldCharType="begin"/>
        </w:r>
        <w:r>
          <w:instrText xml:space="preserve"> PAGEREF _Toc6981 \h </w:instrText>
        </w:r>
        <w:r>
          <w:fldChar w:fldCharType="separate"/>
        </w:r>
        <w:r>
          <w:t>16</w:t>
        </w:r>
        <w:r>
          <w:fldChar w:fldCharType="end"/>
        </w:r>
      </w:hyperlink>
    </w:p>
    <w:p>
      <w:pPr>
        <w:pStyle w:val="TOC2"/>
        <w:tabs>
          <w:tab w:val="right" w:leader="dot" w:pos="8306"/>
        </w:tabs>
      </w:pPr>
      <w:hyperlink w:anchor="_Toc13360" w:history="1">
        <w:r>
          <w:rPr>
            <w:rFonts w:ascii="仿宋" w:eastAsia="仿宋" w:hAnsi="仿宋" w:cs="仿宋" w:hint="eastAsia"/>
            <w:lang w:eastAsia="zh-CN"/>
          </w:rPr>
          <w:t>(一)、绩效评估指标</w:t>
        </w:r>
        <w:r>
          <w:tab/>
        </w:r>
        <w:r>
          <w:fldChar w:fldCharType="begin"/>
        </w:r>
        <w:r>
          <w:instrText xml:space="preserve"> PAGEREF _Toc13360 \h </w:instrText>
        </w:r>
        <w:r>
          <w:fldChar w:fldCharType="separate"/>
        </w:r>
        <w:r>
          <w:t>16</w:t>
        </w:r>
        <w:r>
          <w:fldChar w:fldCharType="end"/>
        </w:r>
      </w:hyperlink>
    </w:p>
    <w:p>
      <w:pPr>
        <w:pStyle w:val="TOC2"/>
        <w:tabs>
          <w:tab w:val="right" w:leader="dot" w:pos="8306"/>
        </w:tabs>
      </w:pPr>
      <w:hyperlink w:anchor="_Toc21323" w:history="1">
        <w:r>
          <w:rPr>
            <w:rFonts w:ascii="仿宋" w:eastAsia="仿宋" w:hAnsi="仿宋" w:cs="仿宋" w:hint="eastAsia"/>
            <w:lang w:eastAsia="zh-CN"/>
          </w:rPr>
          <w:t>(二)、绩效评估方法</w:t>
        </w:r>
        <w:r>
          <w:tab/>
        </w:r>
        <w:r>
          <w:fldChar w:fldCharType="begin"/>
        </w:r>
        <w:r>
          <w:instrText xml:space="preserve"> PAGEREF _Toc21323 \h </w:instrText>
        </w:r>
        <w:r>
          <w:fldChar w:fldCharType="separate"/>
        </w:r>
        <w:r>
          <w:t>17</w:t>
        </w:r>
        <w:r>
          <w:fldChar w:fldCharType="end"/>
        </w:r>
      </w:hyperlink>
    </w:p>
    <w:p>
      <w:pPr>
        <w:pStyle w:val="TOC2"/>
        <w:tabs>
          <w:tab w:val="right" w:leader="dot" w:pos="8306"/>
        </w:tabs>
      </w:pPr>
      <w:hyperlink w:anchor="_Toc22359" w:history="1">
        <w:r>
          <w:rPr>
            <w:rFonts w:ascii="仿宋" w:eastAsia="仿宋" w:hAnsi="仿宋" w:cs="仿宋" w:hint="eastAsia"/>
            <w:lang w:eastAsia="zh-CN"/>
          </w:rPr>
          <w:t>(三)、绩效评估周期</w:t>
        </w:r>
        <w:r>
          <w:tab/>
        </w:r>
        <w:r>
          <w:fldChar w:fldCharType="begin"/>
        </w:r>
        <w:r>
          <w:instrText xml:space="preserve"> PAGEREF _Toc22359 \h </w:instrText>
        </w:r>
        <w:r>
          <w:fldChar w:fldCharType="separate"/>
        </w:r>
        <w:r>
          <w:t>18</w:t>
        </w:r>
        <w:r>
          <w:fldChar w:fldCharType="end"/>
        </w:r>
      </w:hyperlink>
    </w:p>
    <w:p>
      <w:pPr>
        <w:pStyle w:val="TOC1"/>
        <w:tabs>
          <w:tab w:val="right" w:leader="dot" w:pos="8306"/>
        </w:tabs>
      </w:pPr>
      <w:hyperlink w:anchor="_Toc2631" w:history="1">
        <w:r>
          <w:rPr>
            <w:rFonts w:ascii="仿宋" w:eastAsia="仿宋" w:hAnsi="仿宋" w:cs="仿宋" w:hint="eastAsia"/>
            <w:lang w:eastAsia="zh-CN"/>
          </w:rPr>
          <w:t>七、特异性动物源农药项目环境影响分析</w:t>
        </w:r>
        <w:r>
          <w:tab/>
        </w:r>
        <w:r>
          <w:fldChar w:fldCharType="begin"/>
        </w:r>
        <w:r>
          <w:instrText xml:space="preserve"> PAGEREF _Toc2631 \h </w:instrText>
        </w:r>
        <w:r>
          <w:fldChar w:fldCharType="separate"/>
        </w:r>
        <w:r>
          <w:t>20</w:t>
        </w:r>
        <w:r>
          <w:fldChar w:fldCharType="end"/>
        </w:r>
      </w:hyperlink>
    </w:p>
    <w:p>
      <w:pPr>
        <w:pStyle w:val="TOC2"/>
        <w:tabs>
          <w:tab w:val="right" w:leader="dot" w:pos="8306"/>
        </w:tabs>
      </w:pPr>
      <w:hyperlink w:anchor="_Toc19118" w:history="1">
        <w:r>
          <w:rPr>
            <w:rFonts w:ascii="仿宋" w:eastAsia="仿宋" w:hAnsi="仿宋" w:cs="仿宋" w:hint="eastAsia"/>
            <w:lang w:eastAsia="zh-CN"/>
          </w:rPr>
          <w:t>(一)、建设区域环境质量现状</w:t>
        </w:r>
        <w:r>
          <w:tab/>
        </w:r>
        <w:r>
          <w:fldChar w:fldCharType="begin"/>
        </w:r>
        <w:r>
          <w:instrText xml:space="preserve"> PAGEREF _Toc19118 \h </w:instrText>
        </w:r>
        <w:r>
          <w:fldChar w:fldCharType="separate"/>
        </w:r>
        <w:r>
          <w:t>20</w:t>
        </w:r>
        <w:r>
          <w:fldChar w:fldCharType="end"/>
        </w:r>
      </w:hyperlink>
    </w:p>
    <w:p>
      <w:pPr>
        <w:pStyle w:val="TOC2"/>
        <w:tabs>
          <w:tab w:val="right" w:leader="dot" w:pos="8306"/>
        </w:tabs>
      </w:pPr>
      <w:hyperlink w:anchor="_Toc31363" w:history="1">
        <w:r>
          <w:rPr>
            <w:rFonts w:ascii="仿宋" w:eastAsia="仿宋" w:hAnsi="仿宋" w:cs="仿宋" w:hint="eastAsia"/>
            <w:lang w:eastAsia="zh-CN"/>
          </w:rPr>
          <w:t>(二)、建设期环境保护</w:t>
        </w:r>
        <w:r>
          <w:tab/>
        </w:r>
        <w:r>
          <w:fldChar w:fldCharType="begin"/>
        </w:r>
        <w:r>
          <w:instrText xml:space="preserve"> PAGEREF _Toc31363 \h </w:instrText>
        </w:r>
        <w:r>
          <w:fldChar w:fldCharType="separate"/>
        </w:r>
        <w:r>
          <w:t>21</w:t>
        </w:r>
        <w:r>
          <w:fldChar w:fldCharType="end"/>
        </w:r>
      </w:hyperlink>
    </w:p>
    <w:p>
      <w:pPr>
        <w:pStyle w:val="TOC2"/>
        <w:tabs>
          <w:tab w:val="right" w:leader="dot" w:pos="8306"/>
        </w:tabs>
      </w:pPr>
      <w:hyperlink w:anchor="_Toc25047" w:history="1">
        <w:r>
          <w:rPr>
            <w:rFonts w:ascii="仿宋" w:eastAsia="仿宋" w:hAnsi="仿宋" w:cs="仿宋" w:hint="eastAsia"/>
            <w:lang w:eastAsia="zh-CN"/>
          </w:rPr>
          <w:t>(三)、运营期环境保护</w:t>
        </w:r>
        <w:r>
          <w:tab/>
        </w:r>
        <w:r>
          <w:fldChar w:fldCharType="begin"/>
        </w:r>
        <w:r>
          <w:instrText xml:space="preserve"> PAGEREF _Toc25047 \h </w:instrText>
        </w:r>
        <w:r>
          <w:fldChar w:fldCharType="separate"/>
        </w:r>
        <w:r>
          <w:t>22</w:t>
        </w:r>
        <w:r>
          <w:fldChar w:fldCharType="end"/>
        </w:r>
      </w:hyperlink>
    </w:p>
    <w:p>
      <w:pPr>
        <w:pStyle w:val="TOC2"/>
        <w:tabs>
          <w:tab w:val="right" w:leader="dot" w:pos="8306"/>
        </w:tabs>
      </w:pPr>
      <w:hyperlink w:anchor="_Toc10644" w:history="1">
        <w:r>
          <w:rPr>
            <w:rFonts w:ascii="仿宋" w:eastAsia="仿宋" w:hAnsi="仿宋" w:cs="仿宋" w:hint="eastAsia"/>
            <w:lang w:eastAsia="zh-CN"/>
          </w:rPr>
          <w:t>(四)、特异性动物源农药项目建设对区域经济的影响</w:t>
        </w:r>
        <w:r>
          <w:tab/>
        </w:r>
        <w:r>
          <w:fldChar w:fldCharType="begin"/>
        </w:r>
        <w:r>
          <w:instrText xml:space="preserve"> PAGEREF _Toc10644 \h </w:instrText>
        </w:r>
        <w:r>
          <w:fldChar w:fldCharType="separate"/>
        </w:r>
        <w:r>
          <w:t>24</w:t>
        </w:r>
        <w:r>
          <w:fldChar w:fldCharType="end"/>
        </w:r>
      </w:hyperlink>
    </w:p>
    <w:p>
      <w:pPr>
        <w:pStyle w:val="TOC2"/>
        <w:tabs>
          <w:tab w:val="right" w:leader="dot" w:pos="8306"/>
        </w:tabs>
      </w:pPr>
      <w:hyperlink w:anchor="_Toc29349" w:history="1">
        <w:r>
          <w:rPr>
            <w:rFonts w:ascii="仿宋" w:eastAsia="仿宋" w:hAnsi="仿宋" w:cs="仿宋" w:hint="eastAsia"/>
            <w:lang w:eastAsia="zh-CN"/>
          </w:rPr>
          <w:t>(五)、废弃物处理</w:t>
        </w:r>
        <w:r>
          <w:tab/>
        </w:r>
        <w:r>
          <w:fldChar w:fldCharType="begin"/>
        </w:r>
        <w:r>
          <w:instrText xml:space="preserve"> PAGEREF _Toc29349 \h </w:instrText>
        </w:r>
        <w:r>
          <w:fldChar w:fldCharType="separate"/>
        </w:r>
        <w:r>
          <w:t>26</w:t>
        </w:r>
        <w:r>
          <w:fldChar w:fldCharType="end"/>
        </w:r>
      </w:hyperlink>
    </w:p>
    <w:p>
      <w:pPr>
        <w:pStyle w:val="TOC2"/>
        <w:tabs>
          <w:tab w:val="right" w:leader="dot" w:pos="8306"/>
        </w:tabs>
      </w:pPr>
      <w:hyperlink w:anchor="_Toc10822" w:history="1">
        <w:r>
          <w:rPr>
            <w:rFonts w:ascii="仿宋" w:eastAsia="仿宋" w:hAnsi="仿宋" w:cs="仿宋" w:hint="eastAsia"/>
            <w:lang w:eastAsia="zh-CN"/>
          </w:rPr>
          <w:t>(六)、特殊环境影响分析</w:t>
        </w:r>
        <w:r>
          <w:tab/>
        </w:r>
        <w:r>
          <w:fldChar w:fldCharType="begin"/>
        </w:r>
        <w:r>
          <w:instrText xml:space="preserve"> PAGEREF _Toc10822 \h </w:instrText>
        </w:r>
        <w:r>
          <w:fldChar w:fldCharType="separate"/>
        </w:r>
        <w:r>
          <w:t>27</w:t>
        </w:r>
        <w:r>
          <w:fldChar w:fldCharType="end"/>
        </w:r>
      </w:hyperlink>
    </w:p>
    <w:p>
      <w:pPr>
        <w:pStyle w:val="TOC2"/>
        <w:tabs>
          <w:tab w:val="right" w:leader="dot" w:pos="8306"/>
        </w:tabs>
      </w:pPr>
      <w:hyperlink w:anchor="_Toc12247" w:history="1">
        <w:r>
          <w:rPr>
            <w:rFonts w:ascii="仿宋" w:eastAsia="仿宋" w:hAnsi="仿宋" w:cs="仿宋" w:hint="eastAsia"/>
            <w:lang w:eastAsia="zh-CN"/>
          </w:rPr>
          <w:t>(七)、清洁生产</w:t>
        </w:r>
        <w:r>
          <w:tab/>
        </w:r>
        <w:r>
          <w:fldChar w:fldCharType="begin"/>
        </w:r>
        <w:r>
          <w:instrText xml:space="preserve"> PAGEREF _Toc12247 \h </w:instrText>
        </w:r>
        <w:r>
          <w:fldChar w:fldCharType="separate"/>
        </w:r>
        <w:r>
          <w:t>28</w:t>
        </w:r>
        <w:r>
          <w:fldChar w:fldCharType="end"/>
        </w:r>
      </w:hyperlink>
    </w:p>
    <w:p>
      <w:pPr>
        <w:pStyle w:val="TOC2"/>
        <w:tabs>
          <w:tab w:val="right" w:leader="dot" w:pos="8306"/>
        </w:tabs>
      </w:pPr>
      <w:hyperlink w:anchor="_Toc11004" w:history="1">
        <w:r>
          <w:rPr>
            <w:rFonts w:ascii="仿宋" w:eastAsia="仿宋" w:hAnsi="仿宋" w:cs="仿宋" w:hint="eastAsia"/>
            <w:lang w:eastAsia="zh-CN"/>
          </w:rPr>
          <w:t>(八)、环境保护综合评价</w:t>
        </w:r>
        <w:r>
          <w:tab/>
        </w:r>
        <w:r>
          <w:fldChar w:fldCharType="begin"/>
        </w:r>
        <w:r>
          <w:instrText xml:space="preserve"> PAGEREF _Toc11004 \h </w:instrText>
        </w:r>
        <w:r>
          <w:fldChar w:fldCharType="separate"/>
        </w:r>
        <w:r>
          <w:t>29</w:t>
        </w:r>
        <w:r>
          <w:fldChar w:fldCharType="end"/>
        </w:r>
      </w:hyperlink>
    </w:p>
    <w:p>
      <w:pPr>
        <w:pStyle w:val="TOC1"/>
        <w:tabs>
          <w:tab w:val="right" w:leader="dot" w:pos="8306"/>
        </w:tabs>
      </w:pPr>
      <w:hyperlink w:anchor="_Toc8819" w:history="1">
        <w:r>
          <w:rPr>
            <w:rFonts w:ascii="仿宋" w:eastAsia="仿宋" w:hAnsi="仿宋" w:cs="仿宋" w:hint="eastAsia"/>
            <w:lang w:eastAsia="zh-CN"/>
          </w:rPr>
          <w:t>八、特异性动物源农药项目创新与研发</w:t>
        </w:r>
        <w:r>
          <w:tab/>
        </w:r>
        <w:r>
          <w:fldChar w:fldCharType="begin"/>
        </w:r>
        <w:r>
          <w:instrText xml:space="preserve"> PAGEREF _Toc8819 \h </w:instrText>
        </w:r>
        <w:r>
          <w:fldChar w:fldCharType="separate"/>
        </w:r>
        <w:r>
          <w:t>31</w:t>
        </w:r>
        <w:r>
          <w:fldChar w:fldCharType="end"/>
        </w:r>
      </w:hyperlink>
    </w:p>
    <w:p>
      <w:pPr>
        <w:pStyle w:val="TOC2"/>
        <w:tabs>
          <w:tab w:val="right" w:leader="dot" w:pos="8306"/>
        </w:tabs>
      </w:pPr>
      <w:hyperlink w:anchor="_Toc7177" w:history="1">
        <w:r>
          <w:rPr>
            <w:rFonts w:ascii="仿宋" w:eastAsia="仿宋" w:hAnsi="仿宋" w:cs="仿宋" w:hint="eastAsia"/>
            <w:lang w:eastAsia="zh-CN"/>
          </w:rPr>
          <w:t>(一)、创新策略与方向</w:t>
        </w:r>
        <w:r>
          <w:tab/>
        </w:r>
        <w:r>
          <w:fldChar w:fldCharType="begin"/>
        </w:r>
        <w:r>
          <w:instrText xml:space="preserve"> PAGEREF _Toc7177 \h </w:instrText>
        </w:r>
        <w:r>
          <w:fldChar w:fldCharType="separate"/>
        </w:r>
        <w:r>
          <w:t>31</w:t>
        </w:r>
        <w:r>
          <w:fldChar w:fldCharType="end"/>
        </w:r>
      </w:hyperlink>
    </w:p>
    <w:p>
      <w:pPr>
        <w:pStyle w:val="TOC2"/>
        <w:tabs>
          <w:tab w:val="right" w:leader="dot" w:pos="8306"/>
        </w:tabs>
      </w:pPr>
      <w:hyperlink w:anchor="_Toc32580" w:history="1">
        <w:r>
          <w:rPr>
            <w:rFonts w:ascii="仿宋" w:eastAsia="仿宋" w:hAnsi="仿宋" w:cs="仿宋" w:hint="eastAsia"/>
            <w:lang w:eastAsia="zh-CN"/>
          </w:rPr>
          <w:t>(二)、研发规划与投入</w:t>
        </w:r>
        <w:r>
          <w:tab/>
        </w:r>
        <w:r>
          <w:fldChar w:fldCharType="begin"/>
        </w:r>
        <w:r>
          <w:instrText xml:space="preserve"> PAGEREF _Toc32580 \h </w:instrText>
        </w:r>
        <w:r>
          <w:fldChar w:fldCharType="separate"/>
        </w:r>
        <w:r>
          <w:t>32</w:t>
        </w:r>
        <w:r>
          <w:fldChar w:fldCharType="end"/>
        </w:r>
      </w:hyperlink>
    </w:p>
    <w:p>
      <w:pPr>
        <w:pStyle w:val="TOC1"/>
        <w:tabs>
          <w:tab w:val="right" w:leader="dot" w:pos="8306"/>
        </w:tabs>
      </w:pPr>
      <w:hyperlink w:anchor="_Toc21961" w:history="1">
        <w:r>
          <w:rPr>
            <w:rFonts w:ascii="仿宋" w:eastAsia="仿宋" w:hAnsi="仿宋" w:cs="仿宋" w:hint="eastAsia"/>
            <w:lang w:eastAsia="zh-CN"/>
          </w:rPr>
          <w:t>九、特异性动物源农药项目经营效益</w:t>
        </w:r>
        <w:r>
          <w:tab/>
        </w:r>
        <w:r>
          <w:fldChar w:fldCharType="begin"/>
        </w:r>
        <w:r>
          <w:instrText xml:space="preserve"> PAGEREF _Toc21961 \h </w:instrText>
        </w:r>
        <w:r>
          <w:fldChar w:fldCharType="separate"/>
        </w:r>
        <w:r>
          <w:t>34</w:t>
        </w:r>
        <w:r>
          <w:fldChar w:fldCharType="end"/>
        </w:r>
      </w:hyperlink>
    </w:p>
    <w:p>
      <w:pPr>
        <w:pStyle w:val="TOC2"/>
        <w:tabs>
          <w:tab w:val="right" w:leader="dot" w:pos="8306"/>
        </w:tabs>
      </w:pPr>
      <w:hyperlink w:anchor="_Toc16652" w:history="1">
        <w:r>
          <w:rPr>
            <w:rFonts w:ascii="仿宋" w:eastAsia="仿宋" w:hAnsi="仿宋" w:cs="仿宋" w:hint="eastAsia"/>
            <w:lang w:eastAsia="zh-CN"/>
          </w:rPr>
          <w:t>(一)、经济评价财务测算</w:t>
        </w:r>
        <w:r>
          <w:tab/>
        </w:r>
        <w:r>
          <w:fldChar w:fldCharType="begin"/>
        </w:r>
        <w:r>
          <w:instrText xml:space="preserve"> PAGEREF _Toc16652 \h </w:instrText>
        </w:r>
        <w:r>
          <w:fldChar w:fldCharType="separate"/>
        </w:r>
        <w:r>
          <w:t>34</w:t>
        </w:r>
        <w:r>
          <w:fldChar w:fldCharType="end"/>
        </w:r>
      </w:hyperlink>
    </w:p>
    <w:p>
      <w:pPr>
        <w:pStyle w:val="TOC2"/>
        <w:tabs>
          <w:tab w:val="right" w:leader="dot" w:pos="8306"/>
        </w:tabs>
      </w:pPr>
      <w:hyperlink w:anchor="_Toc9343" w:history="1">
        <w:r>
          <w:rPr>
            <w:rFonts w:ascii="仿宋" w:eastAsia="仿宋" w:hAnsi="仿宋" w:cs="仿宋" w:hint="eastAsia"/>
            <w:lang w:eastAsia="zh-CN"/>
          </w:rPr>
          <w:t>(二)、特异性动物源农药项目盈利能力分析</w:t>
        </w:r>
        <w:r>
          <w:tab/>
        </w:r>
        <w:r>
          <w:fldChar w:fldCharType="begin"/>
        </w:r>
        <w:r>
          <w:instrText xml:space="preserve"> PAGEREF _Toc9343 \h </w:instrText>
        </w:r>
        <w:r>
          <w:fldChar w:fldCharType="separate"/>
        </w:r>
        <w:r>
          <w:t>35</w:t>
        </w:r>
        <w:r>
          <w:fldChar w:fldCharType="end"/>
        </w:r>
      </w:hyperlink>
    </w:p>
    <w:p>
      <w:pPr>
        <w:pStyle w:val="TOC1"/>
        <w:tabs>
          <w:tab w:val="right" w:leader="dot" w:pos="8306"/>
        </w:tabs>
      </w:pPr>
      <w:hyperlink w:anchor="_Toc30046" w:history="1">
        <w:r>
          <w:rPr>
            <w:rFonts w:ascii="仿宋" w:eastAsia="仿宋" w:hAnsi="仿宋" w:cs="仿宋" w:hint="eastAsia"/>
            <w:lang w:eastAsia="zh-CN"/>
          </w:rPr>
          <w:t>十、生产安全保护</w:t>
        </w:r>
        <w:r>
          <w:tab/>
        </w:r>
        <w:r>
          <w:fldChar w:fldCharType="begin"/>
        </w:r>
        <w:r>
          <w:instrText xml:space="preserve"> PAGEREF _Toc30046 \h </w:instrText>
        </w:r>
        <w:r>
          <w:fldChar w:fldCharType="separate"/>
        </w:r>
        <w:r>
          <w:t>36</w:t>
        </w:r>
        <w:r>
          <w:fldChar w:fldCharType="end"/>
        </w:r>
      </w:hyperlink>
    </w:p>
    <w:p>
      <w:pPr>
        <w:pStyle w:val="TOC2"/>
        <w:tabs>
          <w:tab w:val="right" w:leader="dot" w:pos="8306"/>
        </w:tabs>
      </w:pPr>
      <w:hyperlink w:anchor="_Toc4175" w:history="1">
        <w:r>
          <w:rPr>
            <w:rFonts w:ascii="仿宋" w:eastAsia="仿宋" w:hAnsi="仿宋" w:cs="仿宋" w:hint="eastAsia"/>
            <w:lang w:eastAsia="zh-CN"/>
          </w:rPr>
          <w:t>(一)、消防安全</w:t>
        </w:r>
        <w:r>
          <w:tab/>
        </w:r>
        <w:r>
          <w:fldChar w:fldCharType="begin"/>
        </w:r>
        <w:r>
          <w:instrText xml:space="preserve"> PAGEREF _Toc4175 \h </w:instrText>
        </w:r>
        <w:r>
          <w:fldChar w:fldCharType="separate"/>
        </w:r>
        <w:r>
          <w:t>36</w:t>
        </w:r>
        <w:r>
          <w:fldChar w:fldCharType="end"/>
        </w:r>
      </w:hyperlink>
    </w:p>
    <w:p>
      <w:pPr>
        <w:pStyle w:val="TOC2"/>
        <w:tabs>
          <w:tab w:val="right" w:leader="dot" w:pos="8306"/>
        </w:tabs>
      </w:pPr>
      <w:hyperlink w:anchor="_Toc22850" w:history="1">
        <w:r>
          <w:rPr>
            <w:rFonts w:ascii="仿宋" w:eastAsia="仿宋" w:hAnsi="仿宋" w:cs="仿宋" w:hint="eastAsia"/>
            <w:lang w:eastAsia="zh-CN"/>
          </w:rPr>
          <w:t>(二)、防火防爆总图布置措施</w:t>
        </w:r>
        <w:r>
          <w:tab/>
        </w:r>
        <w:r>
          <w:fldChar w:fldCharType="begin"/>
        </w:r>
        <w:r>
          <w:instrText xml:space="preserve"> PAGEREF _Toc22850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93" w:history="1">
        <w:r>
          <w:rPr>
            <w:rFonts w:ascii="仿宋" w:eastAsia="仿宋" w:hAnsi="仿宋" w:cs="仿宋" w:hint="eastAsia"/>
            <w:lang w:eastAsia="zh-CN"/>
          </w:rPr>
          <w:t>(三)、自然灾害防范措施</w:t>
        </w:r>
        <w:r>
          <w:tab/>
        </w:r>
        <w:r>
          <w:fldChar w:fldCharType="begin"/>
        </w:r>
        <w:r>
          <w:instrText xml:space="preserve"> PAGEREF _Toc10693 \h </w:instrText>
        </w:r>
        <w:r>
          <w:fldChar w:fldCharType="separate"/>
        </w:r>
        <w:r>
          <w:t>39</w:t>
        </w:r>
        <w:r>
          <w:fldChar w:fldCharType="end"/>
        </w:r>
      </w:hyperlink>
    </w:p>
    <w:p>
      <w:pPr>
        <w:pStyle w:val="TOC2"/>
        <w:tabs>
          <w:tab w:val="right" w:leader="dot" w:pos="8306"/>
        </w:tabs>
      </w:pPr>
      <w:hyperlink w:anchor="_Toc3095" w:history="1">
        <w:r>
          <w:rPr>
            <w:rFonts w:ascii="仿宋" w:eastAsia="仿宋" w:hAnsi="仿宋" w:cs="仿宋" w:hint="eastAsia"/>
            <w:lang w:eastAsia="zh-CN"/>
          </w:rPr>
          <w:t>(四)、安全色及安全标志使用要求</w:t>
        </w:r>
        <w:r>
          <w:tab/>
        </w:r>
        <w:r>
          <w:fldChar w:fldCharType="begin"/>
        </w:r>
        <w:r>
          <w:instrText xml:space="preserve"> PAGEREF _Toc3095 \h </w:instrText>
        </w:r>
        <w:r>
          <w:fldChar w:fldCharType="separate"/>
        </w:r>
        <w:r>
          <w:t>40</w:t>
        </w:r>
        <w:r>
          <w:fldChar w:fldCharType="end"/>
        </w:r>
      </w:hyperlink>
    </w:p>
    <w:p>
      <w:pPr>
        <w:pStyle w:val="TOC2"/>
        <w:tabs>
          <w:tab w:val="right" w:leader="dot" w:pos="8306"/>
        </w:tabs>
      </w:pPr>
      <w:hyperlink w:anchor="_Toc10180" w:history="1">
        <w:r>
          <w:rPr>
            <w:rFonts w:ascii="仿宋" w:eastAsia="仿宋" w:hAnsi="仿宋" w:cs="仿宋" w:hint="eastAsia"/>
            <w:lang w:eastAsia="zh-CN"/>
          </w:rPr>
          <w:t>(五)、防尘防毒措施</w:t>
        </w:r>
        <w:r>
          <w:tab/>
        </w:r>
        <w:r>
          <w:fldChar w:fldCharType="begin"/>
        </w:r>
        <w:r>
          <w:instrText xml:space="preserve"> PAGEREF _Toc10180 \h </w:instrText>
        </w:r>
        <w:r>
          <w:fldChar w:fldCharType="separate"/>
        </w:r>
        <w:r>
          <w:t>41</w:t>
        </w:r>
        <w:r>
          <w:fldChar w:fldCharType="end"/>
        </w:r>
      </w:hyperlink>
    </w:p>
    <w:p>
      <w:pPr>
        <w:pStyle w:val="TOC2"/>
        <w:tabs>
          <w:tab w:val="right" w:leader="dot" w:pos="8306"/>
        </w:tabs>
      </w:pPr>
      <w:hyperlink w:anchor="_Toc4676" w:history="1">
        <w:r>
          <w:rPr>
            <w:rFonts w:ascii="仿宋" w:eastAsia="仿宋" w:hAnsi="仿宋" w:cs="仿宋" w:hint="eastAsia"/>
            <w:lang w:eastAsia="zh-CN"/>
          </w:rPr>
          <w:t>(六)、防静电、触电防护及防雷措施</w:t>
        </w:r>
        <w:r>
          <w:tab/>
        </w:r>
        <w:r>
          <w:fldChar w:fldCharType="begin"/>
        </w:r>
        <w:r>
          <w:instrText xml:space="preserve"> PAGEREF _Toc4676 \h </w:instrText>
        </w:r>
        <w:r>
          <w:fldChar w:fldCharType="separate"/>
        </w:r>
        <w:r>
          <w:t>42</w:t>
        </w:r>
        <w:r>
          <w:fldChar w:fldCharType="end"/>
        </w:r>
      </w:hyperlink>
    </w:p>
    <w:p>
      <w:pPr>
        <w:pStyle w:val="TOC2"/>
        <w:tabs>
          <w:tab w:val="right" w:leader="dot" w:pos="8306"/>
        </w:tabs>
      </w:pPr>
      <w:hyperlink w:anchor="_Toc18909" w:history="1">
        <w:r>
          <w:rPr>
            <w:rFonts w:ascii="仿宋" w:eastAsia="仿宋" w:hAnsi="仿宋" w:cs="仿宋" w:hint="eastAsia"/>
            <w:lang w:eastAsia="zh-CN"/>
          </w:rPr>
          <w:t>(七)、机械设备安全保障措施</w:t>
        </w:r>
        <w:r>
          <w:tab/>
        </w:r>
        <w:r>
          <w:fldChar w:fldCharType="begin"/>
        </w:r>
        <w:r>
          <w:instrText xml:space="preserve"> PAGEREF _Toc18909 \h </w:instrText>
        </w:r>
        <w:r>
          <w:fldChar w:fldCharType="separate"/>
        </w:r>
        <w:r>
          <w:t>43</w:t>
        </w:r>
        <w:r>
          <w:fldChar w:fldCharType="end"/>
        </w:r>
      </w:hyperlink>
    </w:p>
    <w:p>
      <w:pPr>
        <w:pStyle w:val="TOC1"/>
        <w:tabs>
          <w:tab w:val="right" w:leader="dot" w:pos="8306"/>
        </w:tabs>
      </w:pPr>
      <w:hyperlink w:anchor="_Toc28347" w:history="1">
        <w:r>
          <w:rPr>
            <w:rFonts w:ascii="仿宋" w:eastAsia="仿宋" w:hAnsi="仿宋" w:cs="仿宋" w:hint="eastAsia"/>
            <w:lang w:eastAsia="zh-CN"/>
          </w:rPr>
          <w:t>十一、特异性动物源农药项目投资规划</w:t>
        </w:r>
        <w:r>
          <w:tab/>
        </w:r>
        <w:r>
          <w:fldChar w:fldCharType="begin"/>
        </w:r>
        <w:r>
          <w:instrText xml:space="preserve"> PAGEREF _Toc28347 \h </w:instrText>
        </w:r>
        <w:r>
          <w:fldChar w:fldCharType="separate"/>
        </w:r>
        <w:r>
          <w:t>44</w:t>
        </w:r>
        <w:r>
          <w:fldChar w:fldCharType="end"/>
        </w:r>
      </w:hyperlink>
    </w:p>
    <w:p>
      <w:pPr>
        <w:pStyle w:val="TOC2"/>
        <w:tabs>
          <w:tab w:val="right" w:leader="dot" w:pos="8306"/>
        </w:tabs>
      </w:pPr>
      <w:hyperlink w:anchor="_Toc19026" w:history="1">
        <w:r>
          <w:rPr>
            <w:rFonts w:ascii="仿宋" w:eastAsia="仿宋" w:hAnsi="仿宋" w:cs="仿宋" w:hint="eastAsia"/>
            <w:lang w:eastAsia="zh-CN"/>
          </w:rPr>
          <w:t>(一)、特异性动物源农药项目总投资估算</w:t>
        </w:r>
        <w:r>
          <w:tab/>
        </w:r>
        <w:r>
          <w:fldChar w:fldCharType="begin"/>
        </w:r>
        <w:r>
          <w:instrText xml:space="preserve"> PAGEREF _Toc19026 \h </w:instrText>
        </w:r>
        <w:r>
          <w:fldChar w:fldCharType="separate"/>
        </w:r>
        <w:r>
          <w:t>44</w:t>
        </w:r>
        <w:r>
          <w:fldChar w:fldCharType="end"/>
        </w:r>
      </w:hyperlink>
    </w:p>
    <w:p>
      <w:pPr>
        <w:pStyle w:val="TOC2"/>
        <w:tabs>
          <w:tab w:val="right" w:leader="dot" w:pos="8306"/>
        </w:tabs>
      </w:pPr>
      <w:hyperlink w:anchor="_Toc4452" w:history="1">
        <w:r>
          <w:rPr>
            <w:rFonts w:ascii="仿宋" w:eastAsia="仿宋" w:hAnsi="仿宋" w:cs="仿宋" w:hint="eastAsia"/>
            <w:lang w:eastAsia="zh-CN"/>
          </w:rPr>
          <w:t>(二)、资金筹措</w:t>
        </w:r>
        <w:r>
          <w:tab/>
        </w:r>
        <w:r>
          <w:fldChar w:fldCharType="begin"/>
        </w:r>
        <w:r>
          <w:instrText xml:space="preserve"> PAGEREF _Toc4452 \h </w:instrText>
        </w:r>
        <w:r>
          <w:fldChar w:fldCharType="separate"/>
        </w:r>
        <w:r>
          <w:t>46</w:t>
        </w:r>
        <w:r>
          <w:fldChar w:fldCharType="end"/>
        </w:r>
      </w:hyperlink>
    </w:p>
    <w:p>
      <w:pPr>
        <w:pStyle w:val="TOC1"/>
        <w:tabs>
          <w:tab w:val="right" w:leader="dot" w:pos="8306"/>
        </w:tabs>
      </w:pPr>
      <w:hyperlink w:anchor="_Toc17757" w:history="1">
        <w:r>
          <w:rPr>
            <w:rFonts w:ascii="仿宋" w:eastAsia="仿宋" w:hAnsi="仿宋" w:cs="仿宋" w:hint="eastAsia"/>
            <w:lang w:eastAsia="zh-CN"/>
          </w:rPr>
          <w:t>十二、特异性动物源农药项目人力资源培养与发展</w:t>
        </w:r>
        <w:r>
          <w:tab/>
        </w:r>
        <w:r>
          <w:fldChar w:fldCharType="begin"/>
        </w:r>
        <w:r>
          <w:instrText xml:space="preserve"> PAGEREF _Toc17757 \h </w:instrText>
        </w:r>
        <w:r>
          <w:fldChar w:fldCharType="separate"/>
        </w:r>
        <w:r>
          <w:t>46</w:t>
        </w:r>
        <w:r>
          <w:fldChar w:fldCharType="end"/>
        </w:r>
      </w:hyperlink>
    </w:p>
    <w:p>
      <w:pPr>
        <w:pStyle w:val="TOC2"/>
        <w:tabs>
          <w:tab w:val="right" w:leader="dot" w:pos="8306"/>
        </w:tabs>
      </w:pPr>
      <w:hyperlink w:anchor="_Toc2518" w:history="1">
        <w:r>
          <w:rPr>
            <w:rFonts w:ascii="仿宋" w:eastAsia="仿宋" w:hAnsi="仿宋" w:cs="仿宋" w:hint="eastAsia"/>
            <w:lang w:eastAsia="zh-CN"/>
          </w:rPr>
          <w:t>(一)、人才需求与规划</w:t>
        </w:r>
        <w:r>
          <w:tab/>
        </w:r>
        <w:r>
          <w:fldChar w:fldCharType="begin"/>
        </w:r>
        <w:r>
          <w:instrText xml:space="preserve"> PAGEREF _Toc2518 \h </w:instrText>
        </w:r>
        <w:r>
          <w:fldChar w:fldCharType="separate"/>
        </w:r>
        <w:r>
          <w:t>46</w:t>
        </w:r>
        <w:r>
          <w:fldChar w:fldCharType="end"/>
        </w:r>
      </w:hyperlink>
    </w:p>
    <w:p>
      <w:pPr>
        <w:pStyle w:val="TOC2"/>
        <w:tabs>
          <w:tab w:val="right" w:leader="dot" w:pos="8306"/>
        </w:tabs>
      </w:pPr>
      <w:hyperlink w:anchor="_Toc26475" w:history="1">
        <w:r>
          <w:rPr>
            <w:rFonts w:ascii="仿宋" w:eastAsia="仿宋" w:hAnsi="仿宋" w:cs="仿宋" w:hint="eastAsia"/>
            <w:lang w:eastAsia="zh-CN"/>
          </w:rPr>
          <w:t>(二)、培训与发展计划</w:t>
        </w:r>
        <w:r>
          <w:tab/>
        </w:r>
        <w:r>
          <w:fldChar w:fldCharType="begin"/>
        </w:r>
        <w:r>
          <w:instrText xml:space="preserve"> PAGEREF _Toc26475 \h </w:instrText>
        </w:r>
        <w:r>
          <w:fldChar w:fldCharType="separate"/>
        </w:r>
        <w:r>
          <w:t>47</w:t>
        </w:r>
        <w:r>
          <w:fldChar w:fldCharType="end"/>
        </w:r>
      </w:hyperlink>
    </w:p>
    <w:p>
      <w:pPr>
        <w:pStyle w:val="TOC1"/>
        <w:tabs>
          <w:tab w:val="right" w:leader="dot" w:pos="8306"/>
        </w:tabs>
      </w:pPr>
      <w:hyperlink w:anchor="_Toc10525" w:history="1">
        <w:r>
          <w:rPr>
            <w:rFonts w:ascii="仿宋" w:eastAsia="仿宋" w:hAnsi="仿宋" w:cs="仿宋" w:hint="eastAsia"/>
            <w:lang w:eastAsia="zh-CN"/>
          </w:rPr>
          <w:t>十三、风险识别与分类</w:t>
        </w:r>
        <w:r>
          <w:tab/>
        </w:r>
        <w:r>
          <w:fldChar w:fldCharType="begin"/>
        </w:r>
        <w:r>
          <w:instrText xml:space="preserve"> PAGEREF _Toc10525 \h </w:instrText>
        </w:r>
        <w:r>
          <w:fldChar w:fldCharType="separate"/>
        </w:r>
        <w:r>
          <w:t>48</w:t>
        </w:r>
        <w:r>
          <w:fldChar w:fldCharType="end"/>
        </w:r>
      </w:hyperlink>
    </w:p>
    <w:p>
      <w:pPr>
        <w:pStyle w:val="TOC2"/>
        <w:tabs>
          <w:tab w:val="right" w:leader="dot" w:pos="8306"/>
        </w:tabs>
      </w:pPr>
      <w:hyperlink w:anchor="_Toc616" w:history="1">
        <w:r>
          <w:rPr>
            <w:rFonts w:ascii="仿宋" w:eastAsia="仿宋" w:hAnsi="仿宋" w:cs="仿宋" w:hint="eastAsia"/>
            <w:lang w:eastAsia="zh-CN"/>
          </w:rPr>
          <w:t>(一)、风险识别</w:t>
        </w:r>
        <w:r>
          <w:tab/>
        </w:r>
        <w:r>
          <w:fldChar w:fldCharType="begin"/>
        </w:r>
        <w:r>
          <w:instrText xml:space="preserve"> PAGEREF _Toc616 \h </w:instrText>
        </w:r>
        <w:r>
          <w:fldChar w:fldCharType="separate"/>
        </w:r>
        <w:r>
          <w:t>48</w:t>
        </w:r>
        <w:r>
          <w:fldChar w:fldCharType="end"/>
        </w:r>
      </w:hyperlink>
    </w:p>
    <w:p>
      <w:pPr>
        <w:pStyle w:val="TOC2"/>
        <w:tabs>
          <w:tab w:val="right" w:leader="dot" w:pos="8306"/>
        </w:tabs>
      </w:pPr>
      <w:hyperlink w:anchor="_Toc21075" w:history="1">
        <w:r>
          <w:rPr>
            <w:rFonts w:ascii="仿宋" w:eastAsia="仿宋" w:hAnsi="仿宋" w:cs="仿宋" w:hint="eastAsia"/>
            <w:lang w:eastAsia="zh-CN"/>
          </w:rPr>
          <w:t>(二)、风险分类</w:t>
        </w:r>
        <w:r>
          <w:tab/>
        </w:r>
        <w:r>
          <w:fldChar w:fldCharType="begin"/>
        </w:r>
        <w:r>
          <w:instrText xml:space="preserve"> PAGEREF _Toc21075 \h </w:instrText>
        </w:r>
        <w:r>
          <w:fldChar w:fldCharType="separate"/>
        </w:r>
        <w:r>
          <w:t>49</w:t>
        </w:r>
        <w:r>
          <w:fldChar w:fldCharType="end"/>
        </w:r>
      </w:hyperlink>
    </w:p>
    <w:p>
      <w:pPr>
        <w:pStyle w:val="TOC1"/>
        <w:tabs>
          <w:tab w:val="right" w:leader="dot" w:pos="8306"/>
        </w:tabs>
      </w:pPr>
      <w:hyperlink w:anchor="_Toc27229" w:history="1">
        <w:r>
          <w:rPr>
            <w:rFonts w:ascii="仿宋" w:eastAsia="仿宋" w:hAnsi="仿宋" w:cs="仿宋" w:hint="eastAsia"/>
            <w:lang w:eastAsia="zh-CN"/>
          </w:rPr>
          <w:t>十四、特异性动物源农药项目治理与监督</w:t>
        </w:r>
        <w:r>
          <w:tab/>
        </w:r>
        <w:r>
          <w:fldChar w:fldCharType="begin"/>
        </w:r>
        <w:r>
          <w:instrText xml:space="preserve"> PAGEREF _Toc27229 \h </w:instrText>
        </w:r>
        <w:r>
          <w:fldChar w:fldCharType="separate"/>
        </w:r>
        <w:r>
          <w:t>51</w:t>
        </w:r>
        <w:r>
          <w:fldChar w:fldCharType="end"/>
        </w:r>
      </w:hyperlink>
    </w:p>
    <w:p>
      <w:pPr>
        <w:pStyle w:val="TOC2"/>
        <w:tabs>
          <w:tab w:val="right" w:leader="dot" w:pos="8306"/>
        </w:tabs>
      </w:pPr>
      <w:hyperlink w:anchor="_Toc31060" w:history="1">
        <w:r>
          <w:rPr>
            <w:rFonts w:ascii="仿宋" w:eastAsia="仿宋" w:hAnsi="仿宋" w:cs="仿宋" w:hint="eastAsia"/>
            <w:lang w:eastAsia="zh-CN"/>
          </w:rPr>
          <w:t>(一)、特异性动物源农药项目治理结构</w:t>
        </w:r>
        <w:r>
          <w:tab/>
        </w:r>
        <w:r>
          <w:fldChar w:fldCharType="begin"/>
        </w:r>
        <w:r>
          <w:instrText xml:space="preserve"> PAGEREF _Toc31060 \h </w:instrText>
        </w:r>
        <w:r>
          <w:fldChar w:fldCharType="separate"/>
        </w:r>
        <w:r>
          <w:t>51</w:t>
        </w:r>
        <w:r>
          <w:fldChar w:fldCharType="end"/>
        </w:r>
      </w:hyperlink>
    </w:p>
    <w:p>
      <w:pPr>
        <w:pStyle w:val="TOC2"/>
        <w:tabs>
          <w:tab w:val="right" w:leader="dot" w:pos="8306"/>
        </w:tabs>
      </w:pPr>
      <w:hyperlink w:anchor="_Toc15326" w:history="1">
        <w:r>
          <w:rPr>
            <w:rFonts w:ascii="仿宋" w:eastAsia="仿宋" w:hAnsi="仿宋" w:cs="仿宋" w:hint="eastAsia"/>
            <w:lang w:eastAsia="zh-CN"/>
          </w:rPr>
          <w:t>(二)、监督与审计</w:t>
        </w:r>
        <w:r>
          <w:tab/>
        </w:r>
        <w:r>
          <w:fldChar w:fldCharType="begin"/>
        </w:r>
        <w:r>
          <w:instrText xml:space="preserve"> PAGEREF _Toc15326 \h </w:instrText>
        </w:r>
        <w:r>
          <w:fldChar w:fldCharType="separate"/>
        </w:r>
        <w:r>
          <w:t>53</w:t>
        </w:r>
        <w:r>
          <w:fldChar w:fldCharType="end"/>
        </w:r>
      </w:hyperlink>
    </w:p>
    <w:p>
      <w:pPr>
        <w:pStyle w:val="TOC1"/>
        <w:tabs>
          <w:tab w:val="right" w:leader="dot" w:pos="8306"/>
        </w:tabs>
      </w:pPr>
      <w:hyperlink w:anchor="_Toc2017" w:history="1">
        <w:r>
          <w:rPr>
            <w:rFonts w:ascii="仿宋" w:eastAsia="仿宋" w:hAnsi="仿宋" w:cs="仿宋" w:hint="eastAsia"/>
            <w:lang w:eastAsia="zh-CN"/>
          </w:rPr>
          <w:t>十五、供应链管理</w:t>
        </w:r>
        <w:r>
          <w:tab/>
        </w:r>
        <w:r>
          <w:fldChar w:fldCharType="begin"/>
        </w:r>
        <w:r>
          <w:instrText xml:space="preserve"> PAGEREF _Toc2017 \h </w:instrText>
        </w:r>
        <w:r>
          <w:fldChar w:fldCharType="separate"/>
        </w:r>
        <w:r>
          <w:t>54</w:t>
        </w:r>
        <w:r>
          <w:fldChar w:fldCharType="end"/>
        </w:r>
      </w:hyperlink>
    </w:p>
    <w:p>
      <w:pPr>
        <w:pStyle w:val="TOC2"/>
        <w:tabs>
          <w:tab w:val="right" w:leader="dot" w:pos="8306"/>
        </w:tabs>
      </w:pPr>
      <w:hyperlink w:anchor="_Toc806" w:history="1">
        <w:r>
          <w:rPr>
            <w:rFonts w:ascii="仿宋" w:eastAsia="仿宋" w:hAnsi="仿宋" w:cs="仿宋" w:hint="eastAsia"/>
            <w:lang w:eastAsia="zh-CN"/>
          </w:rPr>
          <w:t>(一)、供应链战略规划</w:t>
        </w:r>
        <w:r>
          <w:tab/>
        </w:r>
        <w:r>
          <w:fldChar w:fldCharType="begin"/>
        </w:r>
        <w:r>
          <w:instrText xml:space="preserve"> PAGEREF _Toc806 \h </w:instrText>
        </w:r>
        <w:r>
          <w:fldChar w:fldCharType="separate"/>
        </w:r>
        <w:r>
          <w:t>54</w:t>
        </w:r>
        <w:r>
          <w:fldChar w:fldCharType="end"/>
        </w:r>
      </w:hyperlink>
    </w:p>
    <w:p>
      <w:pPr>
        <w:pStyle w:val="TOC2"/>
        <w:tabs>
          <w:tab w:val="right" w:leader="dot" w:pos="8306"/>
        </w:tabs>
      </w:pPr>
      <w:hyperlink w:anchor="_Toc25822" w:history="1">
        <w:r>
          <w:rPr>
            <w:rFonts w:ascii="仿宋" w:eastAsia="仿宋" w:hAnsi="仿宋" w:cs="仿宋" w:hint="eastAsia"/>
            <w:lang w:eastAsia="zh-CN"/>
          </w:rPr>
          <w:t>(二)、供应商选择与合作</w:t>
        </w:r>
        <w:r>
          <w:tab/>
        </w:r>
        <w:r>
          <w:fldChar w:fldCharType="begin"/>
        </w:r>
        <w:r>
          <w:instrText xml:space="preserve"> PAGEREF _Toc25822 \h </w:instrText>
        </w:r>
        <w:r>
          <w:fldChar w:fldCharType="separate"/>
        </w:r>
        <w:r>
          <w:t>55</w:t>
        </w:r>
        <w:r>
          <w:fldChar w:fldCharType="end"/>
        </w:r>
      </w:hyperlink>
    </w:p>
    <w:p>
      <w:pPr>
        <w:pStyle w:val="TOC2"/>
        <w:tabs>
          <w:tab w:val="right" w:leader="dot" w:pos="8306"/>
        </w:tabs>
      </w:pPr>
      <w:hyperlink w:anchor="_Toc12496" w:history="1">
        <w:r>
          <w:rPr>
            <w:rFonts w:ascii="仿宋" w:eastAsia="仿宋" w:hAnsi="仿宋" w:cs="仿宋" w:hint="eastAsia"/>
            <w:lang w:eastAsia="zh-CN"/>
          </w:rPr>
          <w:t>(三)、物流与库存管理</w:t>
        </w:r>
        <w:r>
          <w:tab/>
        </w:r>
        <w:r>
          <w:fldChar w:fldCharType="begin"/>
        </w:r>
        <w:r>
          <w:instrText xml:space="preserve"> PAGEREF _Toc12496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79"/>
      <w:r>
        <w:rPr>
          <w:rFonts w:ascii="仿宋" w:eastAsia="仿宋" w:hAnsi="仿宋" w:cs="仿宋" w:hint="eastAsia"/>
          <w:sz w:val="28"/>
          <w:lang w:eastAsia="zh-CN"/>
        </w:rPr>
        <w:t>一、特异性动物源农药项目危机管理</w:t>
      </w:r>
      <w:bookmarkEnd w:id="2"/>
    </w:p>
    <w:p>
      <w:pPr>
        <w:pStyle w:val="Heading2"/>
        <w:rPr>
          <w:rFonts w:ascii="仿宋" w:eastAsia="仿宋" w:hAnsi="仿宋" w:cs="仿宋" w:hint="eastAsia"/>
          <w:lang w:eastAsia="zh-CN"/>
        </w:rPr>
      </w:pPr>
      <w:bookmarkStart w:id="3" w:name="_Toc2546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特异性动物源农药项目危机管理中，危机预警与识别是确保特异性动物源农药项目稳健运行的核心步骤。通过建立全面的监测机制，特异性动物源农药项目团队旨在及时发现和理解潜在的风险和危机因素，以便采取及时的预防和应对措施，确保特异性动物源农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特异性动物源农药项目团队全面分析了整个特异性动物源农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特异性动物源农药项目团队着重于明确定义特异性动物源农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特异性动物源农药项目进展的持续监控，团队能够及时发现潜在问题并作出迅速反应。特异性动物源农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在这一阶段，团队的专业素养和反应速度将发挥至关重要的作用，以确保潜在危机能够在初期得到有效的处理，最大程度地减轻负面影响。通过危机预警与识别，特异性动物源农药项目得以更有序、可控地推进。</w:t>
      </w:r>
    </w:p>
    <w:p>
      <w:pPr>
        <w:pStyle w:val="Heading2"/>
        <w:ind w:firstLine="560" w:firstLineChars="200"/>
        <w:rPr>
          <w:rFonts w:ascii="仿宋" w:eastAsia="仿宋" w:hAnsi="仿宋" w:cs="仿宋" w:hint="eastAsia"/>
          <w:sz w:val="28"/>
          <w:lang w:eastAsia="zh-CN"/>
        </w:rPr>
      </w:pPr>
      <w:bookmarkStart w:id="4" w:name="_Toc49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在危机发生时，特异性动物源农药项目团队立即行动，成立了应急小组。该小组的任务是迅速制定并实施紧急应对措施，以最小化潜在损失。以下是采取的主要措施：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暂停特异性动物源农药项目进度：为遏制危机蔓延，特异性动物源农药项目暂时停止进行，以便全面评估当前状况。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资源重新分配：重新评估特异性动物源农药项目资源的分配，确保最大限度地减小损失。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实时沟通：与关键利益相关者建立实时沟通机制，向他们传递特异性动物源农药项目危机的实际状况，保障特异性动物源农药项目核心利益。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在紧急应对的同时，特异性动物源农药项目团队强调了团队协作和有效沟通的重要性。以下是团队协作的关键举措：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信息共享机制：建立了信息共享平台，确保团队成员能够及时获取特异性动物源农药项目危机的实时信息。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领导者沟通：特异性动物源农药项目领导者通过定期会议和即时沟通工具，指导团队应对危机，保持团队稳定运行。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随着危机得到初步控制，特异性动物源农药项目团队转向制定恢复计划，以确保特异性动物源农药项目能够从中迅速恢复。主要恢复计划包括：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修复受损的进度计划：重新评估特异性动物源农药项目进度，制定修复计划，确保特异性动物源农药项目尽快回归正常进程。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重新调整资源分配：优化资源分配，确保特异性动物源农药项目在有限资源下高效运转。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风险管理机制加强：对特异性动物源农药项目风险进行全面评估，制定更强化的风险管理策略，以预防未来可能的危机。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197"/>
      <w:r>
        <w:rPr>
          <w:rFonts w:ascii="仿宋" w:eastAsia="仿宋" w:hAnsi="仿宋" w:cs="仿宋" w:hint="eastAsia"/>
          <w:sz w:val="28"/>
          <w:lang w:eastAsia="zh-CN"/>
        </w:rPr>
        <w:t>二、特异性动物源农药项目可持续发展</w:t>
      </w:r>
      <w:bookmarkEnd w:id="5"/>
    </w:p>
    <w:p>
      <w:pPr>
        <w:pStyle w:val="Heading2"/>
        <w:rPr>
          <w:rFonts w:ascii="仿宋" w:eastAsia="仿宋" w:hAnsi="仿宋" w:cs="仿宋" w:hint="eastAsia"/>
          <w:lang w:eastAsia="zh-CN"/>
        </w:rPr>
      </w:pPr>
      <w:bookmarkStart w:id="6" w:name="_Toc849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异性动物源农药项目中，特异性动物源农药项目团队着眼于未来，明确了可持续发展的战略方向。制定的具体可持续发展目标包括降低资源使用、采用环保技术、最大化社会效益等。这一步骤不仅有助于特异性动物源农药项目在环保和社会责任方面达到最高标准，也为未来提供了明确的指引，确保特异性动物源农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可持续实践的融入特异性动物源农药项目管理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异性动物源农药项目管理周期。从特异性动物源农药项目规划开始，特异性动物源农药项目团队就考虑了环境和社会的因素。在执行阶段，特异性动物源农药项目团队积极推动绿色技术的应用，优化资源利用。此外，关注员工的社会责任，通过培训和沟通活动提高员工对可持续发展的认知，使他们能够在日常工作中践行可持续实践。这些举措不仅为特异性动物源农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34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异性动物源农药项目的可持续发展理念，我们深信环保与社会责任是特异性动物源农药项目成功的关键支柱。在特异性动物源农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团队通过引入先进的环保技术、建立高效的废物处理系统以及推动能源节约措施，积极履行环保责任。定期的环保监测和评估确保特异性动物源农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不仅致力于自身可持续发展，还注重对社会的回馈。通过支持社区特异性动物源农药项目、参与慈善事业、提供培训机会等方式，特异性动物源农药项目积极履行社会责任。与当地社区建立积极互动，关注员工的工作与生活平衡，以及员工的身心健康，是特异性动物源农药项目在社会责任层面的关键举措。这样的实践不仅增强了特异性动物源农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3761"/>
      <w:r>
        <w:rPr>
          <w:rFonts w:ascii="仿宋" w:eastAsia="仿宋" w:hAnsi="仿宋" w:cs="仿宋" w:hint="eastAsia"/>
          <w:sz w:val="28"/>
          <w:lang w:eastAsia="zh-CN"/>
        </w:rPr>
        <w:t>三、特异性动物源农药项目建设单位说明</w:t>
      </w:r>
      <w:bookmarkEnd w:id="8"/>
    </w:p>
    <w:p>
      <w:pPr>
        <w:pStyle w:val="Heading2"/>
        <w:rPr>
          <w:rFonts w:ascii="仿宋" w:eastAsia="仿宋" w:hAnsi="仿宋" w:cs="仿宋" w:hint="eastAsia"/>
          <w:lang w:eastAsia="zh-CN"/>
        </w:rPr>
      </w:pPr>
      <w:bookmarkStart w:id="9" w:name="_Toc24870"/>
      <w:r>
        <w:rPr>
          <w:rFonts w:ascii="仿宋" w:eastAsia="仿宋" w:hAnsi="仿宋" w:cs="仿宋" w:hint="eastAsia"/>
          <w:lang w:eastAsia="zh-CN"/>
        </w:rPr>
        <w:t>(一)、特异性动物源农药项目承办单位基本情况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852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异性动物源农药项目承办单位的XXXX，我们着眼于实现可持续的经济效益。通过技术创新和解决方案的提供，公司预计在特异性动物源农药项目执行期间将获得可观的收入增长。这一收入来源主要包括特异性动物源农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同时，我们注重成本控制和效率提升，以确保特异性动物源农药项目的可持续盈利。透过精细的管理和资源优化，公司期望实现特异性动物源农药项目利润最大化。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异性动物源农药项目实施进行全面的投资评估，包括特异性动物源农药项目启动阶段的资金投入和后续运营成本。通过对特异性动物源农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异性动物源农药项目实施过程中具备足够的资金流动性，公司将进行详尽的现金流分析。这包括资金需求的合理预测、特异性动物源农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0776"/>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3200"/>
      <w:r>
        <w:rPr>
          <w:rFonts w:ascii="仿宋" w:eastAsia="仿宋" w:hAnsi="仿宋" w:cs="仿宋" w:hint="eastAsia"/>
          <w:lang w:eastAsia="zh-CN"/>
        </w:rPr>
        <w:t>(一)、特异性动物源农药行业分析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行业一直以来都是市场的关注焦点。行业内的发展趋势、竞争态势以及潜在机会都对特异性动物源农药项目的推进产生深远的影响。通过深入研究行业的整体概貌，我们将更好地理解行业的核心特征，为特异性动物源农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异性动物源农药行业，技术一直是推动创新和发展的关键因素。我们将对当前技术趋势进行详尽分析，包括但不限于人工智能、大数据应用、先进制造技术等。这有助于特异性动物源农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异性动物源农药项目成功的基础。我们将对主要竞争对手进行深入研究，包括其市场份额、产品特点、市场定位等。通过全面了解竞争对手的优势和劣势，特异性动物源农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6178"/>
      <w:r>
        <w:rPr>
          <w:rFonts w:ascii="仿宋" w:eastAsia="仿宋" w:hAnsi="仿宋" w:cs="仿宋" w:hint="eastAsia"/>
          <w:sz w:val="28"/>
          <w:lang w:eastAsia="zh-CN"/>
        </w:rPr>
        <w:t>(二)、特异性动物源农药市场分析预测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异性动物源农药市场未来的增长趋势。这包括市场的整体规模、各细分领域的发展趋势等。特异性动物源农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异性动物源农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特异性动物源农药项目实施过程中需要充分考虑的因素。我们将对市场风险进行全面评估，包括但不限于政策法规风险、市场竞争风险、技术变革风险等。通过对潜在风险的深入分析，特异性动物源农药项目可以制定相应的风险缓解策略，降低不确定性对特异性动物源农药项目的影响。</w:t>
      </w:r>
    </w:p>
    <w:p>
      <w:pPr>
        <w:pStyle w:val="Heading1"/>
        <w:ind w:firstLine="560" w:firstLineChars="200"/>
        <w:rPr>
          <w:rFonts w:ascii="仿宋" w:eastAsia="仿宋" w:hAnsi="仿宋" w:cs="仿宋" w:hint="eastAsia"/>
          <w:sz w:val="28"/>
          <w:lang w:eastAsia="zh-CN"/>
        </w:rPr>
      </w:pPr>
      <w:bookmarkStart w:id="14" w:name="_Toc27982"/>
      <w:r>
        <w:rPr>
          <w:rFonts w:ascii="仿宋" w:eastAsia="仿宋" w:hAnsi="仿宋" w:cs="仿宋" w:hint="eastAsia"/>
          <w:sz w:val="28"/>
          <w:lang w:eastAsia="zh-CN"/>
        </w:rPr>
        <w:t>五、特异性动物源农药项目选址可行性分析</w:t>
      </w:r>
      <w:bookmarkEnd w:id="14"/>
    </w:p>
    <w:p>
      <w:pPr>
        <w:pStyle w:val="Heading2"/>
        <w:rPr>
          <w:rFonts w:ascii="仿宋" w:eastAsia="仿宋" w:hAnsi="仿宋" w:cs="仿宋" w:hint="eastAsia"/>
          <w:lang w:eastAsia="zh-CN"/>
        </w:rPr>
      </w:pPr>
      <w:bookmarkStart w:id="15" w:name="_Toc13347"/>
      <w:r>
        <w:rPr>
          <w:rFonts w:ascii="仿宋" w:eastAsia="仿宋" w:hAnsi="仿宋" w:cs="仿宋" w:hint="eastAsia"/>
          <w:lang w:eastAsia="zh-CN"/>
        </w:rPr>
        <w:t>(一)、特异性动物源农药项目选址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该特异性动物源农药项目选址位于XX省XX市XX区XXX街道</w:t>
      </w:r>
    </w:p>
    <w:p>
      <w:pPr>
        <w:pStyle w:val="Heading2"/>
        <w:ind w:firstLine="560" w:firstLineChars="200"/>
        <w:rPr>
          <w:rFonts w:ascii="仿宋" w:eastAsia="仿宋" w:hAnsi="仿宋" w:cs="仿宋" w:hint="eastAsia"/>
          <w:sz w:val="28"/>
          <w:lang w:eastAsia="zh-CN"/>
        </w:rPr>
      </w:pPr>
      <w:bookmarkStart w:id="16" w:name="_Toc16610"/>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异性动物源农药项目的征地面积将根据特异性动物源农药项目的实际规模和需求进行精确规划。具体面积XXX平方米，旨在确保特异性动物源农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净用地面积是在征地面积基础上去除不可利用面积后的实际可开发用地。具体面积XXX平方米，考虑到环保、交通、安全等多方面因素，以确保特异性动物源农药项目在整体利用效率上达到最优。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特异性动物源农药项目计划建设的建筑总规模具体面积XXX平方米。这一规模的确定综合考虑了特异性动物源农药项目的性质、规模，以及城市规划的相关要求，确保建筑布局与周边环境协调一致。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绿地率： 绿地率是特异性动物源农药项目用地中被规划为绿地的比例。具体面积XXX平方米，旨在通过合理规划绿地，改善特异性动物源农药项目周边环境，提升居民生活质量，并符合城市整体绿化规划。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容积率是用地上可以建设的建筑总体积与用地面积之比。具体面积XXX，通过合理的容积率规划，确保特异性动物源农药项目建筑规模与周边环境和谐共生。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异性动物源农药项目选址与当地城市规划相一致，具体面积XXX平方米。通过与城市规划部门深入沟通，确保特异性动物源农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异性动物源农药项目选址符合当地产业政策，具体面积XXX平方米。这包括特异性动物源农药项目对当地经济的促进作用，以及对相关产业的带动效应，确保特异性动物源农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用地总体要求必须符合环保和可持续发展的原则，具体面积XXX平方米。通过采用绿色建筑设计、节能减排等措施，确保特异性动物源农药项目在建设和运营过程中对环境的影响最小化，达到可持续发展的要求。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确保特异性动物源农药项目选址具备必要的公共设施配套，具体面积XXX平方米。这包括交通便利性、教育、医疗等基础设施，以提高居民生活品质，使得特异性动物源农药项目选址更具吸引力。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考虑用地总体要求对当地社会稳定性的影响，具体面积XXX平方米。通过深入了解当地社区反馈，确保特异性动物源农药项目的选址和建设过程对当地社会和谐稳定产生积极作用。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异性动物源农药项目选址不仅符合法规和规划，还在实际操作中具有可行性。这一全面规划将为特异性动物源农药项目的成功实施提供坚实的基础，确保特异性动物源农药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2367"/>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异性动物源农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在特异性动物源农药项目的设备规划和空间设计中，我们将采取灵活设备布局的措施。设备布局将根据实际需求进行灵活设计，避免不必要的浪费。通过合理规划设备摆放位置，我们将提高设备的利用率，减少设备间距，以确保特异性动物源农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特异性动物源农药项目内部引入共享设施的概念，例如共享会议室、办公区等。通过这种方式，我们可以减少对资源的重复建设，提高资源共享效率，从而减小特异性动物源农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1854"/>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特异性动物源农药项目的总图布置中，我们将不同功能区域进行明确的规划，以最大程度满足特异性动物源农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4232"/>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特异性动物源农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特异性动物源农药项目对环境的影响是综合评价的重要因素之一。我们将详细考虑选址周边的自然环境、生态保护区、水源地等情况，确保特异性动物源农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对选址的评价还需充分考虑当地政府的产业政策和法规。我们将详细了解特异性动物源农药项目所在地的相关政策，确保特异性动物源农药项目的规划和运营与当地法规相符，降低不必要的法律风险。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考虑到社会稳定性对企业运营的重要性，我们将评估选址地区的社会安全情况、劳工关系、社区反馈等方面，以确保特异性动物源农药项目的建设和运营不会受到社会稳定性的负面影响。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最后，我们将综合考虑用地成本，包括土地购置费用、土地开发成本等。通过对用地成本的详细评估，我们能够做出更为精确的经济效益分析，为特异性动物源农药项目的投资决策提供有力支持。</w:t>
      </w:r>
    </w:p>
    <w:p>
      <w:pPr>
        <w:pStyle w:val="Heading1"/>
        <w:ind w:firstLine="560" w:firstLineChars="200"/>
        <w:rPr>
          <w:rFonts w:ascii="仿宋" w:eastAsia="仿宋" w:hAnsi="仿宋" w:cs="仿宋" w:hint="eastAsia"/>
          <w:sz w:val="28"/>
          <w:lang w:eastAsia="zh-CN"/>
        </w:rPr>
      </w:pPr>
      <w:bookmarkStart w:id="20" w:name="_Toc6981"/>
      <w:r>
        <w:rPr>
          <w:rFonts w:ascii="仿宋" w:eastAsia="仿宋" w:hAnsi="仿宋" w:cs="仿宋" w:hint="eastAsia"/>
          <w:sz w:val="28"/>
          <w:lang w:eastAsia="zh-CN"/>
        </w:rPr>
        <w:t>六、特异性动物源农药项目绩效评估</w:t>
      </w:r>
      <w:bookmarkEnd w:id="20"/>
    </w:p>
    <w:p>
      <w:pPr>
        <w:pStyle w:val="Heading2"/>
        <w:rPr>
          <w:rFonts w:ascii="仿宋" w:eastAsia="仿宋" w:hAnsi="仿宋" w:cs="仿宋" w:hint="eastAsia"/>
          <w:lang w:eastAsia="zh-CN"/>
        </w:rPr>
      </w:pPr>
      <w:bookmarkStart w:id="21" w:name="_Toc13360"/>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特异性动物源农药项目中，我们设计了一套全面的绩效评估指标，以确保特异性动物源农药项目的可控和成功交付。这些指标跨足特异性动物源农药项目目标、成本、进度和质量等多个维度，为我们提供了全面洞察特异性动物源农药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https://d.book118.com/838066121050006025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A04D6F"/>
    <w:rsid w:val="1CA04D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6612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2024-01-10T05:22:00Z</dcterms:created>
  <dcterms:modified xsi:type="dcterms:W3CDTF">2024-01-10T05:23:00Z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C14E13E376D648E59620697D38A4BB33_11</vt:lpwstr>
  </property>
  <property fmtid="{D5CDD505-2E9C-101B-9397-08002B2CF9AE}" pid="3" name="KSOProductBuildVer">
    <vt:lpwstr>2052-12.1.0.16120</vt:lpwstr>
  </property>
</Properties>
</file>