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POM再生料行业企业战略风险管理报告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9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_Toc9929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二、POM再生料项目土建工程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三、国际目标市场选择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0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四、POM再生料知识产权管理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5" w:history="1">
        <w:r>
          <w:rPr>
            <w:rFonts w:ascii="仿宋" w:eastAsia="仿宋" w:hAnsi="仿宋" w:cs="仿宋" w:hint="eastAsia"/>
            <w:lang w:eastAsia="zh-CN"/>
          </w:rPr>
          <w:t>五、POM再生料投资管理策略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9" w:history="1">
        <w:r>
          <w:rPr>
            <w:rFonts w:ascii="仿宋" w:eastAsia="仿宋" w:hAnsi="仿宋" w:cs="仿宋" w:hint="eastAsia"/>
            <w:lang w:eastAsia="zh-CN"/>
          </w:rPr>
          <w:t>(一)、POM再生料投资估算主要内容</w:t>
        </w:r>
        <w:r>
          <w:tab/>
        </w:r>
        <w:r>
          <w:fldChar w:fldCharType="begin"/>
        </w:r>
        <w:r>
          <w:instrText xml:space="preserve"> PAGEREF _Toc28409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(二)、POM再生料设备购置投资费用管理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(三)、POM再生料装修施工投资费用管理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(四)、POM再生料流动资金管理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六、战略风险的识别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5" w:history="1">
        <w:r>
          <w:rPr>
            <w:rFonts w:ascii="仿宋" w:eastAsia="仿宋" w:hAnsi="仿宋" w:cs="仿宋" w:hint="eastAsia"/>
            <w:lang w:eastAsia="zh-CN"/>
          </w:rPr>
          <w:t>(一)、POM再生料行业企业在确定愿景及使命时的风险识别</w:t>
        </w:r>
        <w:r>
          <w:tab/>
        </w:r>
        <w:r>
          <w:fldChar w:fldCharType="begin"/>
        </w:r>
        <w:r>
          <w:instrText xml:space="preserve"> PAGEREF _Toc30635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(二)、制定POM再生料行业企业战略目标的风险识别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(三)、POM再生料行业企业战略分析的风险识别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6" w:history="1">
        <w:r>
          <w:rPr>
            <w:rFonts w:ascii="仿宋" w:eastAsia="仿宋" w:hAnsi="仿宋" w:cs="仿宋" w:hint="eastAsia"/>
            <w:lang w:eastAsia="zh-CN"/>
          </w:rPr>
          <w:t>(四)、POM再生料行业企业战略选择的风险识别</w:t>
        </w:r>
        <w:r>
          <w:tab/>
        </w:r>
        <w:r>
          <w:fldChar w:fldCharType="begin"/>
        </w:r>
        <w:r>
          <w:instrText xml:space="preserve"> PAGEREF _Toc7606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(五)、POM再生料行业企业战略实施的风险识别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七、人力资源分析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6" w:history="1">
        <w:r>
          <w:rPr>
            <w:rFonts w:ascii="仿宋" w:eastAsia="仿宋" w:hAnsi="仿宋" w:cs="仿宋" w:hint="eastAsia"/>
            <w:lang w:eastAsia="zh-CN"/>
          </w:rPr>
          <w:t>八、安全督查与监测</w:t>
        </w:r>
        <w:r>
          <w:tab/>
        </w:r>
        <w:r>
          <w:fldChar w:fldCharType="begin"/>
        </w:r>
        <w:r>
          <w:instrText xml:space="preserve"> PAGEREF _Toc29226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4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_Toc7704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6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_Toc14286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十二、风险评估与应对策略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eastAsia="zh-CN"/>
          </w:rPr>
          <w:t>(一)、POM再生料项目风险分析</w:t>
        </w:r>
        <w:r>
          <w:tab/>
        </w:r>
        <w:r>
          <w:fldChar w:fldCharType="begin"/>
        </w:r>
        <w:r>
          <w:instrText xml:space="preserve"> PAGEREF _Toc17795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8" w:history="1">
        <w:r>
          <w:rPr>
            <w:rFonts w:ascii="仿宋" w:eastAsia="仿宋" w:hAnsi="仿宋" w:cs="仿宋" w:hint="eastAsia"/>
            <w:lang w:eastAsia="zh-CN"/>
          </w:rPr>
          <w:t>十三、风险管理与应急预案</w:t>
        </w:r>
        <w:r>
          <w:tab/>
        </w:r>
        <w:r>
          <w:fldChar w:fldCharType="begin"/>
        </w:r>
        <w:r>
          <w:instrText xml:space="preserve"> PAGEREF _Toc18548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_Toc21981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_Toc1934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十四、技术创新的过程与模式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2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_Toc11802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十五、市场调查与竞争分析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十六、国际化战略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0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_Toc28590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7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_Toc31447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十九、市场扩展计划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179" w:history="1">
        <w:r>
          <w:rPr>
            <w:rFonts w:ascii="仿宋" w:eastAsia="仿宋" w:hAnsi="仿宋" w:cs="仿宋" w:hint="eastAsia"/>
            <w:lang w:eastAsia="zh-CN"/>
          </w:rPr>
          <w:t>二十、市场营销策略与推广计划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(二)、市场营销策略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29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14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https://d.book118.com/838077100101006041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D06D06"/>
    <w:rsid w:val="4593521B"/>
    <w:rsid w:val="79D06D0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077100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2024-02-27T08:08:00Z</dcterms:created>
  <dcterms:modified xsi:type="dcterms:W3CDTF">2024-02-27T08:08:52Z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BF7FA298370F484B9C280144B57CE0EE_11</vt:lpwstr>
  </property>
  <property fmtid="{D5CDD505-2E9C-101B-9397-08002B2CF9AE}" pid="3" name="KSOProductBuildVer">
    <vt:lpwstr>2052-12.1.0.16250</vt:lpwstr>
  </property>
</Properties>
</file>