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pStyle w:val="Title"/>
      </w:pPr>
      <w:r>
        <w:rPr>
          <w:color w:val="70AD47"/>
          <w:spacing w:val="-2"/>
        </w:rPr>
        <w:t>室内空气污染物识别</w:t>
      </w:r>
    </w:p>
    <w:p>
      <w:pPr>
        <w:pStyle w:val="BodyText"/>
        <w:ind w:left="0"/>
        <w:rPr>
          <w:rFonts w:ascii="Microsoft JhengHei"/>
          <w:b/>
          <w:sz w:val="20"/>
        </w:rPr>
      </w:pPr>
    </w:p>
    <w:p>
      <w:pPr>
        <w:pStyle w:val="BodyText"/>
        <w:ind w:left="0"/>
        <w:rPr>
          <w:rFonts w:ascii="Microsoft JhengHei"/>
          <w:b/>
          <w:sz w:val="20"/>
        </w:rPr>
      </w:pPr>
    </w:p>
    <w:p>
      <w:pPr>
        <w:pStyle w:val="BodyText"/>
        <w:ind w:left="0"/>
        <w:rPr>
          <w:rFonts w:ascii="Microsoft JhengHei"/>
          <w:b/>
          <w:sz w:val="20"/>
        </w:rPr>
      </w:pPr>
    </w:p>
    <w:p>
      <w:pPr>
        <w:pStyle w:val="BodyText"/>
        <w:ind w:left="0"/>
        <w:rPr>
          <w:rFonts w:ascii="Microsoft JhengHei"/>
          <w:b/>
          <w:sz w:val="20"/>
        </w:rPr>
      </w:pPr>
    </w:p>
    <w:p>
      <w:pPr>
        <w:pStyle w:val="BodyText"/>
        <w:spacing w:before="11"/>
        <w:ind w:left="0"/>
        <w:rPr>
          <w:rFonts w:ascii="Microsoft JhengHei"/>
          <w:b/>
          <w:sz w:val="11"/>
        </w:rPr>
      </w:pPr>
      <w: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3313176</wp:posOffset>
            </wp:positionH>
            <wp:positionV relativeFrom="paragraph">
              <wp:posOffset>151156</wp:posOffset>
            </wp:positionV>
            <wp:extent cx="935516" cy="398145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xmlns:r="http://schemas.openxmlformats.org/officeDocument/2006/relationships"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5516" cy="3981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1"/>
        <w:ind w:left="0"/>
        <w:rPr>
          <w:rFonts w:ascii="Microsoft JhengHei"/>
          <w:b/>
          <w:sz w:val="14"/>
        </w:rPr>
      </w:pPr>
    </w:p>
    <w:sdt>
      <w:sdtPr>
        <w:id w:val="1183122459"/>
        <w:docPartObj>
          <w:docPartGallery w:val="Table of Contents"/>
          <w:docPartUnique/>
        </w:docPartObj>
      </w:sdtPr>
      <w:sdtContent>
        <w:p>
          <w:pPr>
            <w:pStyle w:val="TOC1"/>
            <w:tabs>
              <w:tab w:val="left" w:pos="1589"/>
              <w:tab w:val="right" w:leader="dot" w:pos="8415"/>
            </w:tabs>
            <w:spacing w:before="77"/>
            <w:rPr>
              <w:rFonts w:ascii="Times New Roman" w:eastAsia="Times New Roman"/>
            </w:rPr>
          </w:pPr>
          <w:r>
            <w:fldChar w:fldCharType="begin"/>
          </w:r>
          <w:r>
            <w:instrText xml:space="preserve">TOC \o "1-1" \h \z \u </w:instrText>
          </w:r>
          <w:r>
            <w:fldChar w:fldCharType="separate"/>
          </w:r>
          <w:hyperlink w:anchor="_bookmark0" w:history="1">
            <w:r>
              <w:t>第一部</w:t>
            </w:r>
            <w:r>
              <w:rPr>
                <w:spacing w:val="-10"/>
              </w:rPr>
              <w:t>分</w:t>
            </w:r>
            <w:r>
              <w:tab/>
              <w:t>室内空气污染源分</w:t>
            </w:r>
            <w:r>
              <w:rPr>
                <w:spacing w:val="-10"/>
              </w:rPr>
              <w:t>类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10"/>
              </w:rPr>
              <w:t>2</w:t>
            </w:r>
          </w:hyperlink>
        </w:p>
        <w:p>
          <w:pPr>
            <w:pStyle w:val="TOC1"/>
            <w:tabs>
              <w:tab w:val="left" w:pos="1589"/>
              <w:tab w:val="right" w:leader="dot" w:pos="8415"/>
            </w:tabs>
            <w:rPr>
              <w:rFonts w:ascii="Times New Roman" w:eastAsia="Times New Roman"/>
            </w:rPr>
          </w:pPr>
          <w:hyperlink w:anchor="_bookmark1" w:history="1">
            <w:r>
              <w:t>第二部</w:t>
            </w:r>
            <w:r>
              <w:rPr>
                <w:spacing w:val="-10"/>
              </w:rPr>
              <w:t>分</w:t>
            </w:r>
            <w:r>
              <w:tab/>
              <w:t>常见室内空气污染</w:t>
            </w:r>
            <w:r>
              <w:rPr>
                <w:spacing w:val="-10"/>
              </w:rPr>
              <w:t>物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10"/>
              </w:rPr>
              <w:t>3</w:t>
            </w:r>
          </w:hyperlink>
        </w:p>
        <w:p>
          <w:pPr>
            <w:pStyle w:val="TOC1"/>
            <w:tabs>
              <w:tab w:val="left" w:pos="1589"/>
              <w:tab w:val="right" w:leader="dot" w:pos="8415"/>
            </w:tabs>
            <w:rPr>
              <w:rFonts w:ascii="Times New Roman" w:eastAsia="Times New Roman"/>
            </w:rPr>
          </w:pPr>
          <w:hyperlink w:anchor="_TOC_250005" w:history="1">
            <w:r>
              <w:t>第三部</w:t>
            </w:r>
            <w:r>
              <w:rPr>
                <w:spacing w:val="-10"/>
              </w:rPr>
              <w:t>分</w:t>
            </w:r>
            <w:r>
              <w:tab/>
              <w:t>污染物检测方法概</w:t>
            </w:r>
            <w:r>
              <w:rPr>
                <w:spacing w:val="-10"/>
              </w:rPr>
              <w:t>述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10"/>
              </w:rPr>
              <w:t>6</w:t>
            </w:r>
          </w:hyperlink>
        </w:p>
        <w:p>
          <w:pPr>
            <w:pStyle w:val="TOC1"/>
            <w:tabs>
              <w:tab w:val="left" w:pos="1589"/>
              <w:tab w:val="right" w:leader="dot" w:pos="8415"/>
            </w:tabs>
            <w:rPr>
              <w:rFonts w:ascii="Times New Roman" w:eastAsia="Times New Roman"/>
            </w:rPr>
          </w:pPr>
          <w:hyperlink w:anchor="_TOC_250004" w:history="1">
            <w:r>
              <w:t>第四部</w:t>
            </w:r>
            <w:r>
              <w:rPr>
                <w:spacing w:val="-10"/>
              </w:rPr>
              <w:t>分</w:t>
            </w:r>
            <w:r>
              <w:tab/>
              <w:t>污染物对健康影响评</w:t>
            </w:r>
            <w:r>
              <w:rPr>
                <w:spacing w:val="-10"/>
              </w:rPr>
              <w:t>估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10"/>
              </w:rPr>
              <w:t>8</w:t>
            </w:r>
          </w:hyperlink>
        </w:p>
        <w:p>
          <w:pPr>
            <w:pStyle w:val="TOC1"/>
            <w:tabs>
              <w:tab w:val="left" w:pos="1589"/>
              <w:tab w:val="right" w:leader="dot" w:pos="8415"/>
            </w:tabs>
            <w:rPr>
              <w:rFonts w:ascii="Times New Roman" w:eastAsia="Times New Roman"/>
            </w:rPr>
          </w:pPr>
          <w:hyperlink w:anchor="_TOC_250003" w:history="1">
            <w:r>
              <w:t>第五部</w:t>
            </w:r>
            <w:r>
              <w:rPr>
                <w:spacing w:val="-10"/>
              </w:rPr>
              <w:t>分</w:t>
            </w:r>
            <w:r>
              <w:tab/>
              <w:t>室内空气质量标准介</w:t>
            </w:r>
            <w:r>
              <w:rPr>
                <w:spacing w:val="-10"/>
              </w:rPr>
              <w:t>绍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5"/>
              </w:rPr>
              <w:t>10</w:t>
            </w:r>
          </w:hyperlink>
        </w:p>
        <w:p>
          <w:pPr>
            <w:pStyle w:val="TOC1"/>
            <w:tabs>
              <w:tab w:val="left" w:pos="1589"/>
              <w:tab w:val="right" w:leader="dot" w:pos="8415"/>
            </w:tabs>
            <w:rPr>
              <w:rFonts w:ascii="Times New Roman" w:eastAsia="Times New Roman"/>
            </w:rPr>
          </w:pPr>
          <w:hyperlink w:anchor="_TOC_250002" w:history="1">
            <w:r>
              <w:t>第六部</w:t>
            </w:r>
            <w:r>
              <w:rPr>
                <w:spacing w:val="-10"/>
              </w:rPr>
              <w:t>分</w:t>
            </w:r>
            <w:r>
              <w:tab/>
              <w:t>空气净化技术及设</w:t>
            </w:r>
            <w:r>
              <w:rPr>
                <w:spacing w:val="-10"/>
              </w:rPr>
              <w:t>备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5"/>
              </w:rPr>
              <w:t>13</w:t>
            </w:r>
          </w:hyperlink>
        </w:p>
        <w:p>
          <w:pPr>
            <w:pStyle w:val="TOC1"/>
            <w:tabs>
              <w:tab w:val="left" w:pos="1589"/>
              <w:tab w:val="right" w:leader="dot" w:pos="8415"/>
            </w:tabs>
            <w:spacing w:before="354"/>
            <w:rPr>
              <w:rFonts w:ascii="Times New Roman" w:eastAsia="Times New Roman"/>
            </w:rPr>
          </w:pPr>
          <w:hyperlink w:anchor="_TOC_250001" w:history="1">
            <w:r>
              <w:t>第七部</w:t>
            </w:r>
            <w:r>
              <w:rPr>
                <w:spacing w:val="-10"/>
              </w:rPr>
              <w:t>分</w:t>
            </w:r>
            <w:r>
              <w:tab/>
              <w:t>室内通风与污染物控</w:t>
            </w:r>
            <w:r>
              <w:rPr>
                <w:spacing w:val="-10"/>
              </w:rPr>
              <w:t>制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5"/>
              </w:rPr>
              <w:t>16</w:t>
            </w:r>
          </w:hyperlink>
        </w:p>
        <w:p>
          <w:pPr>
            <w:pStyle w:val="TOC1"/>
            <w:tabs>
              <w:tab w:val="left" w:pos="1589"/>
              <w:tab w:val="right" w:leader="dot" w:pos="8415"/>
            </w:tabs>
            <w:rPr>
              <w:rFonts w:ascii="Times New Roman" w:eastAsia="Times New Roman"/>
            </w:rPr>
          </w:pPr>
          <w:hyperlink w:anchor="_TOC_250000" w:history="1">
            <w:r>
              <w:t>第八部</w:t>
            </w:r>
            <w:r>
              <w:rPr>
                <w:spacing w:val="-10"/>
              </w:rPr>
              <w:t>分</w:t>
            </w:r>
            <w:r>
              <w:tab/>
              <w:t>室内空气质量改善策</w:t>
            </w:r>
            <w:r>
              <w:rPr>
                <w:spacing w:val="-10"/>
              </w:rPr>
              <w:t>略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5"/>
              </w:rPr>
              <w:t>18</w:t>
            </w:r>
          </w:hyperlink>
        </w:p>
        <w:p>
          <w:r>
            <w:fldChar w:fldCharType="end"/>
          </w:r>
        </w:p>
      </w:sdtContent>
    </w:sdt>
    <w:p>
      <w:pPr>
        <w:spacing w:after="0"/>
        <w:sectPr>
          <w:footerReference w:type="default" r:id="rId5"/>
          <w:type w:val="continuous"/>
          <w:pgSz w:w="11910" w:h="16840"/>
          <w:pgMar w:top="1480" w:right="1420" w:bottom="1380" w:left="1680" w:header="0" w:footer="1198"/>
          <w:pgNumType w:start="1"/>
          <w:cols w:space="708"/>
        </w:sectPr>
      </w:pPr>
    </w:p>
    <w:p>
      <w:pPr>
        <w:pStyle w:val="Heading1"/>
        <w:tabs>
          <w:tab w:val="left" w:pos="1725"/>
        </w:tabs>
        <w:spacing w:before="0" w:line="514" w:lineRule="exact"/>
      </w:pPr>
      <w:bookmarkStart w:id="0" w:name="_bookmark0"/>
      <w:bookmarkEnd w:id="0"/>
      <w:r>
        <w:t>第</w:t>
      </w:r>
      <w:r>
        <w:t>一</w:t>
      </w:r>
      <w:r>
        <w:t>部</w:t>
      </w:r>
      <w:r>
        <w:rPr>
          <w:spacing w:val="-10"/>
        </w:rPr>
        <w:t>分</w:t>
      </w:r>
      <w:r>
        <w:tab/>
        <w:t>室</w:t>
      </w:r>
      <w:r>
        <w:t>内</w:t>
      </w:r>
      <w:r>
        <w:t>空</w:t>
      </w:r>
      <w:r>
        <w:t>气</w:t>
      </w:r>
      <w:r>
        <w:t>污</w:t>
      </w:r>
      <w:r>
        <w:t>染</w:t>
      </w:r>
      <w:r>
        <w:t>源</w:t>
      </w:r>
      <w:r>
        <w:t>分</w:t>
      </w:r>
      <w:r>
        <w:rPr>
          <w:spacing w:val="-10"/>
        </w:rPr>
        <w:t>类</w:t>
      </w:r>
    </w:p>
    <w:p>
      <w:pPr>
        <w:pStyle w:val="BodyText"/>
        <w:spacing w:before="15" w:after="1"/>
        <w:ind w:left="0"/>
        <w:rPr>
          <w:rFonts w:ascii="Microsoft JhengHei"/>
          <w:b/>
          <w:sz w:val="15"/>
        </w:rPr>
      </w:pPr>
    </w:p>
    <w:tbl>
      <w:tblPr>
        <w:tblStyle w:val="TableNormal0"/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71"/>
        <w:gridCol w:w="5525"/>
      </w:tblGrid>
      <w:tr>
        <w:tblPrEx>
          <w:tblW w:w="0" w:type="auto"/>
          <w:jc w:val="left"/>
          <w:tblInd w:w="13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2"/>
          <w:jc w:val="left"/>
        </w:trPr>
        <w:tc>
          <w:tcPr>
            <w:tcW w:w="2771" w:type="dxa"/>
          </w:tcPr>
          <w:p>
            <w:pPr>
              <w:pStyle w:val="TableParagraph"/>
              <w:spacing w:before="23"/>
              <w:rPr>
                <w:sz w:val="21"/>
              </w:rPr>
            </w:pPr>
            <w:r>
              <w:rPr>
                <w:spacing w:val="-4"/>
                <w:sz w:val="21"/>
              </w:rPr>
              <w:t>关键词</w:t>
            </w:r>
          </w:p>
        </w:tc>
        <w:tc>
          <w:tcPr>
            <w:tcW w:w="5525" w:type="dxa"/>
          </w:tcPr>
          <w:p>
            <w:pPr>
              <w:pStyle w:val="TableParagraph"/>
              <w:spacing w:before="23"/>
              <w:rPr>
                <w:sz w:val="21"/>
              </w:rPr>
            </w:pPr>
            <w:r>
              <w:rPr>
                <w:spacing w:val="-3"/>
                <w:sz w:val="21"/>
              </w:rPr>
              <w:t>关键要点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432"/>
          <w:jc w:val="left"/>
        </w:trPr>
        <w:tc>
          <w:tcPr>
            <w:tcW w:w="2771" w:type="dxa"/>
          </w:tcPr>
          <w:p>
            <w:pPr>
              <w:pStyle w:val="TableParagraph"/>
              <w:spacing w:before="23"/>
              <w:rPr>
                <w:sz w:val="21"/>
              </w:rPr>
            </w:pPr>
            <w:r>
              <w:rPr>
                <w:spacing w:val="-1"/>
                <w:sz w:val="21"/>
              </w:rPr>
              <w:t>【室内空气污染源分类】：</w:t>
            </w:r>
          </w:p>
        </w:tc>
        <w:tc>
          <w:tcPr>
            <w:tcW w:w="5525" w:type="dxa"/>
          </w:tcPr>
          <w:p>
            <w:pPr>
              <w:pStyle w:val="TableParagraph"/>
              <w:spacing w:before="4"/>
              <w:ind w:left="0"/>
              <w:rPr>
                <w:rFonts w:ascii="Microsoft JhengHei"/>
                <w:b/>
                <w:sz w:val="18"/>
              </w:rPr>
            </w:pPr>
          </w:p>
          <w:p>
            <w:pPr>
              <w:pStyle w:val="TableParagraph"/>
              <w:numPr>
                <w:ilvl w:val="0"/>
                <w:numId w:val="24"/>
              </w:numPr>
              <w:tabs>
                <w:tab w:val="left" w:pos="318"/>
              </w:tabs>
              <w:spacing w:before="0" w:after="0" w:line="278" w:lineRule="auto"/>
              <w:ind w:left="108" w:right="96" w:firstLine="0"/>
              <w:jc w:val="both"/>
              <w:rPr>
                <w:sz w:val="21"/>
              </w:rPr>
            </w:pPr>
            <w:r>
              <w:rPr>
                <w:rFonts w:ascii="Times New Roman" w:eastAsia="Times New Roman"/>
                <w:spacing w:val="-2"/>
                <w:sz w:val="21"/>
              </w:rPr>
              <w:t>**</w:t>
            </w:r>
            <w:r>
              <w:rPr>
                <w:spacing w:val="-2"/>
                <w:sz w:val="21"/>
              </w:rPr>
              <w:t>化学污染源</w:t>
            </w:r>
            <w:r>
              <w:rPr>
                <w:rFonts w:ascii="Times New Roman" w:eastAsia="Times New Roman"/>
                <w:spacing w:val="-2"/>
                <w:sz w:val="21"/>
              </w:rPr>
              <w:t>**</w:t>
            </w:r>
            <w:r>
              <w:rPr>
                <w:spacing w:val="-2"/>
                <w:sz w:val="21"/>
              </w:rPr>
              <w:t>：包括挥发性有机化合物（</w:t>
            </w:r>
            <w:r>
              <w:rPr>
                <w:rFonts w:ascii="Times New Roman" w:eastAsia="Times New Roman"/>
                <w:spacing w:val="-2"/>
                <w:sz w:val="21"/>
              </w:rPr>
              <w:t>VOCs</w:t>
            </w:r>
            <w:r>
              <w:rPr>
                <w:spacing w:val="-2"/>
                <w:sz w:val="21"/>
              </w:rPr>
              <w:t>）如甲</w:t>
            </w:r>
            <w:r>
              <w:rPr>
                <w:spacing w:val="-2"/>
                <w:sz w:val="21"/>
              </w:rPr>
              <w:t>醛、苯、甲苯，以及有害气体如氨气和一氧化碳。这些物</w:t>
            </w:r>
            <w:r>
              <w:rPr>
                <w:spacing w:val="-2"/>
                <w:sz w:val="21"/>
              </w:rPr>
              <w:t>质主要来源于建筑材料、家具、清洁剂和个人护理产品。</w:t>
            </w:r>
          </w:p>
          <w:p>
            <w:pPr>
              <w:pStyle w:val="TableParagraph"/>
              <w:numPr>
                <w:ilvl w:val="0"/>
                <w:numId w:val="24"/>
              </w:numPr>
              <w:tabs>
                <w:tab w:val="left" w:pos="321"/>
              </w:tabs>
              <w:spacing w:before="0" w:after="0" w:line="278" w:lineRule="auto"/>
              <w:ind w:left="108" w:right="95" w:firstLine="0"/>
              <w:jc w:val="both"/>
              <w:rPr>
                <w:sz w:val="21"/>
              </w:rPr>
            </w:pPr>
            <w:r>
              <w:rPr>
                <w:rFonts w:ascii="Times New Roman" w:eastAsia="Times New Roman"/>
                <w:spacing w:val="-2"/>
                <w:sz w:val="21"/>
              </w:rPr>
              <w:t>**</w:t>
            </w:r>
            <w:r>
              <w:rPr>
                <w:spacing w:val="-2"/>
                <w:sz w:val="21"/>
              </w:rPr>
              <w:t>生物污染源</w:t>
            </w:r>
            <w:r>
              <w:rPr>
                <w:rFonts w:ascii="Times New Roman" w:eastAsia="Times New Roman"/>
                <w:spacing w:val="-2"/>
                <w:sz w:val="21"/>
              </w:rPr>
              <w:t>**</w:t>
            </w:r>
            <w:r>
              <w:rPr>
                <w:spacing w:val="-2"/>
                <w:sz w:val="21"/>
              </w:rPr>
              <w:t>：微生物如细菌、霉菌、病毒和尘螨，</w:t>
            </w:r>
            <w:r>
              <w:rPr>
                <w:spacing w:val="-2"/>
                <w:sz w:val="21"/>
              </w:rPr>
              <w:t>它们可能存在于室内潮湿区域、空调系统或宠物皮屑中。</w:t>
            </w:r>
          </w:p>
          <w:p>
            <w:pPr>
              <w:pStyle w:val="TableParagraph"/>
              <w:numPr>
                <w:ilvl w:val="0"/>
                <w:numId w:val="24"/>
              </w:numPr>
              <w:tabs>
                <w:tab w:val="left" w:pos="321"/>
              </w:tabs>
              <w:spacing w:before="0" w:after="0" w:line="278" w:lineRule="auto"/>
              <w:ind w:left="108" w:right="95" w:firstLine="0"/>
              <w:jc w:val="both"/>
              <w:rPr>
                <w:sz w:val="21"/>
              </w:rPr>
            </w:pPr>
            <w:r>
              <w:rPr>
                <w:rFonts w:ascii="Times New Roman" w:eastAsia="Times New Roman"/>
                <w:spacing w:val="-2"/>
                <w:sz w:val="21"/>
              </w:rPr>
              <w:t>**</w:t>
            </w:r>
            <w:r>
              <w:rPr>
                <w:spacing w:val="-2"/>
                <w:sz w:val="21"/>
              </w:rPr>
              <w:t>物理污染源</w:t>
            </w:r>
            <w:r>
              <w:rPr>
                <w:rFonts w:ascii="Times New Roman" w:eastAsia="Times New Roman"/>
                <w:spacing w:val="-2"/>
                <w:sz w:val="21"/>
              </w:rPr>
              <w:t>**</w:t>
            </w:r>
            <w:r>
              <w:rPr>
                <w:spacing w:val="-2"/>
                <w:sz w:val="21"/>
              </w:rPr>
              <w:t>：包括颗粒物如灰尘、花粉、烟尘和纤维，以及放射性物质和电磁辐射。这些物质通常来自室外</w:t>
            </w:r>
            <w:r>
              <w:rPr>
                <w:spacing w:val="-2"/>
                <w:sz w:val="21"/>
              </w:rPr>
              <w:t>环境，通过门窗进入室内。</w:t>
            </w:r>
          </w:p>
          <w:p>
            <w:pPr>
              <w:pStyle w:val="TableParagraph"/>
              <w:spacing w:line="269" w:lineRule="exact"/>
              <w:rPr>
                <w:sz w:val="21"/>
              </w:rPr>
            </w:pPr>
            <w:r>
              <w:rPr>
                <w:spacing w:val="-1"/>
                <w:sz w:val="21"/>
              </w:rPr>
              <w:t>【建筑材料和装修材料】：</w:t>
            </w:r>
          </w:p>
        </w:tc>
      </w:tr>
    </w:tbl>
    <w:p>
      <w:pPr>
        <w:pStyle w:val="BodyText"/>
        <w:spacing w:before="135" w:line="417" w:lineRule="auto"/>
        <w:ind w:right="378" w:firstLine="560"/>
        <w:jc w:val="both"/>
      </w:pPr>
      <w:r>
        <w:rPr>
          <w:spacing w:val="-4"/>
        </w:rPr>
        <w:t>室内空气污染是指由于室内空气中存在有害气体、颗粒物、生物</w:t>
      </w:r>
      <w:r>
        <w:rPr>
          <w:spacing w:val="-4"/>
        </w:rPr>
        <w:t>体以及放射性物质等，对人体健康产生不良影响的现象。室内空气污</w:t>
      </w:r>
      <w:r>
        <w:rPr>
          <w:spacing w:val="-2"/>
        </w:rPr>
        <w:t>染源主要分为以下几类：</w:t>
      </w:r>
    </w:p>
    <w:p>
      <w:pPr>
        <w:pStyle w:val="ListParagraph"/>
        <w:numPr>
          <w:ilvl w:val="0"/>
          <w:numId w:val="23"/>
        </w:numPr>
        <w:tabs>
          <w:tab w:val="left" w:pos="548"/>
        </w:tabs>
        <w:spacing w:before="0" w:after="0" w:line="417" w:lineRule="auto"/>
        <w:ind w:left="120" w:right="98" w:firstLine="0"/>
        <w:jc w:val="left"/>
        <w:rPr>
          <w:sz w:val="28"/>
        </w:rPr>
      </w:pPr>
      <w:r>
        <w:rPr>
          <w:spacing w:val="-2"/>
          <w:sz w:val="28"/>
        </w:rPr>
        <w:t>**化学性污染源**：包括挥发性有机化合物</w:t>
      </w:r>
      <w:r>
        <w:rPr>
          <w:spacing w:val="26"/>
          <w:sz w:val="28"/>
        </w:rPr>
        <w:t>（</w:t>
      </w:r>
      <w:r>
        <w:rPr>
          <w:spacing w:val="19"/>
          <w:sz w:val="28"/>
        </w:rPr>
        <w:t>VOCs</w:t>
      </w:r>
      <w:r>
        <w:rPr>
          <w:spacing w:val="-114"/>
          <w:sz w:val="28"/>
        </w:rPr>
        <w:t>）</w:t>
      </w:r>
      <w:r>
        <w:rPr>
          <w:spacing w:val="-2"/>
          <w:sz w:val="28"/>
        </w:rPr>
        <w:t>、甲醛、氨、臭氧、二氧化硫、氮氧化物等。这些化学物质主要来源于建筑材料、</w:t>
      </w:r>
      <w:r>
        <w:rPr>
          <w:spacing w:val="-2"/>
          <w:sz w:val="28"/>
        </w:rPr>
        <w:t>装修材料、家具、清洁剂、化妆品、烟草烟雾等。例如，甲醛主要来</w:t>
      </w:r>
      <w:r>
        <w:rPr>
          <w:spacing w:val="-2"/>
          <w:sz w:val="28"/>
        </w:rPr>
        <w:t xml:space="preserve"> </w:t>
      </w:r>
      <w:r>
        <w:rPr>
          <w:spacing w:val="-2"/>
          <w:sz w:val="28"/>
        </w:rPr>
        <w:t>源于人造板材、胶粘剂等，长期暴露于高浓度甲醛环境中可能导致呼</w:t>
      </w:r>
      <w:r>
        <w:rPr>
          <w:spacing w:val="-2"/>
          <w:sz w:val="28"/>
        </w:rPr>
        <w:t xml:space="preserve"> </w:t>
      </w:r>
      <w:r>
        <w:rPr>
          <w:spacing w:val="-2"/>
          <w:sz w:val="28"/>
        </w:rPr>
        <w:t>吸道刺激、眼刺激甚至癌症。</w:t>
      </w:r>
    </w:p>
    <w:p>
      <w:pPr>
        <w:pStyle w:val="ListParagraph"/>
        <w:numPr>
          <w:ilvl w:val="0"/>
          <w:numId w:val="23"/>
        </w:numPr>
        <w:tabs>
          <w:tab w:val="left" w:pos="542"/>
        </w:tabs>
        <w:spacing w:before="0" w:after="0" w:line="417" w:lineRule="auto"/>
        <w:ind w:left="120" w:right="238" w:firstLine="0"/>
        <w:jc w:val="left"/>
        <w:rPr>
          <w:sz w:val="28"/>
        </w:rPr>
      </w:pPr>
      <w:r>
        <w:rPr>
          <w:spacing w:val="-2"/>
          <w:sz w:val="28"/>
        </w:rPr>
        <w:t>**生物性污染源**：包括细菌、病毒、真菌、尘螨、花粉、宠物</w:t>
      </w:r>
      <w:r>
        <w:rPr>
          <w:spacing w:val="-17"/>
          <w:sz w:val="28"/>
        </w:rPr>
        <w:t>皮屑等。这类污染源主要来源于人体自身、动植物、土壤、腐烂植物、</w:t>
      </w:r>
      <w:r>
        <w:rPr>
          <w:spacing w:val="-19"/>
          <w:sz w:val="28"/>
        </w:rPr>
        <w:t>潮湿环境等。例如，尘螨是常见的过敏原之一，主要存在于床上用品、</w:t>
      </w:r>
      <w:r>
        <w:rPr>
          <w:spacing w:val="-2"/>
          <w:sz w:val="28"/>
        </w:rPr>
        <w:t>地毯、窗帘等地方。</w:t>
      </w:r>
    </w:p>
    <w:p>
      <w:pPr>
        <w:pStyle w:val="ListParagraph"/>
        <w:numPr>
          <w:ilvl w:val="0"/>
          <w:numId w:val="23"/>
        </w:numPr>
        <w:tabs>
          <w:tab w:val="left" w:pos="540"/>
        </w:tabs>
        <w:spacing w:before="0" w:after="0" w:line="358" w:lineRule="exact"/>
        <w:ind w:left="540" w:right="0" w:hanging="420"/>
        <w:jc w:val="left"/>
        <w:rPr>
          <w:sz w:val="28"/>
        </w:rPr>
      </w:pPr>
      <w:r>
        <w:rPr>
          <w:spacing w:val="-6"/>
          <w:sz w:val="28"/>
        </w:rPr>
        <w:t>**物理性污染源**：包括颗粒物（</w:t>
      </w:r>
      <w:r>
        <w:rPr>
          <w:spacing w:val="-19"/>
          <w:sz w:val="28"/>
        </w:rPr>
        <w:t xml:space="preserve">如 </w:t>
      </w:r>
      <w:r>
        <w:rPr>
          <w:spacing w:val="-6"/>
          <w:sz w:val="28"/>
        </w:rPr>
        <w:t>PM2.5、</w:t>
      </w:r>
      <w:r>
        <w:rPr>
          <w:spacing w:val="22"/>
          <w:sz w:val="28"/>
        </w:rPr>
        <w:t>PM10</w:t>
      </w:r>
      <w:r>
        <w:rPr>
          <w:spacing w:val="-118"/>
          <w:sz w:val="28"/>
        </w:rPr>
        <w:t>）</w:t>
      </w:r>
      <w:r>
        <w:rPr>
          <w:spacing w:val="-7"/>
          <w:sz w:val="28"/>
        </w:rPr>
        <w:t>、氡气、电磁</w:t>
      </w:r>
    </w:p>
    <w:p>
      <w:pPr>
        <w:pStyle w:val="BodyText"/>
        <w:spacing w:before="2" w:line="620" w:lineRule="atLeast"/>
        <w:ind w:right="378"/>
      </w:pPr>
      <w:r>
        <w:rPr>
          <w:spacing w:val="-4"/>
        </w:rPr>
        <w:t>辐射等。颗粒物主要来源于室外空气污染、室内燃烧活动、建筑施工</w:t>
      </w:r>
      <w:r>
        <w:rPr>
          <w:spacing w:val="-5"/>
        </w:rPr>
        <w:t>等；氡气主要来源于建筑材料，特别是含有铀的天然石材；电磁辐射</w:t>
      </w:r>
    </w:p>
    <w:p>
      <w:pPr>
        <w:spacing w:after="0" w:line="620" w:lineRule="atLeast"/>
        <w:sectPr>
          <w:footerReference w:type="default" r:id="rId6"/>
          <w:pgSz w:w="11910" w:h="16840"/>
          <w:pgMar w:top="1500" w:right="1420" w:bottom="1380" w:left="1680" w:header="0" w:footer="1198"/>
          <w:pgNumType w:start="2"/>
          <w:cols w:space="708"/>
        </w:sectPr>
      </w:pPr>
    </w:p>
    <w:p>
      <w:pPr>
        <w:pStyle w:val="BodyText"/>
        <w:spacing w:before="37"/>
      </w:pPr>
      <w:r>
        <w:rPr>
          <w:spacing w:val="-1"/>
        </w:rPr>
        <w:t>则主要来源于家用电器和办公设备。</w:t>
      </w:r>
    </w:p>
    <w:p>
      <w:pPr>
        <w:pStyle w:val="BodyText"/>
        <w:spacing w:before="8"/>
        <w:ind w:left="0"/>
        <w:rPr>
          <w:sz w:val="20"/>
        </w:rPr>
      </w:pPr>
    </w:p>
    <w:p>
      <w:pPr>
        <w:pStyle w:val="ListParagraph"/>
        <w:numPr>
          <w:ilvl w:val="0"/>
          <w:numId w:val="23"/>
        </w:numPr>
        <w:tabs>
          <w:tab w:val="left" w:pos="542"/>
        </w:tabs>
        <w:spacing w:before="1" w:after="0" w:line="417" w:lineRule="auto"/>
        <w:ind w:left="120" w:right="378" w:firstLine="0"/>
        <w:jc w:val="both"/>
        <w:rPr>
          <w:sz w:val="28"/>
        </w:rPr>
      </w:pPr>
      <w:r>
        <w:rPr>
          <w:spacing w:val="-2"/>
          <w:sz w:val="28"/>
        </w:rPr>
        <w:t>**放射性污染源**：主要包括氡气及其子体。氡气是一种无色无</w:t>
      </w:r>
      <w:r>
        <w:rPr>
          <w:spacing w:val="-4"/>
          <w:sz w:val="28"/>
        </w:rPr>
        <w:t>味的放射性气体，主要来源于地下水和建筑材料的放射性衰变。长期</w:t>
      </w:r>
      <w:r>
        <w:rPr>
          <w:spacing w:val="-2"/>
          <w:sz w:val="28"/>
        </w:rPr>
        <w:t>吸入高浓度的氡气会增加患肺癌的风险。</w:t>
      </w:r>
    </w:p>
    <w:p>
      <w:pPr>
        <w:pStyle w:val="BodyText"/>
        <w:spacing w:line="358" w:lineRule="exact"/>
      </w:pPr>
      <w:r>
        <w:rPr>
          <w:spacing w:val="-1"/>
        </w:rPr>
        <w:t>为了有效降低室内空气污染，可以采取以下措施：</w:t>
      </w:r>
    </w:p>
    <w:p>
      <w:pPr>
        <w:pStyle w:val="BodyText"/>
        <w:spacing w:before="8"/>
        <w:ind w:left="0"/>
        <w:rPr>
          <w:sz w:val="20"/>
        </w:rPr>
      </w:pPr>
    </w:p>
    <w:p>
      <w:pPr>
        <w:pStyle w:val="ListParagraph"/>
        <w:numPr>
          <w:ilvl w:val="1"/>
          <w:numId w:val="23"/>
        </w:numPr>
        <w:tabs>
          <w:tab w:val="left" w:pos="400"/>
        </w:tabs>
        <w:spacing w:before="1" w:after="0" w:line="417" w:lineRule="auto"/>
        <w:ind w:left="120" w:right="238" w:firstLine="0"/>
        <w:jc w:val="left"/>
        <w:rPr>
          <w:sz w:val="28"/>
        </w:rPr>
      </w:pPr>
      <w:r>
        <w:rPr>
          <w:spacing w:val="-2"/>
          <w:sz w:val="28"/>
        </w:rPr>
        <w:t>**源头控制**：选择低挥发性有机化合物含量的建筑材料和装修材</w:t>
      </w:r>
      <w:r>
        <w:rPr>
          <w:spacing w:val="-20"/>
          <w:sz w:val="28"/>
        </w:rPr>
        <w:t>料，使用环保型清洁剂和家具护理产品，减少吸烟和烹饪产生的污染。</w:t>
      </w:r>
    </w:p>
    <w:p>
      <w:pPr>
        <w:pStyle w:val="ListParagraph"/>
        <w:numPr>
          <w:ilvl w:val="1"/>
          <w:numId w:val="23"/>
        </w:numPr>
        <w:tabs>
          <w:tab w:val="left" w:pos="400"/>
        </w:tabs>
        <w:spacing w:before="0" w:after="0" w:line="417" w:lineRule="auto"/>
        <w:ind w:left="120" w:right="378" w:firstLine="0"/>
        <w:jc w:val="left"/>
        <w:rPr>
          <w:sz w:val="28"/>
        </w:rPr>
      </w:pPr>
      <w:r>
        <w:rPr>
          <w:spacing w:val="-4"/>
          <w:sz w:val="28"/>
        </w:rPr>
        <w:t>**通风换气**：定期开窗通风，保持室内空气流通，有助于稀释和</w:t>
      </w:r>
      <w:r>
        <w:rPr>
          <w:spacing w:val="-2"/>
          <w:sz w:val="28"/>
        </w:rPr>
        <w:t>排出室内的有害物质。</w:t>
      </w:r>
    </w:p>
    <w:p>
      <w:pPr>
        <w:pStyle w:val="ListParagraph"/>
        <w:numPr>
          <w:ilvl w:val="1"/>
          <w:numId w:val="23"/>
        </w:numPr>
        <w:tabs>
          <w:tab w:val="left" w:pos="400"/>
        </w:tabs>
        <w:spacing w:before="0" w:after="0" w:line="417" w:lineRule="auto"/>
        <w:ind w:left="120" w:right="378" w:firstLine="0"/>
        <w:jc w:val="left"/>
        <w:rPr>
          <w:sz w:val="28"/>
        </w:rPr>
      </w:pPr>
      <w:r>
        <w:rPr>
          <w:spacing w:val="-4"/>
          <w:sz w:val="28"/>
        </w:rPr>
        <w:t>**空气净化**：使用空气净化器可以有效去除空气中的颗粒物、有</w:t>
      </w:r>
      <w:r>
        <w:rPr>
          <w:spacing w:val="-2"/>
          <w:sz w:val="28"/>
        </w:rPr>
        <w:t>害气体和微生物。</w:t>
      </w:r>
    </w:p>
    <w:p>
      <w:pPr>
        <w:pStyle w:val="ListParagraph"/>
        <w:numPr>
          <w:ilvl w:val="1"/>
          <w:numId w:val="23"/>
        </w:numPr>
        <w:tabs>
          <w:tab w:val="left" w:pos="400"/>
        </w:tabs>
        <w:spacing w:before="0" w:after="0" w:line="358" w:lineRule="exact"/>
        <w:ind w:left="400" w:right="0" w:hanging="280"/>
        <w:jc w:val="left"/>
        <w:rPr>
          <w:sz w:val="28"/>
        </w:rPr>
      </w:pPr>
      <w:r>
        <w:rPr>
          <w:sz w:val="28"/>
        </w:rPr>
        <w:t>**湿度控制**：</w:t>
      </w:r>
      <w:r>
        <w:rPr>
          <w:spacing w:val="-1"/>
          <w:sz w:val="28"/>
        </w:rPr>
        <w:t>保持室内适宜的湿度，防止细菌和霉菌的滋生。</w:t>
      </w:r>
    </w:p>
    <w:p>
      <w:pPr>
        <w:pStyle w:val="BodyText"/>
        <w:spacing w:before="7"/>
        <w:ind w:left="0"/>
        <w:rPr>
          <w:sz w:val="20"/>
        </w:rPr>
      </w:pPr>
    </w:p>
    <w:p>
      <w:pPr>
        <w:pStyle w:val="ListParagraph"/>
        <w:numPr>
          <w:ilvl w:val="1"/>
          <w:numId w:val="23"/>
        </w:numPr>
        <w:tabs>
          <w:tab w:val="left" w:pos="400"/>
        </w:tabs>
        <w:spacing w:before="1" w:after="0" w:line="417" w:lineRule="auto"/>
        <w:ind w:left="120" w:right="378" w:firstLine="0"/>
        <w:jc w:val="left"/>
        <w:rPr>
          <w:sz w:val="28"/>
        </w:rPr>
      </w:pPr>
      <w:r>
        <w:rPr>
          <w:spacing w:val="-4"/>
          <w:sz w:val="28"/>
        </w:rPr>
        <w:t>**定期清洁**：定期清理室内灰尘、杂物和卫生死角，减少尘螨等</w:t>
      </w:r>
      <w:r>
        <w:rPr>
          <w:spacing w:val="-2"/>
          <w:sz w:val="28"/>
        </w:rPr>
        <w:t>过敏原的积聚。</w:t>
      </w:r>
    </w:p>
    <w:p>
      <w:pPr>
        <w:pStyle w:val="BodyText"/>
        <w:spacing w:line="417" w:lineRule="auto"/>
        <w:ind w:right="378"/>
      </w:pPr>
      <w:r>
        <w:rPr>
          <w:spacing w:val="-4"/>
        </w:rPr>
        <w:t>通过上述措施的综合应用，可以有效改善室内空气质量，保障居住者</w:t>
      </w:r>
      <w:r>
        <w:rPr>
          <w:spacing w:val="-2"/>
        </w:rPr>
        <w:t>和使用者的健康。</w:t>
      </w:r>
    </w:p>
    <w:p>
      <w:pPr>
        <w:pStyle w:val="BodyText"/>
        <w:ind w:left="0"/>
      </w:pPr>
    </w:p>
    <w:p>
      <w:pPr>
        <w:pStyle w:val="Heading1"/>
        <w:tabs>
          <w:tab w:val="left" w:pos="1725"/>
        </w:tabs>
      </w:pPr>
      <w:bookmarkStart w:id="1" w:name="_bookmark1"/>
      <w:bookmarkEnd w:id="1"/>
      <w:r>
        <w:t>第</w:t>
      </w:r>
      <w:r>
        <w:t>二</w:t>
      </w:r>
      <w:r>
        <w:t>部</w:t>
      </w:r>
      <w:r>
        <w:rPr>
          <w:spacing w:val="-10"/>
        </w:rPr>
        <w:t>分</w:t>
      </w:r>
      <w:r>
        <w:tab/>
        <w:t>常</w:t>
      </w:r>
      <w:r>
        <w:t>见</w:t>
      </w:r>
      <w:r>
        <w:t>室</w:t>
      </w:r>
      <w:r>
        <w:t>内</w:t>
      </w:r>
      <w:r>
        <w:t>空</w:t>
      </w:r>
      <w:r>
        <w:t>气</w:t>
      </w:r>
      <w:r>
        <w:t>污</w:t>
      </w:r>
      <w:r>
        <w:t>染</w:t>
      </w:r>
      <w:r>
        <w:rPr>
          <w:spacing w:val="-10"/>
        </w:rPr>
        <w:t>物</w:t>
      </w:r>
    </w:p>
    <w:p>
      <w:pPr>
        <w:pStyle w:val="BodyText"/>
        <w:spacing w:before="16"/>
        <w:ind w:left="0"/>
        <w:rPr>
          <w:rFonts w:ascii="Microsoft JhengHei"/>
          <w:b/>
          <w:sz w:val="15"/>
        </w:rPr>
      </w:pPr>
    </w:p>
    <w:tbl>
      <w:tblPr>
        <w:tblStyle w:val="TableNormal1"/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65"/>
        <w:gridCol w:w="5531"/>
      </w:tblGrid>
      <w:tr>
        <w:tblPrEx>
          <w:tblW w:w="0" w:type="auto"/>
          <w:jc w:val="left"/>
          <w:tblInd w:w="13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2"/>
          <w:jc w:val="left"/>
        </w:trPr>
        <w:tc>
          <w:tcPr>
            <w:tcW w:w="2765" w:type="dxa"/>
          </w:tcPr>
          <w:p>
            <w:pPr>
              <w:pStyle w:val="TableParagraph"/>
              <w:spacing w:before="23"/>
              <w:rPr>
                <w:sz w:val="21"/>
              </w:rPr>
            </w:pPr>
            <w:r>
              <w:rPr>
                <w:spacing w:val="-4"/>
                <w:sz w:val="21"/>
              </w:rPr>
              <w:t>关键词</w:t>
            </w:r>
          </w:p>
        </w:tc>
        <w:tc>
          <w:tcPr>
            <w:tcW w:w="5531" w:type="dxa"/>
          </w:tcPr>
          <w:p>
            <w:pPr>
              <w:pStyle w:val="TableParagraph"/>
              <w:spacing w:before="23"/>
              <w:rPr>
                <w:sz w:val="21"/>
              </w:rPr>
            </w:pPr>
            <w:r>
              <w:rPr>
                <w:spacing w:val="-3"/>
                <w:sz w:val="21"/>
              </w:rPr>
              <w:t>关键要点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871"/>
          <w:jc w:val="left"/>
        </w:trPr>
        <w:tc>
          <w:tcPr>
            <w:tcW w:w="2765" w:type="dxa"/>
          </w:tcPr>
          <w:p>
            <w:pPr>
              <w:pStyle w:val="TableParagraph"/>
              <w:spacing w:before="23"/>
              <w:rPr>
                <w:sz w:val="21"/>
              </w:rPr>
            </w:pPr>
            <w:r>
              <w:rPr>
                <w:spacing w:val="-1"/>
                <w:sz w:val="21"/>
              </w:rPr>
              <w:t>【室内空气污染物识别】</w:t>
            </w:r>
          </w:p>
        </w:tc>
        <w:tc>
          <w:tcPr>
            <w:tcW w:w="5531" w:type="dxa"/>
          </w:tcPr>
          <w:p>
            <w:pPr>
              <w:pStyle w:val="TableParagraph"/>
              <w:spacing w:before="4"/>
              <w:ind w:left="0"/>
              <w:rPr>
                <w:rFonts w:ascii="Microsoft JhengHei"/>
                <w:b/>
                <w:sz w:val="18"/>
              </w:rPr>
            </w:pPr>
          </w:p>
          <w:p>
            <w:pPr>
              <w:pStyle w:val="TableParagraph"/>
              <w:numPr>
                <w:ilvl w:val="0"/>
                <w:numId w:val="22"/>
              </w:numPr>
              <w:tabs>
                <w:tab w:val="left" w:pos="371"/>
              </w:tabs>
              <w:spacing w:before="0" w:after="0" w:line="278" w:lineRule="auto"/>
              <w:ind w:left="108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甲醛：甲醛是一种常见的室内空气污染物，主要来源于</w:t>
            </w:r>
            <w:r>
              <w:rPr>
                <w:spacing w:val="-2"/>
                <w:sz w:val="21"/>
              </w:rPr>
              <w:t>家具、装修材料和清洁剂等。长期暴露于甲醛环境中可能</w:t>
            </w:r>
            <w:r>
              <w:rPr>
                <w:spacing w:val="-2"/>
                <w:sz w:val="21"/>
              </w:rPr>
              <w:t>导致呼吸道疾病、眼睛刺激甚至癌症。</w:t>
            </w:r>
          </w:p>
          <w:p>
            <w:pPr>
              <w:pStyle w:val="TableParagraph"/>
              <w:numPr>
                <w:ilvl w:val="0"/>
                <w:numId w:val="22"/>
              </w:numPr>
              <w:tabs>
                <w:tab w:val="left" w:pos="371"/>
              </w:tabs>
              <w:spacing w:before="0" w:after="0" w:line="269" w:lineRule="exact"/>
              <w:ind w:left="370" w:right="0" w:hanging="263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挥发性有机化合物（</w:t>
            </w:r>
            <w:r>
              <w:rPr>
                <w:rFonts w:ascii="Times New Roman" w:eastAsia="Times New Roman"/>
                <w:spacing w:val="-2"/>
                <w:sz w:val="21"/>
              </w:rPr>
              <w:t>VOCs</w:t>
            </w:r>
            <w:r>
              <w:rPr>
                <w:spacing w:val="-2"/>
                <w:sz w:val="21"/>
              </w:rPr>
              <w:t>）：</w:t>
            </w:r>
            <w:r>
              <w:rPr>
                <w:rFonts w:ascii="Times New Roman" w:eastAsia="Times New Roman"/>
                <w:spacing w:val="-2"/>
                <w:sz w:val="21"/>
              </w:rPr>
              <w:t>VOCs</w:t>
            </w:r>
            <w:r>
              <w:rPr>
                <w:rFonts w:ascii="Times New Roman" w:eastAsia="Times New Roman"/>
                <w:spacing w:val="2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是一类包含多种化</w:t>
            </w:r>
          </w:p>
          <w:p>
            <w:pPr>
              <w:pStyle w:val="TableParagraph"/>
              <w:spacing w:before="43"/>
              <w:rPr>
                <w:sz w:val="21"/>
              </w:rPr>
            </w:pPr>
            <w:r>
              <w:rPr>
                <w:spacing w:val="-1"/>
                <w:sz w:val="21"/>
              </w:rPr>
              <w:t>学物质的混合物，如甲苯、二甲苯等。它们主要来源于油</w:t>
            </w:r>
          </w:p>
        </w:tc>
      </w:tr>
    </w:tbl>
    <w:p>
      <w:pPr>
        <w:spacing w:after="0"/>
        <w:rPr>
          <w:sz w:val="21"/>
        </w:rPr>
        <w:sectPr>
          <w:footerReference w:type="default" r:id="rId7"/>
          <w:pgSz w:w="11910" w:h="16840"/>
          <w:pgMar w:top="1520" w:right="1420" w:bottom="1380" w:left="1680" w:header="0" w:footer="1198"/>
          <w:pgNumType w:start="3"/>
          <w:cols w:space="708"/>
        </w:sectPr>
      </w:pPr>
    </w:p>
    <w:tbl>
      <w:tblPr>
        <w:tblStyle w:val="TableNormal2"/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65"/>
        <w:gridCol w:w="5531"/>
      </w:tblGrid>
      <w:tr>
        <w:tblPrEx>
          <w:tblW w:w="0" w:type="auto"/>
          <w:jc w:val="left"/>
          <w:tblInd w:w="13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183"/>
          <w:jc w:val="left"/>
        </w:trPr>
        <w:tc>
          <w:tcPr>
            <w:tcW w:w="2765" w:type="dxa"/>
          </w:tcPr>
          <w:p>
            <w:pPr>
              <w:pStyle w:val="TableParagraph"/>
              <w:ind w:left="0"/>
              <w:rPr>
                <w:rFonts w:ascii="Times New Roman"/>
                <w:sz w:val="26"/>
              </w:rPr>
            </w:pPr>
          </w:p>
        </w:tc>
        <w:tc>
          <w:tcPr>
            <w:tcW w:w="5531" w:type="dxa"/>
          </w:tcPr>
          <w:p>
            <w:pPr>
              <w:pStyle w:val="TableParagraph"/>
              <w:spacing w:before="23" w:line="278" w:lineRule="auto"/>
              <w:ind w:right="96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漆、清洁剂、香水和燃烧产物等。高浓度的 </w:t>
            </w:r>
            <w:r>
              <w:rPr>
                <w:rFonts w:ascii="Times New Roman" w:eastAsia="Times New Roman"/>
                <w:sz w:val="21"/>
              </w:rPr>
              <w:t>VOCs</w:t>
            </w:r>
            <w:r>
              <w:rPr>
                <w:rFonts w:ascii="Times New Roman" w:eastAsia="Times New Roman"/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可导致</w:t>
            </w:r>
            <w:r>
              <w:rPr>
                <w:spacing w:val="-2"/>
                <w:sz w:val="21"/>
              </w:rPr>
              <w:t>头痛、眼刺激和呼吸道问题。</w:t>
            </w:r>
          </w:p>
          <w:p>
            <w:pPr>
              <w:pStyle w:val="TableParagraph"/>
              <w:spacing w:line="278" w:lineRule="auto"/>
              <w:ind w:right="95"/>
              <w:jc w:val="both"/>
              <w:rPr>
                <w:sz w:val="21"/>
              </w:rPr>
            </w:pPr>
            <w:r>
              <w:rPr>
                <w:rFonts w:ascii="Times New Roman" w:eastAsia="Times New Roman"/>
                <w:sz w:val="21"/>
              </w:rPr>
              <w:t>3.</w:t>
            </w:r>
            <w:r>
              <w:rPr>
                <w:rFonts w:ascii="Times New Roman" w:eastAsia="Times New Roman"/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>颗粒物（</w:t>
            </w:r>
            <w:r>
              <w:rPr>
                <w:rFonts w:ascii="Times New Roman" w:eastAsia="Times New Roman"/>
                <w:sz w:val="21"/>
              </w:rPr>
              <w:t>PM</w:t>
            </w:r>
            <w:r>
              <w:rPr>
                <w:sz w:val="21"/>
              </w:rPr>
              <w:t>）</w:t>
            </w:r>
            <w:r>
              <w:rPr>
                <w:spacing w:val="-2"/>
                <w:sz w:val="21"/>
              </w:rPr>
              <w:t xml:space="preserve">：室内空气中的颗粒物主要包括 </w:t>
            </w:r>
            <w:r>
              <w:rPr>
                <w:rFonts w:ascii="Times New Roman" w:eastAsia="Times New Roman"/>
                <w:sz w:val="21"/>
              </w:rPr>
              <w:t>PM2.5</w:t>
            </w:r>
            <w:r>
              <w:rPr>
                <w:spacing w:val="-8"/>
                <w:sz w:val="21"/>
              </w:rPr>
              <w:t xml:space="preserve">和 </w:t>
            </w:r>
            <w:r>
              <w:rPr>
                <w:rFonts w:ascii="Times New Roman" w:eastAsia="Times New Roman"/>
                <w:spacing w:val="-6"/>
                <w:sz w:val="21"/>
              </w:rPr>
              <w:t>PM10</w:t>
            </w:r>
            <w:r>
              <w:rPr>
                <w:spacing w:val="-6"/>
                <w:sz w:val="21"/>
              </w:rPr>
              <w:t>，它们可能来源于室外污染、烟草烟雾、烹饪油烟</w:t>
            </w:r>
            <w:r>
              <w:rPr>
                <w:spacing w:val="-2"/>
                <w:sz w:val="21"/>
              </w:rPr>
              <w:t>等。颗粒物可引发哮喘、心血管疾病和肺癌等疾病。</w:t>
            </w:r>
          </w:p>
          <w:p>
            <w:pPr>
              <w:pStyle w:val="TableParagraph"/>
              <w:spacing w:line="269" w:lineRule="exact"/>
              <w:rPr>
                <w:sz w:val="21"/>
              </w:rPr>
            </w:pPr>
            <w:r>
              <w:rPr>
                <w:spacing w:val="-2"/>
                <w:sz w:val="21"/>
              </w:rPr>
              <w:t>【生物污染物】</w:t>
            </w:r>
          </w:p>
        </w:tc>
      </w:tr>
    </w:tbl>
    <w:p>
      <w:pPr>
        <w:pStyle w:val="BodyText"/>
        <w:spacing w:before="5"/>
        <w:ind w:left="0"/>
        <w:rPr>
          <w:rFonts w:ascii="Microsoft JhengHei"/>
          <w:b/>
          <w:sz w:val="5"/>
        </w:rPr>
      </w:pPr>
    </w:p>
    <w:p>
      <w:pPr>
        <w:pStyle w:val="BodyText"/>
        <w:spacing w:before="61"/>
        <w:ind w:left="680"/>
      </w:pPr>
      <w:r>
        <w:rPr>
          <w:spacing w:val="-1"/>
        </w:rPr>
        <w:t>室内空气污染物的识别与分析</w:t>
      </w:r>
    </w:p>
    <w:p>
      <w:pPr>
        <w:pStyle w:val="BodyText"/>
        <w:spacing w:before="8"/>
        <w:ind w:left="0"/>
        <w:rPr>
          <w:sz w:val="20"/>
        </w:rPr>
      </w:pPr>
    </w:p>
    <w:p>
      <w:pPr>
        <w:pStyle w:val="BodyText"/>
        <w:spacing w:before="1" w:line="417" w:lineRule="auto"/>
        <w:ind w:right="238"/>
      </w:pPr>
      <w:r>
        <w:rPr>
          <w:spacing w:val="-2"/>
        </w:rPr>
        <w:t>摘要：随着城市化进程的加快，人们越来越多的时间在室内度过。然</w:t>
      </w:r>
      <w:r>
        <w:rPr>
          <w:spacing w:val="-19"/>
        </w:rPr>
        <w:t>而，室内空气质量问题日益凸显，成为影响人类健康的重要因素之一。</w:t>
      </w:r>
      <w:r>
        <w:rPr>
          <w:spacing w:val="-6"/>
        </w:rPr>
        <w:t>本文旨在探讨常见的室内空气污染物及其对人体健康的潜在影响，并</w:t>
      </w:r>
      <w:r>
        <w:rPr>
          <w:spacing w:val="-2"/>
        </w:rPr>
        <w:t>讨论了相应的控制措施。</w:t>
      </w:r>
    </w:p>
    <w:p>
      <w:pPr>
        <w:pStyle w:val="BodyText"/>
        <w:spacing w:line="358" w:lineRule="exact"/>
      </w:pPr>
      <w:r>
        <w:rPr>
          <w:spacing w:val="-1"/>
        </w:rPr>
        <w:t>一、室内空气污染物的分类</w:t>
      </w:r>
    </w:p>
    <w:p>
      <w:pPr>
        <w:pStyle w:val="BodyText"/>
        <w:spacing w:before="8"/>
        <w:ind w:left="0"/>
        <w:rPr>
          <w:sz w:val="20"/>
        </w:rPr>
      </w:pPr>
    </w:p>
    <w:p>
      <w:pPr>
        <w:pStyle w:val="BodyText"/>
        <w:spacing w:before="1"/>
      </w:pPr>
      <w:r>
        <w:rPr>
          <w:spacing w:val="-1"/>
        </w:rPr>
        <w:t>室内空气污染物主要包括以下几类：</w:t>
      </w:r>
    </w:p>
    <w:p>
      <w:pPr>
        <w:pStyle w:val="BodyText"/>
        <w:spacing w:before="8"/>
        <w:ind w:left="0"/>
        <w:rPr>
          <w:sz w:val="20"/>
        </w:rPr>
      </w:pPr>
    </w:p>
    <w:p>
      <w:pPr>
        <w:pStyle w:val="ListParagraph"/>
        <w:numPr>
          <w:ilvl w:val="0"/>
          <w:numId w:val="21"/>
        </w:numPr>
        <w:tabs>
          <w:tab w:val="left" w:pos="540"/>
        </w:tabs>
        <w:spacing w:before="1" w:after="0" w:line="417" w:lineRule="auto"/>
        <w:ind w:left="120" w:right="378" w:firstLine="0"/>
        <w:jc w:val="left"/>
        <w:rPr>
          <w:sz w:val="28"/>
        </w:rPr>
      </w:pPr>
      <w:r>
        <w:rPr>
          <w:spacing w:val="-15"/>
          <w:sz w:val="28"/>
        </w:rPr>
        <w:t>可吸入颗粒物</w:t>
      </w:r>
      <w:r>
        <w:rPr>
          <w:spacing w:val="-6"/>
          <w:sz w:val="28"/>
        </w:rPr>
        <w:t>（PM10</w:t>
      </w:r>
      <w:r>
        <w:rPr>
          <w:spacing w:val="-55"/>
          <w:sz w:val="28"/>
        </w:rPr>
        <w:t>、</w:t>
      </w:r>
      <w:r>
        <w:rPr>
          <w:spacing w:val="-6"/>
          <w:sz w:val="28"/>
        </w:rPr>
        <w:t>PM2.5）：</w:t>
      </w:r>
      <w:r>
        <w:rPr>
          <w:spacing w:val="-10"/>
          <w:sz w:val="28"/>
        </w:rPr>
        <w:t xml:space="preserve">指直径小于或等于 </w:t>
      </w:r>
      <w:r>
        <w:rPr>
          <w:spacing w:val="-6"/>
          <w:sz w:val="28"/>
        </w:rPr>
        <w:t>10μm</w:t>
      </w:r>
      <w:r>
        <w:rPr>
          <w:spacing w:val="-55"/>
          <w:sz w:val="28"/>
        </w:rPr>
        <w:t>、</w:t>
      </w:r>
      <w:r>
        <w:rPr>
          <w:spacing w:val="-6"/>
          <w:sz w:val="28"/>
        </w:rPr>
        <w:t>2.5μm</w:t>
      </w:r>
      <w:r>
        <w:rPr>
          <w:spacing w:val="-2"/>
          <w:sz w:val="28"/>
        </w:rPr>
        <w:t>的颗粒物，主要来源于燃煤、烹饪、吸烟等活动。</w:t>
      </w:r>
    </w:p>
    <w:p>
      <w:pPr>
        <w:pStyle w:val="ListParagraph"/>
        <w:numPr>
          <w:ilvl w:val="0"/>
          <w:numId w:val="21"/>
        </w:numPr>
        <w:tabs>
          <w:tab w:val="left" w:pos="542"/>
        </w:tabs>
        <w:spacing w:before="0" w:after="0" w:line="417" w:lineRule="auto"/>
        <w:ind w:left="120" w:right="378" w:firstLine="0"/>
        <w:jc w:val="left"/>
        <w:rPr>
          <w:sz w:val="28"/>
        </w:rPr>
      </w:pPr>
      <w:r>
        <w:rPr>
          <w:spacing w:val="-2"/>
          <w:sz w:val="28"/>
        </w:rPr>
        <w:t>挥发性有机化合物（VOCs）：包括甲醛、苯、甲苯、二甲苯等，</w:t>
      </w:r>
      <w:r>
        <w:rPr>
          <w:spacing w:val="-2"/>
          <w:sz w:val="28"/>
        </w:rPr>
        <w:t>主要来源于家具、装修材料、清洁剂等。</w:t>
      </w:r>
    </w:p>
    <w:p>
      <w:pPr>
        <w:pStyle w:val="ListParagraph"/>
        <w:numPr>
          <w:ilvl w:val="0"/>
          <w:numId w:val="21"/>
        </w:numPr>
        <w:tabs>
          <w:tab w:val="left" w:pos="542"/>
        </w:tabs>
        <w:spacing w:before="0" w:after="0" w:line="417" w:lineRule="auto"/>
        <w:ind w:left="120" w:right="378" w:firstLine="0"/>
        <w:jc w:val="left"/>
        <w:rPr>
          <w:sz w:val="28"/>
        </w:rPr>
      </w:pPr>
      <w:r>
        <w:rPr>
          <w:spacing w:val="-2"/>
          <w:sz w:val="28"/>
        </w:rPr>
        <w:t>生物性污染物：如细菌、病毒、真菌孢子、花粉、尘螨等，主要</w:t>
      </w:r>
      <w:r>
        <w:rPr>
          <w:spacing w:val="-2"/>
          <w:sz w:val="28"/>
        </w:rPr>
        <w:t>来源于室内潮湿环境及宠物皮屑。</w:t>
      </w:r>
    </w:p>
    <w:p>
      <w:pPr>
        <w:pStyle w:val="ListParagraph"/>
        <w:numPr>
          <w:ilvl w:val="0"/>
          <w:numId w:val="21"/>
        </w:numPr>
        <w:tabs>
          <w:tab w:val="left" w:pos="542"/>
        </w:tabs>
        <w:spacing w:before="0" w:after="0" w:line="417" w:lineRule="auto"/>
        <w:ind w:left="120" w:right="378" w:firstLine="0"/>
        <w:jc w:val="left"/>
        <w:rPr>
          <w:sz w:val="28"/>
        </w:rPr>
      </w:pPr>
      <w:r>
        <w:rPr>
          <w:spacing w:val="-2"/>
          <w:sz w:val="28"/>
        </w:rPr>
        <w:t>气态污染物：如一氧化碳、二氧化碳、二氧化硫、氮氧化物等，</w:t>
      </w:r>
      <w:r>
        <w:rPr>
          <w:spacing w:val="-2"/>
          <w:sz w:val="28"/>
        </w:rPr>
        <w:t>主要来源于燃料燃烧和室外空气污染。</w:t>
      </w:r>
    </w:p>
    <w:p>
      <w:pPr>
        <w:pStyle w:val="BodyText"/>
        <w:spacing w:line="358" w:lineRule="exact"/>
      </w:pPr>
      <w:r>
        <w:rPr>
          <w:spacing w:val="-1"/>
        </w:rPr>
        <w:t>二、室内空气污染物的来源</w:t>
      </w:r>
    </w:p>
    <w:p>
      <w:pPr>
        <w:pStyle w:val="BodyText"/>
        <w:spacing w:before="7"/>
        <w:ind w:left="0"/>
        <w:rPr>
          <w:sz w:val="20"/>
        </w:rPr>
      </w:pPr>
    </w:p>
    <w:p>
      <w:pPr>
        <w:pStyle w:val="BodyText"/>
      </w:pPr>
      <w:r>
        <w:rPr>
          <w:spacing w:val="-1"/>
        </w:rPr>
        <w:t>室内空气污染物的来源主要有以下几个方面：</w:t>
      </w:r>
    </w:p>
    <w:p>
      <w:pPr>
        <w:pStyle w:val="ListParagraph"/>
        <w:numPr>
          <w:ilvl w:val="0"/>
          <w:numId w:val="20"/>
        </w:numPr>
        <w:tabs>
          <w:tab w:val="left" w:pos="542"/>
        </w:tabs>
        <w:spacing w:before="4" w:after="0" w:line="620" w:lineRule="atLeast"/>
        <w:ind w:left="120" w:right="378" w:firstLine="0"/>
        <w:jc w:val="left"/>
        <w:rPr>
          <w:sz w:val="28"/>
        </w:rPr>
      </w:pPr>
      <w:r>
        <w:rPr>
          <w:spacing w:val="-2"/>
          <w:sz w:val="28"/>
        </w:rPr>
        <w:t>建筑及装饰材料：如油漆、胶合板、壁纸等含有甲醛、苯等有害</w:t>
      </w:r>
      <w:r>
        <w:rPr>
          <w:spacing w:val="-4"/>
          <w:sz w:val="28"/>
        </w:rPr>
        <w:t>物质。</w:t>
      </w:r>
    </w:p>
    <w:p>
      <w:pPr>
        <w:spacing w:after="0" w:line="620" w:lineRule="atLeast"/>
        <w:jc w:val="left"/>
        <w:rPr>
          <w:sz w:val="28"/>
        </w:rPr>
        <w:sectPr>
          <w:footerReference w:type="default" r:id="rId8"/>
          <w:type w:val="continuous"/>
          <w:pgSz w:w="11910" w:h="16840"/>
          <w:pgMar w:top="1400" w:right="1420" w:bottom="1380" w:left="1680" w:header="0" w:footer="1198"/>
          <w:pgNumType w:start="4"/>
          <w:cols w:space="708"/>
        </w:sectPr>
      </w:pPr>
    </w:p>
    <w:p>
      <w:pPr>
        <w:pStyle w:val="ListParagraph"/>
        <w:numPr>
          <w:ilvl w:val="0"/>
          <w:numId w:val="20"/>
        </w:numPr>
        <w:tabs>
          <w:tab w:val="left" w:pos="542"/>
        </w:tabs>
        <w:spacing w:before="37" w:after="0" w:line="417" w:lineRule="auto"/>
        <w:ind w:left="120" w:right="378" w:firstLine="0"/>
        <w:jc w:val="left"/>
        <w:rPr>
          <w:sz w:val="28"/>
        </w:rPr>
      </w:pPr>
      <w:r>
        <w:rPr>
          <w:spacing w:val="-2"/>
          <w:sz w:val="28"/>
        </w:rPr>
        <w:t>室外空气污染：工业排放、汽车尾气等导致的一氧化碳、二氧化</w:t>
      </w:r>
      <w:r>
        <w:rPr>
          <w:spacing w:val="-2"/>
          <w:sz w:val="28"/>
        </w:rPr>
        <w:t>硫等气体进入室内。</w:t>
      </w:r>
    </w:p>
    <w:p>
      <w:pPr>
        <w:pStyle w:val="ListParagraph"/>
        <w:numPr>
          <w:ilvl w:val="0"/>
          <w:numId w:val="20"/>
        </w:numPr>
        <w:tabs>
          <w:tab w:val="left" w:pos="540"/>
        </w:tabs>
        <w:spacing w:before="0" w:after="0" w:line="358" w:lineRule="exact"/>
        <w:ind w:left="540" w:right="0" w:hanging="420"/>
        <w:jc w:val="left"/>
        <w:rPr>
          <w:sz w:val="28"/>
        </w:rPr>
      </w:pPr>
      <w:r>
        <w:rPr>
          <w:spacing w:val="-1"/>
          <w:sz w:val="28"/>
        </w:rPr>
        <w:t>人为活动：如吸烟、烹饪等产生的一氧化碳、颗粒物等污染物。</w:t>
      </w:r>
    </w:p>
    <w:p>
      <w:pPr>
        <w:pStyle w:val="BodyText"/>
        <w:spacing w:before="8"/>
        <w:ind w:left="0"/>
        <w:rPr>
          <w:sz w:val="20"/>
        </w:rPr>
      </w:pPr>
    </w:p>
    <w:p>
      <w:pPr>
        <w:pStyle w:val="ListParagraph"/>
        <w:numPr>
          <w:ilvl w:val="0"/>
          <w:numId w:val="20"/>
        </w:numPr>
        <w:tabs>
          <w:tab w:val="left" w:pos="542"/>
        </w:tabs>
        <w:spacing w:before="1" w:after="0" w:line="417" w:lineRule="auto"/>
        <w:ind w:left="120" w:right="378" w:firstLine="0"/>
        <w:jc w:val="left"/>
        <w:rPr>
          <w:sz w:val="28"/>
        </w:rPr>
      </w:pPr>
      <w:r>
        <w:rPr>
          <w:spacing w:val="-2"/>
          <w:sz w:val="28"/>
        </w:rPr>
        <w:t>生物性污染：如宠物皮屑、人体皮肤脱落、室内植物等产生的细</w:t>
      </w:r>
      <w:r>
        <w:rPr>
          <w:spacing w:val="-2"/>
          <w:sz w:val="28"/>
        </w:rPr>
        <w:t>菌和真菌。</w:t>
      </w:r>
    </w:p>
    <w:p>
      <w:pPr>
        <w:pStyle w:val="BodyText"/>
        <w:spacing w:line="358" w:lineRule="exact"/>
      </w:pPr>
      <w:r>
        <w:rPr>
          <w:spacing w:val="-1"/>
        </w:rPr>
        <w:t>三、室内空气污染物对人体健康的影响</w:t>
      </w:r>
    </w:p>
    <w:p>
      <w:pPr>
        <w:pStyle w:val="BodyText"/>
        <w:spacing w:before="8"/>
        <w:ind w:left="0"/>
        <w:rPr>
          <w:sz w:val="20"/>
        </w:rPr>
      </w:pPr>
    </w:p>
    <w:p>
      <w:pPr>
        <w:pStyle w:val="BodyText"/>
        <w:spacing w:before="1"/>
      </w:pPr>
      <w:r>
        <w:rPr>
          <w:spacing w:val="-1"/>
        </w:rPr>
        <w:t>室内空气污染物对人体健康的影响主要体现在以下几个方面：</w:t>
      </w:r>
    </w:p>
    <w:p>
      <w:pPr>
        <w:pStyle w:val="BodyText"/>
        <w:spacing w:before="8"/>
        <w:ind w:left="0"/>
        <w:rPr>
          <w:sz w:val="20"/>
        </w:rPr>
      </w:pPr>
    </w:p>
    <w:p>
      <w:pPr>
        <w:pStyle w:val="ListParagraph"/>
        <w:numPr>
          <w:ilvl w:val="0"/>
          <w:numId w:val="19"/>
        </w:numPr>
        <w:tabs>
          <w:tab w:val="left" w:pos="540"/>
        </w:tabs>
        <w:spacing w:before="1" w:after="0" w:line="417" w:lineRule="auto"/>
        <w:ind w:left="120" w:right="378" w:firstLine="0"/>
        <w:jc w:val="left"/>
        <w:rPr>
          <w:sz w:val="28"/>
        </w:rPr>
      </w:pPr>
      <w:r>
        <w:rPr>
          <w:spacing w:val="-2"/>
          <w:sz w:val="28"/>
        </w:rPr>
        <w:t>呼吸系统：可吸入颗粒物、VOCs</w:t>
      </w:r>
      <w:r>
        <w:rPr>
          <w:spacing w:val="-11"/>
          <w:sz w:val="28"/>
        </w:rPr>
        <w:t xml:space="preserve"> 等污染物可导致呼吸道炎症、哮</w:t>
      </w:r>
      <w:r>
        <w:rPr>
          <w:spacing w:val="-2"/>
          <w:sz w:val="28"/>
        </w:rPr>
        <w:t>喘等疾病。</w:t>
      </w:r>
    </w:p>
    <w:p>
      <w:pPr>
        <w:pStyle w:val="ListParagraph"/>
        <w:numPr>
          <w:ilvl w:val="0"/>
          <w:numId w:val="19"/>
        </w:numPr>
        <w:tabs>
          <w:tab w:val="left" w:pos="540"/>
        </w:tabs>
        <w:spacing w:before="0" w:after="0" w:line="417" w:lineRule="auto"/>
        <w:ind w:left="120" w:right="378" w:firstLine="0"/>
        <w:jc w:val="left"/>
        <w:rPr>
          <w:sz w:val="28"/>
        </w:rPr>
      </w:pPr>
      <w:r>
        <w:rPr>
          <w:spacing w:val="-13"/>
          <w:sz w:val="28"/>
        </w:rPr>
        <w:t xml:space="preserve">神经系统：部分 </w:t>
      </w:r>
      <w:r>
        <w:rPr>
          <w:spacing w:val="-4"/>
          <w:sz w:val="28"/>
        </w:rPr>
        <w:t>VOCs</w:t>
      </w:r>
      <w:r>
        <w:rPr>
          <w:spacing w:val="-13"/>
          <w:sz w:val="28"/>
        </w:rPr>
        <w:t xml:space="preserve"> 具有神经毒性，长期接触可能导致头痛、记</w:t>
      </w:r>
      <w:r>
        <w:rPr>
          <w:spacing w:val="-2"/>
          <w:sz w:val="28"/>
        </w:rPr>
        <w:t>忆力减退等症状。</w:t>
      </w:r>
    </w:p>
    <w:p>
      <w:pPr>
        <w:pStyle w:val="ListParagraph"/>
        <w:numPr>
          <w:ilvl w:val="0"/>
          <w:numId w:val="19"/>
        </w:numPr>
        <w:tabs>
          <w:tab w:val="left" w:pos="542"/>
        </w:tabs>
        <w:spacing w:before="0" w:after="0" w:line="417" w:lineRule="auto"/>
        <w:ind w:left="120" w:right="378" w:firstLine="0"/>
        <w:jc w:val="left"/>
        <w:rPr>
          <w:sz w:val="28"/>
        </w:rPr>
      </w:pPr>
      <w:r>
        <w:rPr>
          <w:spacing w:val="-2"/>
          <w:sz w:val="28"/>
        </w:rPr>
        <w:t>心血管系统：一氧化碳、二氧化硫等气体可导致心血管疾病的发</w:t>
      </w:r>
      <w:r>
        <w:rPr>
          <w:spacing w:val="-6"/>
          <w:sz w:val="28"/>
        </w:rPr>
        <w:t>生。</w:t>
      </w:r>
    </w:p>
    <w:p>
      <w:pPr>
        <w:pStyle w:val="ListParagraph"/>
        <w:numPr>
          <w:ilvl w:val="0"/>
          <w:numId w:val="19"/>
        </w:numPr>
        <w:tabs>
          <w:tab w:val="left" w:pos="540"/>
        </w:tabs>
        <w:spacing w:before="0" w:after="0" w:line="417" w:lineRule="auto"/>
        <w:ind w:left="120" w:right="425" w:firstLine="0"/>
        <w:jc w:val="left"/>
        <w:rPr>
          <w:sz w:val="28"/>
        </w:rPr>
      </w:pPr>
      <w:r>
        <w:rPr>
          <w:spacing w:val="-2"/>
          <w:sz w:val="28"/>
        </w:rPr>
        <w:t>免疫系统：生物性污染物可导致过敏反应、免疫力下降等问题。</w:t>
      </w:r>
      <w:r>
        <w:rPr>
          <w:spacing w:val="-2"/>
          <w:sz w:val="28"/>
        </w:rPr>
        <w:t>四、室内空气污染物的控制措施</w:t>
      </w:r>
    </w:p>
    <w:p>
      <w:pPr>
        <w:pStyle w:val="BodyText"/>
        <w:spacing w:line="358" w:lineRule="exact"/>
      </w:pPr>
      <w:r>
        <w:rPr>
          <w:spacing w:val="-1"/>
        </w:rPr>
        <w:t>针对室内空气污染物，可采取以下控制措施：</w:t>
      </w:r>
    </w:p>
    <w:p>
      <w:pPr>
        <w:pStyle w:val="BodyText"/>
        <w:spacing w:before="7"/>
        <w:ind w:left="0"/>
        <w:rPr>
          <w:sz w:val="20"/>
        </w:rPr>
      </w:pPr>
    </w:p>
    <w:p>
      <w:pPr>
        <w:pStyle w:val="ListParagraph"/>
        <w:numPr>
          <w:ilvl w:val="0"/>
          <w:numId w:val="18"/>
        </w:numPr>
        <w:tabs>
          <w:tab w:val="left" w:pos="542"/>
        </w:tabs>
        <w:spacing w:before="0" w:after="0" w:line="417" w:lineRule="auto"/>
        <w:ind w:left="120" w:right="378" w:firstLine="0"/>
        <w:jc w:val="left"/>
        <w:rPr>
          <w:sz w:val="28"/>
        </w:rPr>
      </w:pPr>
      <w:r>
        <w:rPr>
          <w:spacing w:val="-2"/>
          <w:sz w:val="28"/>
        </w:rPr>
        <w:t>提高室内通风：定期开窗通风，保持室内空气流通，降低污染物</w:t>
      </w:r>
      <w:r>
        <w:rPr>
          <w:spacing w:val="-4"/>
          <w:sz w:val="28"/>
        </w:rPr>
        <w:t>浓度。</w:t>
      </w:r>
    </w:p>
    <w:p>
      <w:pPr>
        <w:pStyle w:val="ListParagraph"/>
        <w:numPr>
          <w:ilvl w:val="0"/>
          <w:numId w:val="18"/>
        </w:numPr>
        <w:tabs>
          <w:tab w:val="left" w:pos="542"/>
        </w:tabs>
        <w:spacing w:before="0" w:after="0" w:line="358" w:lineRule="exact"/>
        <w:ind w:left="541" w:right="0" w:hanging="422"/>
        <w:jc w:val="left"/>
        <w:rPr>
          <w:sz w:val="28"/>
        </w:rPr>
      </w:pPr>
      <w:r>
        <w:rPr>
          <w:spacing w:val="-1"/>
          <w:sz w:val="28"/>
        </w:rPr>
        <w:t>使用空气净化设备：安装空气净化器，有效去除空气中的颗粒物、</w:t>
      </w:r>
    </w:p>
    <w:p>
      <w:pPr>
        <w:pStyle w:val="BodyText"/>
        <w:spacing w:before="9"/>
        <w:ind w:left="0"/>
        <w:rPr>
          <w:sz w:val="20"/>
        </w:rPr>
      </w:pPr>
    </w:p>
    <w:p>
      <w:pPr>
        <w:pStyle w:val="BodyText"/>
      </w:pPr>
      <w:r>
        <w:t>VOCs</w:t>
      </w:r>
      <w:r>
        <w:rPr>
          <w:spacing w:val="-15"/>
        </w:rPr>
        <w:t xml:space="preserve"> 等污染物。</w:t>
      </w:r>
    </w:p>
    <w:p>
      <w:pPr>
        <w:pStyle w:val="BodyText"/>
        <w:spacing w:before="9"/>
        <w:ind w:left="0"/>
        <w:rPr>
          <w:sz w:val="20"/>
        </w:rPr>
      </w:pPr>
    </w:p>
    <w:p>
      <w:pPr>
        <w:pStyle w:val="ListParagraph"/>
        <w:numPr>
          <w:ilvl w:val="0"/>
          <w:numId w:val="18"/>
        </w:numPr>
        <w:tabs>
          <w:tab w:val="left" w:pos="542"/>
        </w:tabs>
        <w:spacing w:before="0" w:after="0" w:line="417" w:lineRule="auto"/>
        <w:ind w:left="120" w:right="378" w:firstLine="0"/>
        <w:jc w:val="left"/>
        <w:rPr>
          <w:sz w:val="28"/>
        </w:rPr>
      </w:pPr>
      <w:r>
        <w:rPr>
          <w:spacing w:val="-5"/>
          <w:sz w:val="28"/>
        </w:rPr>
        <w:t xml:space="preserve">选择环保建材：选用低甲醛、低 </w:t>
      </w:r>
      <w:r>
        <w:rPr>
          <w:sz w:val="28"/>
        </w:rPr>
        <w:t>VOC</w:t>
      </w:r>
      <w:r>
        <w:rPr>
          <w:spacing w:val="-9"/>
          <w:sz w:val="28"/>
        </w:rPr>
        <w:t xml:space="preserve"> 含量的建筑材料，减少室内</w:t>
      </w:r>
      <w:r>
        <w:rPr>
          <w:spacing w:val="-4"/>
          <w:sz w:val="28"/>
        </w:rPr>
        <w:t>污染源。</w:t>
      </w:r>
    </w:p>
    <w:p>
      <w:pPr>
        <w:spacing w:after="0" w:line="417" w:lineRule="auto"/>
        <w:jc w:val="left"/>
        <w:rPr>
          <w:sz w:val="28"/>
        </w:rPr>
        <w:sectPr>
          <w:footerReference w:type="default" r:id="rId9"/>
          <w:pgSz w:w="11910" w:h="16840"/>
          <w:pgMar w:top="1520" w:right="1420" w:bottom="1380" w:left="1680" w:header="0" w:footer="1198"/>
          <w:pgNumType w:start="5"/>
          <w:cols w:space="708"/>
        </w:sectPr>
      </w:pPr>
    </w:p>
    <w:p>
      <w:pPr>
        <w:pStyle w:val="ListParagraph"/>
        <w:numPr>
          <w:ilvl w:val="0"/>
          <w:numId w:val="18"/>
        </w:numPr>
        <w:tabs>
          <w:tab w:val="left" w:pos="540"/>
        </w:tabs>
        <w:spacing w:before="37" w:after="0" w:line="417" w:lineRule="auto"/>
        <w:ind w:left="120" w:right="1265" w:firstLine="0"/>
        <w:jc w:val="left"/>
        <w:rPr>
          <w:sz w:val="28"/>
        </w:rPr>
      </w:pPr>
      <w:r>
        <w:rPr>
          <w:spacing w:val="-2"/>
          <w:sz w:val="28"/>
        </w:rPr>
        <w:t>室内绿化：种植绿色植物，吸收室内污染物，净化空气。</w:t>
      </w:r>
      <w:r>
        <w:rPr>
          <w:spacing w:val="-4"/>
          <w:sz w:val="28"/>
        </w:rPr>
        <w:t>五、结论</w:t>
      </w:r>
    </w:p>
    <w:p>
      <w:pPr>
        <w:pStyle w:val="BodyText"/>
        <w:spacing w:line="417" w:lineRule="auto"/>
        <w:ind w:right="378"/>
      </w:pPr>
      <w:r>
        <w:rPr>
          <w:spacing w:val="-4"/>
        </w:rPr>
        <w:t>室内空气污染物对人体的危害不容忽视，应采取有效的控制措施，改</w:t>
      </w:r>
      <w:r>
        <w:rPr>
          <w:spacing w:val="-2"/>
        </w:rPr>
        <w:t>善室内空气质量，保障人们的身体健康。</w:t>
      </w:r>
    </w:p>
    <w:p>
      <w:pPr>
        <w:pStyle w:val="BodyText"/>
        <w:ind w:left="0"/>
      </w:pPr>
    </w:p>
    <w:p>
      <w:pPr>
        <w:pStyle w:val="Heading1"/>
        <w:tabs>
          <w:tab w:val="left" w:pos="1725"/>
        </w:tabs>
      </w:pPr>
      <w:bookmarkStart w:id="2" w:name="_TOC_250005"/>
      <w:r>
        <w:t>第</w:t>
      </w:r>
      <w:r>
        <w:t>三</w:t>
      </w:r>
      <w:r>
        <w:t>部</w:t>
      </w:r>
      <w:r>
        <w:rPr>
          <w:spacing w:val="-10"/>
        </w:rPr>
        <w:t>分</w:t>
      </w:r>
      <w:r>
        <w:tab/>
        <w:t>污</w:t>
      </w:r>
      <w:r>
        <w:t>染</w:t>
      </w:r>
      <w:r>
        <w:t>物</w:t>
      </w:r>
      <w:r>
        <w:t>检</w:t>
      </w:r>
      <w:r>
        <w:t>测</w:t>
      </w:r>
      <w:r>
        <w:t>方</w:t>
      </w:r>
      <w:r>
        <w:t>法</w:t>
      </w:r>
      <w:r>
        <w:t>概</w:t>
      </w:r>
      <w:bookmarkEnd w:id="2"/>
      <w:r>
        <w:rPr>
          <w:spacing w:val="-10"/>
        </w:rPr>
        <w:t>述</w:t>
      </w:r>
    </w:p>
    <w:p>
      <w:pPr>
        <w:pStyle w:val="BodyText"/>
        <w:spacing w:before="16"/>
        <w:ind w:left="0"/>
        <w:rPr>
          <w:rFonts w:ascii="Microsoft JhengHei"/>
          <w:b/>
          <w:sz w:val="15"/>
        </w:rPr>
      </w:pPr>
    </w:p>
    <w:tbl>
      <w:tblPr>
        <w:tblStyle w:val="TableNormal3"/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65"/>
        <w:gridCol w:w="5531"/>
      </w:tblGrid>
      <w:tr>
        <w:tblPrEx>
          <w:tblW w:w="0" w:type="auto"/>
          <w:jc w:val="left"/>
          <w:tblInd w:w="13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2"/>
          <w:jc w:val="left"/>
        </w:trPr>
        <w:tc>
          <w:tcPr>
            <w:tcW w:w="2765" w:type="dxa"/>
          </w:tcPr>
          <w:p>
            <w:pPr>
              <w:pStyle w:val="TableParagraph"/>
              <w:spacing w:before="23"/>
              <w:rPr>
                <w:sz w:val="21"/>
              </w:rPr>
            </w:pPr>
            <w:r>
              <w:rPr>
                <w:spacing w:val="-4"/>
                <w:sz w:val="21"/>
              </w:rPr>
              <w:t>关键词</w:t>
            </w:r>
          </w:p>
        </w:tc>
        <w:tc>
          <w:tcPr>
            <w:tcW w:w="5531" w:type="dxa"/>
          </w:tcPr>
          <w:p>
            <w:pPr>
              <w:pStyle w:val="TableParagraph"/>
              <w:spacing w:before="23"/>
              <w:rPr>
                <w:sz w:val="21"/>
              </w:rPr>
            </w:pPr>
            <w:r>
              <w:rPr>
                <w:spacing w:val="-3"/>
                <w:sz w:val="21"/>
              </w:rPr>
              <w:t>关键要点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0"/>
          <w:jc w:val="left"/>
        </w:trPr>
        <w:tc>
          <w:tcPr>
            <w:tcW w:w="2765" w:type="dxa"/>
            <w:tcBorders>
              <w:bottom w:val="nil"/>
            </w:tcBorders>
          </w:tcPr>
          <w:p>
            <w:pPr>
              <w:pStyle w:val="TableParagraph"/>
              <w:spacing w:before="23" w:line="267" w:lineRule="exact"/>
              <w:rPr>
                <w:sz w:val="21"/>
              </w:rPr>
            </w:pPr>
            <w:r>
              <w:rPr>
                <w:spacing w:val="-1"/>
                <w:sz w:val="21"/>
              </w:rPr>
              <w:t>【室内空气污染物检测方法</w:t>
            </w:r>
          </w:p>
        </w:tc>
        <w:tc>
          <w:tcPr>
            <w:tcW w:w="5531" w:type="dxa"/>
            <w:tcBorders>
              <w:bottom w:val="nil"/>
            </w:tcBorders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627"/>
          <w:jc w:val="left"/>
        </w:trPr>
        <w:tc>
          <w:tcPr>
            <w:tcW w:w="276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5"/>
              <w:rPr>
                <w:sz w:val="21"/>
              </w:rPr>
            </w:pPr>
            <w:r>
              <w:rPr>
                <w:spacing w:val="-4"/>
                <w:sz w:val="21"/>
              </w:rPr>
              <w:t>概述】</w:t>
            </w:r>
          </w:p>
        </w:tc>
        <w:tc>
          <w:tcPr>
            <w:tcW w:w="5531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5"/>
              <w:rPr>
                <w:sz w:val="21"/>
              </w:rPr>
            </w:pPr>
            <w:r>
              <w:rPr>
                <w:rFonts w:ascii="Times New Roman" w:eastAsia="Times New Roman"/>
                <w:sz w:val="21"/>
              </w:rPr>
              <w:t>1.</w:t>
            </w:r>
            <w:r>
              <w:rPr>
                <w:rFonts w:ascii="Times New Roman" w:eastAsia="Times New Roman"/>
                <w:spacing w:val="52"/>
                <w:sz w:val="21"/>
              </w:rPr>
              <w:t xml:space="preserve"> </w:t>
            </w:r>
            <w:r>
              <w:rPr>
                <w:spacing w:val="-1"/>
                <w:sz w:val="21"/>
              </w:rPr>
              <w:t>采样技术：包括被动式采样、主动式采样以及实时在线</w:t>
            </w:r>
          </w:p>
          <w:p>
            <w:pPr>
              <w:pStyle w:val="TableParagraph"/>
              <w:spacing w:before="42"/>
              <w:rPr>
                <w:sz w:val="21"/>
              </w:rPr>
            </w:pPr>
            <w:r>
              <w:rPr>
                <w:spacing w:val="-1"/>
                <w:sz w:val="21"/>
              </w:rPr>
              <w:t>监测，每种技术都有其适用场景和局限性。例如，被动式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2"/>
          <w:jc w:val="left"/>
        </w:trPr>
        <w:tc>
          <w:tcPr>
            <w:tcW w:w="276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5531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1"/>
              <w:rPr>
                <w:sz w:val="21"/>
              </w:rPr>
            </w:pPr>
            <w:r>
              <w:rPr>
                <w:spacing w:val="-1"/>
                <w:sz w:val="21"/>
              </w:rPr>
              <w:t>采样操作简单但可能无法反映瞬时浓度变化；主动式采样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08"/>
          <w:jc w:val="left"/>
        </w:trPr>
        <w:tc>
          <w:tcPr>
            <w:tcW w:w="276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5531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1" w:line="267" w:lineRule="exact"/>
              <w:rPr>
                <w:sz w:val="21"/>
              </w:rPr>
            </w:pPr>
            <w:r>
              <w:rPr>
                <w:spacing w:val="-1"/>
                <w:sz w:val="21"/>
              </w:rPr>
              <w:t>能获取更精确的数据但需要连续运行设备。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39"/>
          <w:jc w:val="left"/>
        </w:trPr>
        <w:tc>
          <w:tcPr>
            <w:tcW w:w="276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5531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5"/>
              <w:rPr>
                <w:sz w:val="21"/>
              </w:rPr>
            </w:pPr>
            <w:r>
              <w:rPr>
                <w:rFonts w:ascii="Times New Roman" w:eastAsia="Times New Roman"/>
                <w:spacing w:val="-2"/>
                <w:sz w:val="21"/>
              </w:rPr>
              <w:t>2.</w:t>
            </w:r>
            <w:r>
              <w:rPr>
                <w:rFonts w:ascii="Times New Roman" w:eastAsia="Times New Roman"/>
                <w:spacing w:val="21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分析仪器：常用的分析仪器有气相色谱仪</w:t>
            </w:r>
            <w:r>
              <w:rPr>
                <w:spacing w:val="25"/>
                <w:sz w:val="21"/>
              </w:rPr>
              <w:t>（</w:t>
            </w:r>
            <w:r>
              <w:rPr>
                <w:rFonts w:ascii="Times New Roman" w:eastAsia="Times New Roman"/>
                <w:spacing w:val="23"/>
                <w:sz w:val="21"/>
              </w:rPr>
              <w:t>GC</w:t>
            </w:r>
            <w:r>
              <w:rPr>
                <w:spacing w:val="-80"/>
                <w:sz w:val="21"/>
              </w:rPr>
              <w:t>）</w:t>
            </w:r>
            <w:r>
              <w:rPr>
                <w:spacing w:val="-5"/>
                <w:sz w:val="21"/>
              </w:rPr>
              <w:t>、高效</w:t>
            </w:r>
          </w:p>
          <w:p>
            <w:pPr>
              <w:pStyle w:val="TableParagraph"/>
              <w:spacing w:before="2" w:line="310" w:lineRule="atLeast"/>
              <w:ind w:right="96"/>
              <w:rPr>
                <w:sz w:val="21"/>
              </w:rPr>
            </w:pPr>
            <w:r>
              <w:rPr>
                <w:spacing w:val="-6"/>
                <w:sz w:val="21"/>
              </w:rPr>
              <w:t>液相色谱仪</w:t>
            </w:r>
            <w:r>
              <w:rPr>
                <w:spacing w:val="12"/>
                <w:sz w:val="21"/>
              </w:rPr>
              <w:t>（</w:t>
            </w:r>
            <w:r>
              <w:rPr>
                <w:rFonts w:ascii="Times New Roman" w:eastAsia="Times New Roman"/>
                <w:spacing w:val="11"/>
                <w:sz w:val="21"/>
              </w:rPr>
              <w:t>HPLC</w:t>
            </w:r>
            <w:r>
              <w:rPr>
                <w:spacing w:val="-93"/>
                <w:sz w:val="21"/>
              </w:rPr>
              <w:t>）</w:t>
            </w:r>
            <w:r>
              <w:rPr>
                <w:spacing w:val="-6"/>
                <w:sz w:val="21"/>
              </w:rPr>
              <w:t>、质谱仪（</w:t>
            </w:r>
            <w:r>
              <w:rPr>
                <w:rFonts w:ascii="Times New Roman" w:eastAsia="Times New Roman"/>
                <w:spacing w:val="-6"/>
                <w:sz w:val="21"/>
              </w:rPr>
              <w:t>MS</w:t>
            </w:r>
            <w:r>
              <w:rPr>
                <w:spacing w:val="-6"/>
                <w:sz w:val="21"/>
              </w:rPr>
              <w:t>）等。这些仪器能够对</w:t>
            </w:r>
            <w:r>
              <w:rPr>
                <w:spacing w:val="-1"/>
                <w:sz w:val="21"/>
              </w:rPr>
              <w:t>采集到的样本进行定性和定量分析，从而确定污染物的种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08"/>
          <w:jc w:val="left"/>
        </w:trPr>
        <w:tc>
          <w:tcPr>
            <w:tcW w:w="276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5531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1" w:line="267" w:lineRule="exact"/>
              <w:rPr>
                <w:sz w:val="21"/>
              </w:rPr>
            </w:pPr>
            <w:r>
              <w:rPr>
                <w:spacing w:val="-2"/>
                <w:sz w:val="21"/>
              </w:rPr>
              <w:t>类及其浓度水平。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627"/>
          <w:jc w:val="left"/>
        </w:trPr>
        <w:tc>
          <w:tcPr>
            <w:tcW w:w="276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5531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5"/>
              <w:rPr>
                <w:sz w:val="21"/>
              </w:rPr>
            </w:pPr>
            <w:r>
              <w:rPr>
                <w:rFonts w:ascii="Times New Roman" w:eastAsia="Times New Roman"/>
                <w:sz w:val="21"/>
              </w:rPr>
              <w:t>3.</w:t>
            </w:r>
            <w:r>
              <w:rPr>
                <w:rFonts w:ascii="Times New Roman" w:eastAsia="Times New Roman"/>
                <w:spacing w:val="52"/>
                <w:sz w:val="21"/>
              </w:rPr>
              <w:t xml:space="preserve"> </w:t>
            </w:r>
            <w:r>
              <w:rPr>
                <w:spacing w:val="-1"/>
                <w:sz w:val="21"/>
              </w:rPr>
              <w:t>数据分析与解读：通过统计分析和模式识别等方法，对</w:t>
            </w:r>
          </w:p>
          <w:p>
            <w:pPr>
              <w:pStyle w:val="TableParagraph"/>
              <w:spacing w:before="42"/>
              <w:rPr>
                <w:sz w:val="21"/>
              </w:rPr>
            </w:pPr>
            <w:r>
              <w:rPr>
                <w:spacing w:val="-1"/>
                <w:sz w:val="21"/>
              </w:rPr>
              <w:t>检测结果进行整合和分析，以评估室内空气质量状况及潜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08"/>
          <w:jc w:val="left"/>
        </w:trPr>
        <w:tc>
          <w:tcPr>
            <w:tcW w:w="276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5531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1" w:line="267" w:lineRule="exact"/>
              <w:rPr>
                <w:sz w:val="21"/>
              </w:rPr>
            </w:pPr>
            <w:r>
              <w:rPr>
                <w:spacing w:val="-2"/>
                <w:sz w:val="21"/>
              </w:rPr>
              <w:t>在的健康风险。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625"/>
          <w:jc w:val="left"/>
        </w:trPr>
        <w:tc>
          <w:tcPr>
            <w:tcW w:w="2765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5531" w:type="dxa"/>
            <w:tcBorders>
              <w:top w:val="nil"/>
            </w:tcBorders>
          </w:tcPr>
          <w:p>
            <w:pPr>
              <w:pStyle w:val="TableParagraph"/>
              <w:spacing w:before="25"/>
              <w:rPr>
                <w:sz w:val="21"/>
              </w:rPr>
            </w:pPr>
            <w:r>
              <w:rPr>
                <w:spacing w:val="-2"/>
                <w:sz w:val="21"/>
              </w:rPr>
              <w:t>【室内空气中挥发性有机化合物（</w:t>
            </w:r>
            <w:r>
              <w:rPr>
                <w:rFonts w:ascii="Times New Roman" w:eastAsia="Times New Roman"/>
                <w:spacing w:val="-2"/>
                <w:sz w:val="21"/>
              </w:rPr>
              <w:t>VOCs</w:t>
            </w:r>
            <w:r>
              <w:rPr>
                <w:spacing w:val="-2"/>
                <w:sz w:val="21"/>
              </w:rPr>
              <w:t>）</w:t>
            </w:r>
            <w:r>
              <w:rPr>
                <w:spacing w:val="-4"/>
                <w:sz w:val="21"/>
              </w:rPr>
              <w:t>的检测】</w:t>
            </w:r>
          </w:p>
        </w:tc>
      </w:tr>
    </w:tbl>
    <w:p>
      <w:pPr>
        <w:pStyle w:val="BodyText"/>
        <w:spacing w:before="4"/>
        <w:ind w:left="0"/>
        <w:rPr>
          <w:rFonts w:ascii="Microsoft JhengHei"/>
          <w:b/>
          <w:sz w:val="4"/>
        </w:rPr>
      </w:pPr>
    </w:p>
    <w:p>
      <w:pPr>
        <w:pStyle w:val="BodyText"/>
        <w:spacing w:before="61" w:line="417" w:lineRule="auto"/>
        <w:ind w:right="378" w:firstLine="560"/>
        <w:jc w:val="both"/>
      </w:pPr>
      <w:r>
        <w:rPr>
          <w:spacing w:val="-6"/>
        </w:rPr>
        <w:t>室内空气污染物的检测是确保室内空气质量的关键步骤，它涉及</w:t>
      </w:r>
      <w:r>
        <w:rPr>
          <w:spacing w:val="-4"/>
        </w:rPr>
        <w:t>到多种化学、物理和生物指标。本文将简要概述几种常用的室内空气</w:t>
      </w:r>
      <w:r>
        <w:rPr>
          <w:spacing w:val="-2"/>
        </w:rPr>
        <w:t>污染物检测方法。</w:t>
      </w:r>
    </w:p>
    <w:p>
      <w:pPr>
        <w:pStyle w:val="BodyText"/>
        <w:spacing w:line="417" w:lineRule="auto"/>
        <w:ind w:right="378"/>
        <w:jc w:val="both"/>
      </w:pPr>
      <w:r>
        <w:rPr>
          <w:spacing w:val="-2"/>
        </w:rPr>
        <w:t>首先，气相色谱法（Gas</w:t>
      </w:r>
      <w:r>
        <w:rPr>
          <w:spacing w:val="-26"/>
        </w:rPr>
        <w:t xml:space="preserve"> </w:t>
      </w:r>
      <w:r>
        <w:rPr>
          <w:spacing w:val="-2"/>
        </w:rPr>
        <w:t>Chromatography,</w:t>
      </w:r>
      <w:r>
        <w:rPr>
          <w:spacing w:val="-26"/>
        </w:rPr>
        <w:t xml:space="preserve"> </w:t>
      </w:r>
      <w:r>
        <w:rPr>
          <w:spacing w:val="-2"/>
        </w:rPr>
        <w:t>GC）是一种常用于分离和</w:t>
      </w:r>
      <w:r>
        <w:rPr>
          <w:spacing w:val="-4"/>
        </w:rPr>
        <w:t>定量分析挥发性有机化合物（VOCs）的技术。该方法通过使用不同极</w:t>
      </w:r>
      <w:r>
        <w:rPr>
          <w:spacing w:val="-4"/>
        </w:rPr>
        <w:t>性的固定相和流动相，使混合物中的各组分得到分离，并借助检测器</w:t>
      </w:r>
      <w:r>
        <w:rPr>
          <w:spacing w:val="-8"/>
        </w:rPr>
        <w:t>如火焰离子化检测器（FID）或质谱仪（MS）进行定性和定量分析。G</w:t>
      </w:r>
      <w:r>
        <w:rPr>
          <w:spacing w:val="-8"/>
        </w:rPr>
        <w:t>C</w:t>
      </w:r>
      <w:r>
        <w:rPr>
          <w:spacing w:val="-5"/>
        </w:rPr>
        <w:t>具有高灵敏度和高分辨率的特点，但操作过程较为复杂，需要专业的</w:t>
      </w:r>
    </w:p>
    <w:p>
      <w:pPr>
        <w:spacing w:after="0" w:line="417" w:lineRule="auto"/>
        <w:jc w:val="both"/>
        <w:sectPr>
          <w:footerReference w:type="default" r:id="rId10"/>
          <w:pgSz w:w="11910" w:h="16840"/>
          <w:pgMar w:top="1520" w:right="1420" w:bottom="1380" w:left="1680" w:header="0" w:footer="1198"/>
          <w:pgNumType w:start="6"/>
          <w:cols w:space="708"/>
        </w:sectPr>
      </w:pPr>
    </w:p>
    <w:p>
      <w:pPr>
        <w:pStyle w:val="BodyText"/>
        <w:spacing w:before="37"/>
      </w:pPr>
      <w:r>
        <w:rPr>
          <w:spacing w:val="-2"/>
        </w:rPr>
        <w:t>技术人员执行。</w:t>
      </w:r>
    </w:p>
    <w:p>
      <w:pPr>
        <w:pStyle w:val="BodyText"/>
        <w:spacing w:before="8"/>
        <w:ind w:left="0"/>
        <w:rPr>
          <w:sz w:val="20"/>
        </w:rPr>
      </w:pPr>
    </w:p>
    <w:p>
      <w:pPr>
        <w:pStyle w:val="BodyText"/>
        <w:spacing w:before="1" w:line="417" w:lineRule="auto"/>
        <w:ind w:right="378"/>
        <w:jc w:val="both"/>
      </w:pPr>
      <w:r>
        <w:rPr>
          <w:spacing w:val="-13"/>
        </w:rPr>
        <w:t>其次，分光光度法是基于物质对特定波长光的吸收程度来测定其浓度</w:t>
      </w:r>
      <w:r>
        <w:rPr>
          <w:spacing w:val="-4"/>
        </w:rPr>
        <w:t>的方法。这种方法适用于检测室内空气中的甲醛、氨、苯系物等常见</w:t>
      </w:r>
      <w:r>
        <w:rPr>
          <w:spacing w:val="-4"/>
        </w:rPr>
        <w:t>污染物。例如，甲醛可以通过乙酰丙酮法进行测定，苯系物则可通过</w:t>
      </w:r>
      <w:r>
        <w:rPr>
          <w:spacing w:val="-4"/>
        </w:rPr>
        <w:t>紫外分光光度法进行检测。分光光度法操作简单，成本较低，但灵敏</w:t>
      </w:r>
      <w:r>
        <w:rPr>
          <w:spacing w:val="-2"/>
        </w:rPr>
        <w:t>度和选择性相对较差。</w:t>
      </w:r>
    </w:p>
    <w:p>
      <w:pPr>
        <w:pStyle w:val="BodyText"/>
        <w:spacing w:line="417" w:lineRule="auto"/>
        <w:ind w:right="378"/>
        <w:jc w:val="both"/>
      </w:pPr>
      <w:r>
        <w:rPr>
          <w:spacing w:val="-4"/>
        </w:rPr>
        <w:t>第三，电化学传感器法主要用于检测有害气体，如一氧化碳（CO）</w:t>
      </w:r>
      <w:r>
        <w:rPr>
          <w:spacing w:val="-4"/>
        </w:rPr>
        <w:t>和</w:t>
      </w:r>
      <w:r>
        <w:rPr>
          <w:spacing w:val="-8"/>
        </w:rPr>
        <w:t>二氧化硫</w:t>
      </w:r>
      <w:r>
        <w:rPr>
          <w:spacing w:val="20"/>
        </w:rPr>
        <w:t>（SO2</w:t>
      </w:r>
      <w:r>
        <w:rPr>
          <w:spacing w:val="-120"/>
        </w:rPr>
        <w:t>）</w:t>
      </w:r>
      <w:r>
        <w:rPr>
          <w:spacing w:val="-8"/>
        </w:rPr>
        <w:t>。这些传感器通常基于气体分子与电极之间的电化学</w:t>
      </w:r>
      <w:r>
        <w:rPr>
          <w:spacing w:val="-4"/>
        </w:rPr>
        <w:t>反应，通过测量产生的电流或电压变化来确定气体浓度。电化学传感</w:t>
      </w:r>
      <w:r>
        <w:rPr>
          <w:spacing w:val="-4"/>
        </w:rPr>
        <w:t>器具有响应速度快、体积小、成本低等优点，但可能受到其他气体的</w:t>
      </w:r>
      <w:r>
        <w:rPr>
          <w:spacing w:val="-2"/>
        </w:rPr>
        <w:t>干扰，且使用寿命有限。</w:t>
      </w:r>
    </w:p>
    <w:p>
      <w:pPr>
        <w:pStyle w:val="BodyText"/>
        <w:spacing w:line="417" w:lineRule="auto"/>
        <w:ind w:right="378"/>
      </w:pPr>
      <w:r>
        <w:t>第四，红外光谱法（Infrared Spectroscopy, IR）利用物质对红外</w:t>
      </w:r>
      <w:r>
        <w:rPr>
          <w:spacing w:val="-7"/>
        </w:rPr>
        <w:t>光的选择性吸收特性来进行定性分析和定量测定。这种方法可以同时</w:t>
      </w:r>
      <w:r>
        <w:rPr>
          <w:spacing w:val="-6"/>
        </w:rPr>
        <w:t>检测多种气体成分，如二氧化碳</w:t>
      </w:r>
      <w:r>
        <w:rPr>
          <w:spacing w:val="22"/>
        </w:rPr>
        <w:t>（CO2</w:t>
      </w:r>
      <w:r>
        <w:rPr>
          <w:spacing w:val="-118"/>
        </w:rPr>
        <w:t>）</w:t>
      </w:r>
      <w:r>
        <w:rPr>
          <w:spacing w:val="-6"/>
        </w:rPr>
        <w:t>、甲烷（CH4）等。IR</w:t>
      </w:r>
      <w:r>
        <w:rPr>
          <w:spacing w:val="-21"/>
        </w:rPr>
        <w:t xml:space="preserve"> 具有非</w:t>
      </w:r>
      <w:r>
        <w:rPr>
          <w:spacing w:val="-2"/>
        </w:rPr>
        <w:t>破坏性和快速测定的特点，但可能受到水蒸气和二氧化碳的干扰。</w:t>
      </w:r>
      <w:r>
        <w:t>第五，质谱法（Mass Spectrometry, MS）是一种基于物质离子化的</w:t>
      </w:r>
      <w:r>
        <w:rPr>
          <w:spacing w:val="-4"/>
        </w:rPr>
        <w:t>分析技术，它可以提供关于样品组成的详细信息。在室内空气污染物</w:t>
      </w:r>
      <w:r>
        <w:rPr>
          <w:spacing w:val="1"/>
        </w:rPr>
        <w:t xml:space="preserve">检测中，质谱法可用于鉴定和定量 </w:t>
      </w:r>
      <w:r>
        <w:t>VOCs、颗粒物（PM）</w:t>
      </w:r>
      <w:r>
        <w:rPr>
          <w:spacing w:val="-2"/>
        </w:rPr>
        <w:t>以及重金属</w:t>
      </w:r>
    </w:p>
    <w:p>
      <w:pPr>
        <w:pStyle w:val="BodyText"/>
        <w:spacing w:line="417" w:lineRule="auto"/>
        <w:ind w:right="98"/>
      </w:pPr>
      <w:r>
        <w:t>等。MS</w:t>
      </w:r>
      <w:r>
        <w:rPr>
          <w:spacing w:val="-7"/>
        </w:rPr>
        <w:t xml:space="preserve"> 具有高灵敏度、高精度和宽线性范围的优势，但设备成本高，</w:t>
      </w:r>
      <w:r>
        <w:rPr>
          <w:spacing w:val="-2"/>
        </w:rPr>
        <w:t>操作技术要求较高。</w:t>
      </w:r>
    </w:p>
    <w:p>
      <w:pPr>
        <w:pStyle w:val="BodyText"/>
        <w:spacing w:line="417" w:lineRule="auto"/>
        <w:ind w:right="378"/>
      </w:pPr>
      <w:r>
        <w:rPr>
          <w:spacing w:val="-4"/>
        </w:rPr>
        <w:t>第六，生物监测方法主要关注室内空气中微生物和过敏原的检测。例</w:t>
      </w:r>
      <w:r>
        <w:rPr>
          <w:spacing w:val="-2"/>
        </w:rPr>
        <w:t>如，ATP</w:t>
      </w:r>
      <w:r>
        <w:rPr>
          <w:spacing w:val="-9"/>
        </w:rPr>
        <w:t xml:space="preserve"> 生物发光法可以快速测定空气中的细菌总数；酶联免疫吸附</w:t>
      </w:r>
    </w:p>
    <w:p>
      <w:pPr>
        <w:spacing w:after="0" w:line="417" w:lineRule="auto"/>
        <w:sectPr>
          <w:footerReference w:type="default" r:id="rId11"/>
          <w:pgSz w:w="11910" w:h="16840"/>
          <w:pgMar w:top="1520" w:right="1420" w:bottom="1380" w:left="1680" w:header="0" w:footer="1198"/>
          <w:pgNumType w:start="7"/>
          <w:cols w:space="708"/>
        </w:sectPr>
      </w:pPr>
    </w:p>
    <w:p>
      <w:pPr>
        <w:pStyle w:val="BodyText"/>
        <w:spacing w:before="37" w:line="417" w:lineRule="auto"/>
        <w:ind w:right="378"/>
      </w:pPr>
      <w:r>
        <w:rPr>
          <w:spacing w:val="-2"/>
        </w:rPr>
        <w:t>试验（ELISA）可用于检测特定过敏原，如尘螨抗原。这些方法具有</w:t>
      </w:r>
      <w:r>
        <w:rPr>
          <w:spacing w:val="-2"/>
        </w:rPr>
        <w:t>直观、快速的优点，但可能存在交叉反应和假阳性的问题。</w:t>
      </w:r>
    </w:p>
    <w:p>
      <w:pPr>
        <w:pStyle w:val="BodyText"/>
        <w:spacing w:line="417" w:lineRule="auto"/>
        <w:ind w:right="378"/>
        <w:jc w:val="both"/>
      </w:pPr>
      <w:r>
        <w:rPr>
          <w:spacing w:val="-4"/>
        </w:rPr>
        <w:t>最后，被动式采样器法是一种简便的室内空气污染物监测手段。它通</w:t>
      </w:r>
      <w:r>
        <w:rPr>
          <w:spacing w:val="-4"/>
        </w:rPr>
        <w:t>过使用吸附剂（如活性炭、硅胶等）收集空气中的污染物，然后送至</w:t>
      </w:r>
      <w:r>
        <w:rPr>
          <w:spacing w:val="-4"/>
        </w:rPr>
        <w:t>实验室进行分析。这种方法适用于长期、连续的空气质量监测，但可</w:t>
      </w:r>
      <w:r>
        <w:rPr>
          <w:spacing w:val="-2"/>
        </w:rPr>
        <w:t>能受到采样器位置和周围环境的影响。</w:t>
      </w:r>
    </w:p>
    <w:p>
      <w:pPr>
        <w:pStyle w:val="BodyText"/>
        <w:spacing w:line="417" w:lineRule="auto"/>
        <w:ind w:right="378"/>
        <w:jc w:val="both"/>
      </w:pPr>
      <w:r>
        <w:rPr>
          <w:spacing w:val="-4"/>
        </w:rPr>
        <w:t>综上所述，室内空气污染物的检测方法多种多样，每种方法都有其优</w:t>
      </w:r>
      <w:r>
        <w:rPr>
          <w:spacing w:val="-4"/>
        </w:rPr>
        <w:t>势和局限性。在实际应用中，应根据具体的检测目标、现场条件和成</w:t>
      </w:r>
      <w:r>
        <w:rPr>
          <w:spacing w:val="-4"/>
        </w:rPr>
        <w:t>本限制选择合适的检测方法。同时，为了获得准确的检测结果，应遵</w:t>
      </w:r>
      <w:r>
        <w:rPr>
          <w:spacing w:val="-2"/>
        </w:rPr>
        <w:t>循相应的标准操作程序，并对仪器进行定期校准和维护。</w:t>
      </w:r>
    </w:p>
    <w:p>
      <w:pPr>
        <w:pStyle w:val="BodyText"/>
        <w:ind w:left="0"/>
      </w:pPr>
    </w:p>
    <w:p>
      <w:pPr>
        <w:pStyle w:val="Heading1"/>
        <w:spacing w:before="236"/>
        <w:jc w:val="both"/>
      </w:pPr>
      <w:bookmarkStart w:id="3" w:name="_TOC_250004"/>
      <w:r>
        <w:t>第四部分</w:t>
      </w:r>
      <w:r>
        <w:rPr>
          <w:spacing w:val="213"/>
          <w:w w:val="150"/>
        </w:rPr>
        <w:t xml:space="preserve"> </w:t>
      </w:r>
      <w:bookmarkEnd w:id="3"/>
      <w:r>
        <w:rPr>
          <w:spacing w:val="-1"/>
        </w:rPr>
        <w:t>污染物对健康影响评估</w:t>
      </w:r>
    </w:p>
    <w:p>
      <w:pPr>
        <w:pStyle w:val="BodyText"/>
        <w:spacing w:before="15"/>
        <w:ind w:left="0"/>
        <w:rPr>
          <w:rFonts w:ascii="Microsoft JhengHei"/>
          <w:b/>
          <w:sz w:val="15"/>
        </w:rPr>
      </w:pPr>
    </w:p>
    <w:tbl>
      <w:tblPr>
        <w:tblStyle w:val="TableNormal4"/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65"/>
        <w:gridCol w:w="5531"/>
      </w:tblGrid>
      <w:tr>
        <w:tblPrEx>
          <w:tblW w:w="0" w:type="auto"/>
          <w:jc w:val="left"/>
          <w:tblInd w:w="13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2"/>
          <w:jc w:val="left"/>
        </w:trPr>
        <w:tc>
          <w:tcPr>
            <w:tcW w:w="2765" w:type="dxa"/>
          </w:tcPr>
          <w:p>
            <w:pPr>
              <w:pStyle w:val="TableParagraph"/>
              <w:spacing w:before="23"/>
              <w:rPr>
                <w:sz w:val="21"/>
              </w:rPr>
            </w:pPr>
            <w:r>
              <w:rPr>
                <w:spacing w:val="-4"/>
                <w:sz w:val="21"/>
              </w:rPr>
              <w:t>关键词</w:t>
            </w:r>
          </w:p>
        </w:tc>
        <w:tc>
          <w:tcPr>
            <w:tcW w:w="5531" w:type="dxa"/>
          </w:tcPr>
          <w:p>
            <w:pPr>
              <w:pStyle w:val="TableParagraph"/>
              <w:spacing w:before="23"/>
              <w:rPr>
                <w:sz w:val="21"/>
              </w:rPr>
            </w:pPr>
            <w:r>
              <w:rPr>
                <w:spacing w:val="-3"/>
                <w:sz w:val="21"/>
              </w:rPr>
              <w:t>关键要点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0"/>
          <w:jc w:val="left"/>
        </w:trPr>
        <w:tc>
          <w:tcPr>
            <w:tcW w:w="2765" w:type="dxa"/>
            <w:tcBorders>
              <w:bottom w:val="nil"/>
            </w:tcBorders>
          </w:tcPr>
          <w:p>
            <w:pPr>
              <w:pStyle w:val="TableParagraph"/>
              <w:spacing w:before="23" w:line="267" w:lineRule="exact"/>
              <w:rPr>
                <w:sz w:val="21"/>
              </w:rPr>
            </w:pPr>
            <w:r>
              <w:rPr>
                <w:spacing w:val="-1"/>
                <w:sz w:val="21"/>
              </w:rPr>
              <w:t>【室内空气污染物健康影响</w:t>
            </w:r>
          </w:p>
        </w:tc>
        <w:tc>
          <w:tcPr>
            <w:tcW w:w="5531" w:type="dxa"/>
            <w:tcBorders>
              <w:bottom w:val="nil"/>
            </w:tcBorders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251"/>
          <w:jc w:val="left"/>
        </w:trPr>
        <w:tc>
          <w:tcPr>
            <w:tcW w:w="276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5"/>
              <w:rPr>
                <w:sz w:val="21"/>
              </w:rPr>
            </w:pPr>
            <w:r>
              <w:rPr>
                <w:spacing w:val="-4"/>
                <w:sz w:val="21"/>
              </w:rPr>
              <w:t>评估】</w:t>
            </w:r>
          </w:p>
        </w:tc>
        <w:tc>
          <w:tcPr>
            <w:tcW w:w="5531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5" w:line="278" w:lineRule="auto"/>
              <w:ind w:right="-15"/>
              <w:rPr>
                <w:sz w:val="21"/>
              </w:rPr>
            </w:pPr>
            <w:r>
              <w:rPr>
                <w:rFonts w:ascii="Times New Roman" w:eastAsia="Times New Roman"/>
                <w:sz w:val="21"/>
              </w:rPr>
              <w:t>1. **</w:t>
            </w:r>
            <w:r>
              <w:rPr>
                <w:sz w:val="21"/>
              </w:rPr>
              <w:t>污染物的分类与来源</w:t>
            </w:r>
            <w:r>
              <w:rPr>
                <w:rFonts w:ascii="Times New Roman" w:eastAsia="Times New Roman"/>
                <w:sz w:val="21"/>
              </w:rPr>
              <w:t>**</w:t>
            </w:r>
            <w:r>
              <w:rPr>
                <w:sz w:val="21"/>
              </w:rPr>
              <w:t>：首先，需要明确室内空气污</w:t>
            </w:r>
            <w:r>
              <w:rPr>
                <w:spacing w:val="-16"/>
                <w:sz w:val="21"/>
              </w:rPr>
              <w:t>染物的种类，如挥发性有机化合物</w:t>
            </w:r>
            <w:r>
              <w:rPr>
                <w:spacing w:val="2"/>
                <w:sz w:val="21"/>
              </w:rPr>
              <w:t>（</w:t>
            </w:r>
            <w:r>
              <w:rPr>
                <w:rFonts w:ascii="Times New Roman" w:eastAsia="Times New Roman"/>
                <w:spacing w:val="1"/>
                <w:sz w:val="21"/>
              </w:rPr>
              <w:t>VOCs</w:t>
            </w:r>
            <w:r>
              <w:rPr>
                <w:spacing w:val="-103"/>
                <w:sz w:val="21"/>
              </w:rPr>
              <w:t>）</w:t>
            </w:r>
            <w:r>
              <w:rPr>
                <w:spacing w:val="-16"/>
                <w:sz w:val="21"/>
              </w:rPr>
              <w:t>、颗粒物</w:t>
            </w:r>
            <w:r>
              <w:rPr>
                <w:spacing w:val="23"/>
                <w:sz w:val="21"/>
              </w:rPr>
              <w:t>（</w:t>
            </w:r>
            <w:r>
              <w:rPr>
                <w:rFonts w:ascii="Times New Roman" w:eastAsia="Times New Roman"/>
                <w:spacing w:val="23"/>
                <w:sz w:val="21"/>
              </w:rPr>
              <w:t>P</w:t>
            </w:r>
            <w:r>
              <w:rPr>
                <w:rFonts w:ascii="Times New Roman" w:eastAsia="Times New Roman"/>
                <w:spacing w:val="22"/>
                <w:sz w:val="21"/>
              </w:rPr>
              <w:t>M</w:t>
            </w:r>
            <w:r>
              <w:rPr>
                <w:spacing w:val="-135"/>
                <w:sz w:val="21"/>
              </w:rPr>
              <w:t>）</w:t>
            </w:r>
            <w:r>
              <w:rPr>
                <w:spacing w:val="-16"/>
                <w:sz w:val="21"/>
              </w:rPr>
              <w:t>、</w:t>
            </w:r>
            <w:r>
              <w:rPr>
                <w:spacing w:val="-4"/>
                <w:sz w:val="21"/>
              </w:rPr>
              <w:t>一氧化碳</w:t>
            </w:r>
            <w:r>
              <w:rPr>
                <w:spacing w:val="22"/>
                <w:sz w:val="21"/>
              </w:rPr>
              <w:t>（</w:t>
            </w:r>
            <w:r>
              <w:rPr>
                <w:rFonts w:ascii="Times New Roman" w:eastAsia="Times New Roman"/>
                <w:spacing w:val="22"/>
                <w:sz w:val="21"/>
              </w:rPr>
              <w:t>CO</w:t>
            </w:r>
            <w:r>
              <w:rPr>
                <w:spacing w:val="-83"/>
                <w:sz w:val="21"/>
              </w:rPr>
              <w:t>）</w:t>
            </w:r>
            <w:r>
              <w:rPr>
                <w:spacing w:val="-4"/>
                <w:sz w:val="21"/>
              </w:rPr>
              <w:t>、二氧化碳</w:t>
            </w:r>
            <w:r>
              <w:rPr>
                <w:spacing w:val="17"/>
                <w:sz w:val="21"/>
              </w:rPr>
              <w:t>（</w:t>
            </w:r>
            <w:r>
              <w:rPr>
                <w:rFonts w:ascii="Times New Roman" w:eastAsia="Times New Roman"/>
                <w:spacing w:val="17"/>
                <w:sz w:val="21"/>
              </w:rPr>
              <w:t>CO2</w:t>
            </w:r>
            <w:r>
              <w:rPr>
                <w:spacing w:val="-88"/>
                <w:sz w:val="21"/>
              </w:rPr>
              <w:t>）</w:t>
            </w:r>
            <w:r>
              <w:rPr>
                <w:spacing w:val="-4"/>
                <w:sz w:val="21"/>
              </w:rPr>
              <w:t>、生物气溶胶等。这些</w:t>
            </w:r>
          </w:p>
          <w:p>
            <w:pPr>
              <w:pStyle w:val="TableParagraph"/>
              <w:spacing w:line="269" w:lineRule="exact"/>
              <w:rPr>
                <w:sz w:val="21"/>
              </w:rPr>
            </w:pPr>
            <w:r>
              <w:rPr>
                <w:spacing w:val="-1"/>
                <w:sz w:val="21"/>
              </w:rPr>
              <w:t>污染物可能来源于建筑材料、家具、清洁剂、烹饪活动以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64"/>
          <w:jc w:val="left"/>
        </w:trPr>
        <w:tc>
          <w:tcPr>
            <w:tcW w:w="276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5531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1"/>
              <w:rPr>
                <w:sz w:val="21"/>
              </w:rPr>
            </w:pPr>
            <w:r>
              <w:rPr>
                <w:spacing w:val="-2"/>
                <w:sz w:val="21"/>
              </w:rPr>
              <w:t>及人体代谢等。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095"/>
          <w:jc w:val="left"/>
        </w:trPr>
        <w:tc>
          <w:tcPr>
            <w:tcW w:w="276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5531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40" w:line="310" w:lineRule="atLeast"/>
              <w:ind w:right="95"/>
              <w:jc w:val="both"/>
              <w:rPr>
                <w:sz w:val="21"/>
              </w:rPr>
            </w:pPr>
            <w:r>
              <w:rPr>
                <w:rFonts w:ascii="Times New Roman" w:eastAsia="Times New Roman"/>
                <w:sz w:val="21"/>
              </w:rPr>
              <w:t>2. **</w:t>
            </w:r>
            <w:r>
              <w:rPr>
                <w:sz w:val="21"/>
              </w:rPr>
              <w:t>暴露评估方法</w:t>
            </w:r>
            <w:r>
              <w:rPr>
                <w:rFonts w:ascii="Times New Roman" w:eastAsia="Times New Roman"/>
                <w:sz w:val="21"/>
              </w:rPr>
              <w:t>**</w:t>
            </w:r>
            <w:r>
              <w:rPr>
                <w:sz w:val="21"/>
              </w:rPr>
              <w:t>：评估个体或群体在室内环境中接触</w:t>
            </w:r>
            <w:r>
              <w:rPr>
                <w:spacing w:val="-2"/>
                <w:sz w:val="21"/>
              </w:rPr>
              <w:t>污染物的程度，包括时间</w:t>
            </w:r>
            <w:r>
              <w:rPr>
                <w:rFonts w:ascii="Times New Roman" w:eastAsia="Times New Roman"/>
                <w:spacing w:val="-2"/>
                <w:sz w:val="21"/>
              </w:rPr>
              <w:t>-</w:t>
            </w:r>
            <w:r>
              <w:rPr>
                <w:spacing w:val="-2"/>
                <w:sz w:val="21"/>
              </w:rPr>
              <w:t>活动模式分析、室内空气质量监</w:t>
            </w:r>
            <w:r>
              <w:rPr>
                <w:spacing w:val="-1"/>
                <w:sz w:val="21"/>
              </w:rPr>
              <w:t>测、污染物浓度预测模型等。通过这些方法可以估算不同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08"/>
          <w:jc w:val="left"/>
        </w:trPr>
        <w:tc>
          <w:tcPr>
            <w:tcW w:w="276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5531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1" w:line="267" w:lineRule="exact"/>
              <w:rPr>
                <w:sz w:val="21"/>
              </w:rPr>
            </w:pPr>
            <w:r>
              <w:rPr>
                <w:spacing w:val="-1"/>
                <w:sz w:val="21"/>
              </w:rPr>
              <w:t>人群在不同环境下的暴露水平。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627"/>
          <w:jc w:val="left"/>
        </w:trPr>
        <w:tc>
          <w:tcPr>
            <w:tcW w:w="276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5531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5"/>
              <w:rPr>
                <w:sz w:val="21"/>
              </w:rPr>
            </w:pPr>
            <w:r>
              <w:rPr>
                <w:rFonts w:ascii="Times New Roman" w:eastAsia="Times New Roman"/>
                <w:sz w:val="21"/>
              </w:rPr>
              <w:t>3.</w:t>
            </w:r>
            <w:r>
              <w:rPr>
                <w:rFonts w:ascii="Times New Roman" w:eastAsia="Times New Roman"/>
                <w:spacing w:val="42"/>
                <w:sz w:val="21"/>
              </w:rPr>
              <w:t xml:space="preserve"> </w:t>
            </w:r>
            <w:r>
              <w:rPr>
                <w:rFonts w:ascii="Times New Roman" w:eastAsia="Times New Roman"/>
                <w:sz w:val="21"/>
              </w:rPr>
              <w:t>**</w:t>
            </w:r>
            <w:r>
              <w:rPr>
                <w:sz w:val="21"/>
              </w:rPr>
              <w:t>健康效应研究</w:t>
            </w:r>
            <w:r>
              <w:rPr>
                <w:rFonts w:ascii="Times New Roman" w:eastAsia="Times New Roman"/>
                <w:sz w:val="21"/>
              </w:rPr>
              <w:t>**</w:t>
            </w:r>
            <w:r>
              <w:rPr>
                <w:spacing w:val="-1"/>
                <w:sz w:val="21"/>
              </w:rPr>
              <w:t>：探讨各种室内空气污染物对人体健</w:t>
            </w:r>
          </w:p>
          <w:p>
            <w:pPr>
              <w:pStyle w:val="TableParagraph"/>
              <w:spacing w:before="42"/>
              <w:rPr>
                <w:sz w:val="21"/>
              </w:rPr>
            </w:pPr>
            <w:r>
              <w:rPr>
                <w:spacing w:val="-1"/>
                <w:sz w:val="21"/>
              </w:rPr>
              <w:t>康的潜在影响，例如对呼吸系统、心血管系统、神经系统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1"/>
          <w:jc w:val="left"/>
        </w:trPr>
        <w:tc>
          <w:tcPr>
            <w:tcW w:w="276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5531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1"/>
              <w:rPr>
                <w:sz w:val="21"/>
              </w:rPr>
            </w:pPr>
            <w:r>
              <w:rPr>
                <w:spacing w:val="-1"/>
                <w:sz w:val="21"/>
              </w:rPr>
              <w:t>等的危害。这通常涉及流行病学研究、毒理学研究和临床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1"/>
          <w:jc w:val="left"/>
        </w:trPr>
        <w:tc>
          <w:tcPr>
            <w:tcW w:w="276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5531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1"/>
              <w:rPr>
                <w:sz w:val="21"/>
              </w:rPr>
            </w:pPr>
            <w:r>
              <w:rPr>
                <w:spacing w:val="-1"/>
                <w:sz w:val="21"/>
              </w:rPr>
              <w:t>研究，以确定污染物与健康问题之间的因果关系。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622"/>
          <w:jc w:val="left"/>
        </w:trPr>
        <w:tc>
          <w:tcPr>
            <w:tcW w:w="2765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5531" w:type="dxa"/>
            <w:tcBorders>
              <w:top w:val="nil"/>
            </w:tcBorders>
          </w:tcPr>
          <w:p>
            <w:pPr>
              <w:pStyle w:val="TableParagraph"/>
              <w:spacing w:before="21"/>
              <w:rPr>
                <w:sz w:val="21"/>
              </w:rPr>
            </w:pPr>
            <w:r>
              <w:rPr>
                <w:spacing w:val="-1"/>
                <w:sz w:val="21"/>
              </w:rPr>
              <w:t>【风险评估与管理策略】</w:t>
            </w:r>
          </w:p>
        </w:tc>
      </w:tr>
    </w:tbl>
    <w:p>
      <w:pPr>
        <w:spacing w:after="0"/>
        <w:rPr>
          <w:sz w:val="21"/>
        </w:rPr>
        <w:sectPr>
          <w:footerReference w:type="default" r:id="rId12"/>
          <w:pgSz w:w="11910" w:h="16840"/>
          <w:pgMar w:top="1520" w:right="1420" w:bottom="1380" w:left="1680" w:header="0" w:footer="1198"/>
          <w:pgNumType w:start="8"/>
          <w:cols w:space="708"/>
        </w:sectPr>
      </w:pPr>
    </w:p>
    <w:p>
      <w:pPr>
        <w:pStyle w:val="BodyText"/>
        <w:spacing w:before="37"/>
        <w:ind w:left="680"/>
      </w:pPr>
      <w:r>
        <w:rPr>
          <w:spacing w:val="-1"/>
        </w:rPr>
        <w:t>室内空气污染物的健康影响评估</w:t>
      </w:r>
    </w:p>
    <w:p>
      <w:pPr>
        <w:pStyle w:val="BodyText"/>
        <w:spacing w:before="8"/>
        <w:ind w:left="0"/>
        <w:rPr>
          <w:sz w:val="20"/>
        </w:rPr>
      </w:pPr>
    </w:p>
    <w:p>
      <w:pPr>
        <w:pStyle w:val="BodyText"/>
        <w:spacing w:before="1" w:line="417" w:lineRule="auto"/>
        <w:ind w:right="378"/>
        <w:jc w:val="both"/>
      </w:pPr>
      <w:r>
        <w:rPr>
          <w:spacing w:val="-8"/>
        </w:rPr>
        <w:t>室内空气质量对人类健康具有重要影响。由于人们大部分时间都在室</w:t>
      </w:r>
      <w:r>
        <w:rPr>
          <w:spacing w:val="-4"/>
        </w:rPr>
        <w:t>内度过，因此室内空气中的有害物质对健康的潜在风险不容忽视。本</w:t>
      </w:r>
      <w:r>
        <w:rPr>
          <w:spacing w:val="-6"/>
        </w:rPr>
        <w:t>文将探讨几种常见的室内空气污染物及其对人体健康的影响，并简要</w:t>
      </w:r>
      <w:r>
        <w:rPr>
          <w:spacing w:val="-2"/>
        </w:rPr>
        <w:t>介绍如何对这些影响进行评估。</w:t>
      </w:r>
    </w:p>
    <w:p>
      <w:pPr>
        <w:pStyle w:val="BodyText"/>
        <w:spacing w:line="358" w:lineRule="exact"/>
      </w:pPr>
      <w:r>
        <w:rPr>
          <w:spacing w:val="-1"/>
        </w:rPr>
        <w:t>一、常见室内空气污染物及其健康影响</w:t>
      </w:r>
    </w:p>
    <w:p>
      <w:pPr>
        <w:pStyle w:val="BodyText"/>
        <w:spacing w:before="8"/>
        <w:ind w:left="0"/>
        <w:rPr>
          <w:sz w:val="20"/>
        </w:rPr>
      </w:pPr>
    </w:p>
    <w:p>
      <w:pPr>
        <w:pStyle w:val="ListParagraph"/>
        <w:numPr>
          <w:ilvl w:val="0"/>
          <w:numId w:val="17"/>
        </w:numPr>
        <w:tabs>
          <w:tab w:val="left" w:pos="547"/>
        </w:tabs>
        <w:spacing w:before="1" w:after="0" w:line="417" w:lineRule="auto"/>
        <w:ind w:left="120" w:right="98" w:firstLine="0"/>
        <w:jc w:val="left"/>
        <w:rPr>
          <w:sz w:val="28"/>
        </w:rPr>
      </w:pPr>
      <w:r>
        <w:rPr>
          <w:spacing w:val="-2"/>
          <w:sz w:val="28"/>
        </w:rPr>
        <w:t>甲醛：甲醛是一种挥发性有机化合物</w:t>
      </w:r>
      <w:r>
        <w:rPr>
          <w:spacing w:val="21"/>
          <w:sz w:val="28"/>
        </w:rPr>
        <w:t>（</w:t>
      </w:r>
      <w:r>
        <w:rPr>
          <w:spacing w:val="15"/>
          <w:sz w:val="28"/>
        </w:rPr>
        <w:t>VOCs</w:t>
      </w:r>
      <w:r>
        <w:rPr>
          <w:spacing w:val="-118"/>
          <w:sz w:val="28"/>
        </w:rPr>
        <w:t>）</w:t>
      </w:r>
      <w:r>
        <w:rPr>
          <w:spacing w:val="-2"/>
          <w:sz w:val="28"/>
        </w:rPr>
        <w:t>，主要来源于家具、</w:t>
      </w:r>
      <w:r>
        <w:rPr>
          <w:spacing w:val="-2"/>
          <w:sz w:val="28"/>
        </w:rPr>
        <w:t>建筑材料及清洁剂等。长期暴露于甲醛环境中可能导致眼刺激、呼吸</w:t>
      </w:r>
      <w:r>
        <w:rPr>
          <w:spacing w:val="-2"/>
          <w:sz w:val="28"/>
        </w:rPr>
        <w:t xml:space="preserve"> </w:t>
      </w:r>
      <w:r>
        <w:rPr>
          <w:spacing w:val="-2"/>
          <w:sz w:val="28"/>
        </w:rPr>
        <w:t>道不适、过敏反应甚至癌症。</w:t>
      </w:r>
    </w:p>
    <w:p>
      <w:pPr>
        <w:pStyle w:val="ListParagraph"/>
        <w:numPr>
          <w:ilvl w:val="0"/>
          <w:numId w:val="17"/>
        </w:numPr>
        <w:tabs>
          <w:tab w:val="left" w:pos="540"/>
        </w:tabs>
        <w:spacing w:before="0" w:after="0" w:line="417" w:lineRule="auto"/>
        <w:ind w:left="120" w:right="238" w:firstLine="0"/>
        <w:jc w:val="left"/>
        <w:rPr>
          <w:sz w:val="28"/>
        </w:rPr>
      </w:pPr>
      <w:r>
        <w:rPr>
          <w:spacing w:val="-29"/>
          <w:sz w:val="28"/>
        </w:rPr>
        <w:t>二氧化碳</w:t>
      </w:r>
      <w:r>
        <w:rPr>
          <w:spacing w:val="-6"/>
          <w:sz w:val="28"/>
        </w:rPr>
        <w:t>（CO2）：室内空气中过高的二氧化碳浓度可能引起头痛、</w:t>
      </w:r>
      <w:r>
        <w:rPr>
          <w:spacing w:val="-2"/>
          <w:sz w:val="28"/>
        </w:rPr>
        <w:t>疲劳、注意力不集中等症状，严重时可导致认知功能下降。</w:t>
      </w:r>
    </w:p>
    <w:p>
      <w:pPr>
        <w:pStyle w:val="ListParagraph"/>
        <w:numPr>
          <w:ilvl w:val="0"/>
          <w:numId w:val="17"/>
        </w:numPr>
        <w:tabs>
          <w:tab w:val="left" w:pos="542"/>
        </w:tabs>
        <w:spacing w:before="0" w:after="0" w:line="417" w:lineRule="auto"/>
        <w:ind w:left="120" w:right="378" w:firstLine="0"/>
        <w:jc w:val="both"/>
        <w:rPr>
          <w:sz w:val="28"/>
        </w:rPr>
      </w:pPr>
      <w:r>
        <w:rPr>
          <w:spacing w:val="-2"/>
          <w:sz w:val="28"/>
        </w:rPr>
        <w:t>颗粒物（PM）：室内空气中的颗粒物主要来源于烟草烟雾、烹饪</w:t>
      </w:r>
      <w:r>
        <w:rPr>
          <w:sz w:val="28"/>
        </w:rPr>
        <w:t>油烟以及室外空气的渗透。PM 可引起呼吸道疾病、心血管疾病和肺</w:t>
      </w:r>
      <w:r>
        <w:rPr>
          <w:spacing w:val="-6"/>
          <w:sz w:val="28"/>
        </w:rPr>
        <w:t>癌。</w:t>
      </w:r>
    </w:p>
    <w:p>
      <w:pPr>
        <w:pStyle w:val="ListParagraph"/>
        <w:numPr>
          <w:ilvl w:val="0"/>
          <w:numId w:val="17"/>
        </w:numPr>
        <w:tabs>
          <w:tab w:val="left" w:pos="542"/>
        </w:tabs>
        <w:spacing w:before="0" w:after="0" w:line="417" w:lineRule="auto"/>
        <w:ind w:left="120" w:right="378" w:firstLine="0"/>
        <w:jc w:val="both"/>
        <w:rPr>
          <w:sz w:val="28"/>
        </w:rPr>
      </w:pPr>
      <w:r>
        <w:rPr>
          <w:spacing w:val="-2"/>
          <w:sz w:val="28"/>
        </w:rPr>
        <w:t>生物污染物：包括细菌、病毒、霉菌孢子等微生物，以及动物皮</w:t>
      </w:r>
      <w:r>
        <w:rPr>
          <w:spacing w:val="-4"/>
          <w:sz w:val="28"/>
        </w:rPr>
        <w:t>屑和昆虫排泄物。这些污染物可能引发过敏反应、哮喘、呼吸道感染</w:t>
      </w:r>
      <w:r>
        <w:rPr>
          <w:spacing w:val="-4"/>
          <w:sz w:val="28"/>
        </w:rPr>
        <w:t>等疾病。</w:t>
      </w:r>
    </w:p>
    <w:p>
      <w:pPr>
        <w:pStyle w:val="BodyText"/>
        <w:spacing w:line="358" w:lineRule="exact"/>
      </w:pPr>
      <w:r>
        <w:rPr>
          <w:spacing w:val="-1"/>
        </w:rPr>
        <w:t>二、健康影响评估方法</w:t>
      </w:r>
    </w:p>
    <w:p>
      <w:pPr>
        <w:pStyle w:val="BodyText"/>
        <w:spacing w:before="7"/>
        <w:ind w:left="0"/>
        <w:rPr>
          <w:sz w:val="20"/>
        </w:rPr>
      </w:pPr>
    </w:p>
    <w:p>
      <w:pPr>
        <w:pStyle w:val="ListParagraph"/>
        <w:numPr>
          <w:ilvl w:val="0"/>
          <w:numId w:val="16"/>
        </w:numPr>
        <w:tabs>
          <w:tab w:val="left" w:pos="540"/>
        </w:tabs>
        <w:spacing w:before="0" w:after="0" w:line="417" w:lineRule="auto"/>
        <w:ind w:left="120" w:right="180" w:firstLine="0"/>
        <w:jc w:val="left"/>
        <w:rPr>
          <w:sz w:val="28"/>
        </w:rPr>
      </w:pPr>
      <w:r>
        <w:rPr>
          <w:spacing w:val="-16"/>
          <w:sz w:val="28"/>
        </w:rPr>
        <w:t>剂量-反应关系分析：评估污染物浓度与人体健康效应之间的关系。</w:t>
      </w:r>
      <w:r>
        <w:rPr>
          <w:sz w:val="28"/>
        </w:rPr>
        <w:t>通过收集不同浓度水平下人群的健康数据，建立剂量-反应曲线，从而预测特定浓度下的健康风险。</w:t>
      </w:r>
    </w:p>
    <w:p>
      <w:pPr>
        <w:pStyle w:val="ListParagraph"/>
        <w:numPr>
          <w:ilvl w:val="0"/>
          <w:numId w:val="16"/>
        </w:numPr>
        <w:tabs>
          <w:tab w:val="left" w:pos="542"/>
        </w:tabs>
        <w:spacing w:before="0" w:after="0" w:line="358" w:lineRule="exact"/>
        <w:ind w:left="541" w:right="0" w:hanging="422"/>
        <w:jc w:val="left"/>
        <w:rPr>
          <w:sz w:val="28"/>
        </w:rPr>
      </w:pPr>
      <w:r>
        <w:rPr>
          <w:spacing w:val="-1"/>
          <w:sz w:val="28"/>
        </w:rPr>
        <w:t>流行病学研究：通过调查和比较暴露与非暴露人群的发病率和死</w:t>
      </w:r>
    </w:p>
    <w:p>
      <w:pPr>
        <w:spacing w:after="0" w:line="358" w:lineRule="exact"/>
        <w:jc w:val="left"/>
        <w:rPr>
          <w:sz w:val="28"/>
        </w:rPr>
      </w:pPr>
      <w:r>
        <w:rPr>
          <w:sz w:val="28"/>
        </w:rPr>
        <w:br/>
      </w:r>
      <w:r>
        <w:rPr>
          <w:sz w:val="28"/>
        </w:rPr>
        <w:br/>
      </w:r>
    </w:p>
    <w:p>
      <w:pPr>
        <w:widowControl/>
        <w:autoSpaceDE/>
        <w:autoSpaceDN/>
        <w:spacing w:before="0" w:after="0" w:line="240" w:lineRule="auto"/>
        <w:ind w:left="0" w:right="0"/>
        <w:jc w:val="left"/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13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https://d.book118.com/838100056065006043</w:t>
        </w:r>
      </w:hyperlink>
    </w:p>
    <w:p>
      <w:pPr>
        <w:spacing w:after="0" w:line="358" w:lineRule="exact"/>
        <w:jc w:val="left"/>
        <w:rPr>
          <w:sz w:val="28"/>
        </w:rPr>
      </w:pPr>
    </w:p>
    <w:sectPr>
      <w:footerReference w:type="default" r:id="rId14"/>
      <w:pgSz w:w="11910" w:h="16840"/>
      <w:pgMar w:top="1520" w:right="1420" w:bottom="1380" w:left="1680" w:header="0" w:footer="1198"/>
      <w:pgNumType w:start="9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charset w:val="00"/>
    <w:family w:val="roman"/>
    <w:pitch w:val="variable"/>
    <w:sig w:usb0="00000000" w:usb1="00000000" w:usb2="00000000" w:usb3="00000000" w:csb0="00000001" w:csb1="00000000"/>
  </w:font>
  <w:font w:name="Microsoft JhengHei">
    <w:altName w:val="Microsoft JhengHei"/>
    <w:charset w:val="00"/>
    <w:family w:val="swiss"/>
    <w:pitch w:val="variable"/>
    <w:sig w:usb0="00000000" w:usb1="00000000" w:usb2="00000000" w:usb3="00000000" w:csb0="00000001" w:csb1="00000000"/>
  </w:font>
  <w:font w:name="仿宋">
    <w:altName w:val="仿宋"/>
    <w:charset w:val="86"/>
    <w:family w:val="modern"/>
    <w:pitch w:val="fixed"/>
    <w:sig w:usb0="00000000" w:usb1="00000000" w:usb2="00000000" w:usb3="00000000" w:csb0="00040000" w:csb1="00000000"/>
  </w:font>
  <w:font w:name="Calibri">
    <w:altName w:val="Calibri"/>
    <w:charset w:val="00"/>
    <w:family w:val="swiss"/>
    <w:pitch w:val="variable"/>
    <w:sig w:usb0="00000000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width:29.05pt;height:12pt;margin-top:770.98pt;margin-left:284.4pt;mso-position-horizontal-relative:page;mso-position-vertical-relative:page;position:absolute;z-index:-251658240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1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10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width:29.05pt;height:12pt;margin-top:770.98pt;margin-left:284.4pt;mso-position-horizontal-relative:page;mso-position-vertical-relative:page;position:absolute;z-index:-251657216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2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10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width:29.05pt;height:12pt;margin-top:770.98pt;margin-left:284.4pt;mso-position-horizontal-relative:page;mso-position-vertical-relative:page;position:absolute;z-index:-251656192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3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10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width:29.05pt;height:12pt;margin-top:770.98pt;margin-left:284.4pt;mso-position-horizontal-relative:page;mso-position-vertical-relative:page;position:absolute;z-index:-251655168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4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10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width:29.05pt;height:12pt;margin-top:770.98pt;margin-left:284.4pt;mso-position-horizontal-relative:page;mso-position-vertical-relative:page;position:absolute;z-index:-251654144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5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10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width:29.05pt;height:12pt;margin-top:770.98pt;margin-left:284.4pt;mso-position-horizontal-relative:page;mso-position-vertical-relative:page;position:absolute;z-index:-251653120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6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10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width:29.05pt;height:12pt;margin-top:770.98pt;margin-left:284.4pt;mso-position-horizontal-relative:page;mso-position-vertical-relative:page;position:absolute;z-index:-251652096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7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10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width:29.05pt;height:12pt;margin-top:770.98pt;margin-left:284.4pt;mso-position-horizontal-relative:page;mso-position-vertical-relative:page;position:absolute;z-index:-251651072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8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10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7" type="#_x0000_t202" style="width:29.05pt;height:12pt;margin-top:770.98pt;margin-left:284.4pt;mso-position-horizontal-relative:page;mso-position-vertical-relative:page;position:absolute;z-index:-251650048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10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10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A352613"/>
    <w:multiLevelType w:val="hybridMultilevel"/>
    <w:tmpl w:val="00000000"/>
    <w:lvl w:ilvl="0">
      <w:start w:val="1"/>
      <w:numFmt w:val="decimal"/>
      <w:lvlText w:val="%1."/>
      <w:lvlJc w:val="left"/>
      <w:pPr>
        <w:ind w:left="540" w:hanging="420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366" w:hanging="420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2193" w:hanging="420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3019" w:hanging="420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846" w:hanging="420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673" w:hanging="420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499" w:hanging="420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326" w:hanging="420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152" w:hanging="420"/>
      </w:pPr>
      <w:rPr>
        <w:rFonts w:hint="default"/>
        <w:lang w:val="en-US" w:eastAsia="zh-CN" w:bidi="ar-SA"/>
      </w:rPr>
    </w:lvl>
  </w:abstractNum>
  <w:abstractNum w:abstractNumId="1">
    <w:nsid w:val="11F3425E"/>
    <w:multiLevelType w:val="hybridMultilevel"/>
    <w:tmpl w:val="00000000"/>
    <w:lvl w:ilvl="0">
      <w:start w:val="1"/>
      <w:numFmt w:val="decimal"/>
      <w:lvlText w:val="%1."/>
      <w:lvlJc w:val="left"/>
      <w:pPr>
        <w:ind w:left="120" w:hanging="428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-"/>
      <w:lvlJc w:val="left"/>
      <w:pPr>
        <w:ind w:left="120" w:hanging="280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857" w:hanging="280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725" w:hanging="280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594" w:hanging="280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463" w:hanging="280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331" w:hanging="280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200" w:hanging="280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068" w:hanging="280"/>
      </w:pPr>
      <w:rPr>
        <w:rFonts w:hint="default"/>
        <w:lang w:val="en-US" w:eastAsia="zh-CN" w:bidi="ar-SA"/>
      </w:rPr>
    </w:lvl>
  </w:abstractNum>
  <w:abstractNum w:abstractNumId="2">
    <w:nsid w:val="1BDC5165"/>
    <w:multiLevelType w:val="hybridMultilevel"/>
    <w:tmpl w:val="00000000"/>
    <w:lvl w:ilvl="0">
      <w:start w:val="1"/>
      <w:numFmt w:val="decimal"/>
      <w:lvlText w:val="%1."/>
      <w:lvlJc w:val="left"/>
      <w:pPr>
        <w:ind w:left="120" w:hanging="420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988" w:hanging="420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857" w:hanging="420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725" w:hanging="420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594" w:hanging="420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463" w:hanging="420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331" w:hanging="420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200" w:hanging="420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068" w:hanging="420"/>
      </w:pPr>
      <w:rPr>
        <w:rFonts w:hint="default"/>
        <w:lang w:val="en-US" w:eastAsia="zh-CN" w:bidi="ar-SA"/>
      </w:rPr>
    </w:lvl>
  </w:abstractNum>
  <w:abstractNum w:abstractNumId="3">
    <w:nsid w:val="1ECD4D5F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2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3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4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5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46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87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28" w:hanging="263"/>
      </w:pPr>
      <w:rPr>
        <w:rFonts w:hint="default"/>
        <w:lang w:val="en-US" w:eastAsia="zh-CN" w:bidi="ar-SA"/>
      </w:rPr>
    </w:lvl>
  </w:abstractNum>
  <w:abstractNum w:abstractNumId="4">
    <w:nsid w:val="1F2575BC"/>
    <w:multiLevelType w:val="hybridMultilevel"/>
    <w:tmpl w:val="00000000"/>
    <w:lvl w:ilvl="0">
      <w:start w:val="1"/>
      <w:numFmt w:val="decimal"/>
      <w:lvlText w:val="%1."/>
      <w:lvlJc w:val="left"/>
      <w:pPr>
        <w:ind w:left="120" w:hanging="420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988" w:hanging="420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857" w:hanging="420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725" w:hanging="420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594" w:hanging="420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463" w:hanging="420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331" w:hanging="420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200" w:hanging="420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068" w:hanging="420"/>
      </w:pPr>
      <w:rPr>
        <w:rFonts w:hint="default"/>
        <w:lang w:val="en-US" w:eastAsia="zh-CN" w:bidi="ar-SA"/>
      </w:rPr>
    </w:lvl>
  </w:abstractNum>
  <w:abstractNum w:abstractNumId="5">
    <w:nsid w:val="1F74597C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2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4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5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7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48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89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1" w:hanging="263"/>
      </w:pPr>
      <w:rPr>
        <w:rFonts w:hint="default"/>
        <w:lang w:val="en-US" w:eastAsia="zh-CN" w:bidi="ar-SA"/>
      </w:rPr>
    </w:lvl>
  </w:abstractNum>
  <w:abstractNum w:abstractNumId="6">
    <w:nsid w:val="24BD51C1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2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4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5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7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48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89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1" w:hanging="263"/>
      </w:pPr>
      <w:rPr>
        <w:rFonts w:hint="default"/>
        <w:lang w:val="en-US" w:eastAsia="zh-CN" w:bidi="ar-SA"/>
      </w:rPr>
    </w:lvl>
  </w:abstractNum>
  <w:abstractNum w:abstractNumId="7">
    <w:nsid w:val="2A474501"/>
    <w:multiLevelType w:val="hybridMultilevel"/>
    <w:tmpl w:val="00000000"/>
    <w:lvl w:ilvl="0">
      <w:start w:val="1"/>
      <w:numFmt w:val="decimal"/>
      <w:lvlText w:val="%1."/>
      <w:lvlJc w:val="left"/>
      <w:pPr>
        <w:ind w:left="120" w:hanging="427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988" w:hanging="427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857" w:hanging="427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725" w:hanging="427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594" w:hanging="427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463" w:hanging="427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331" w:hanging="427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200" w:hanging="427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068" w:hanging="427"/>
      </w:pPr>
      <w:rPr>
        <w:rFonts w:hint="default"/>
        <w:lang w:val="en-US" w:eastAsia="zh-CN" w:bidi="ar-SA"/>
      </w:rPr>
    </w:lvl>
  </w:abstractNum>
  <w:abstractNum w:abstractNumId="8">
    <w:nsid w:val="313A0006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4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7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49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0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2" w:hanging="263"/>
      </w:pPr>
      <w:rPr>
        <w:rFonts w:hint="default"/>
        <w:lang w:val="en-US" w:eastAsia="zh-CN" w:bidi="ar-SA"/>
      </w:rPr>
    </w:lvl>
  </w:abstractNum>
  <w:abstractNum w:abstractNumId="9">
    <w:nsid w:val="3512078B"/>
    <w:multiLevelType w:val="hybridMultilevel"/>
    <w:tmpl w:val="00000000"/>
    <w:lvl w:ilvl="0">
      <w:start w:val="1"/>
      <w:numFmt w:val="decimal"/>
      <w:lvlText w:val="%1."/>
      <w:lvlJc w:val="left"/>
      <w:pPr>
        <w:ind w:left="120" w:hanging="422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988" w:hanging="422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857" w:hanging="422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725" w:hanging="422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594" w:hanging="422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463" w:hanging="422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331" w:hanging="422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200" w:hanging="422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068" w:hanging="422"/>
      </w:pPr>
      <w:rPr>
        <w:rFonts w:hint="default"/>
        <w:lang w:val="en-US" w:eastAsia="zh-CN" w:bidi="ar-SA"/>
      </w:rPr>
    </w:lvl>
  </w:abstractNum>
  <w:abstractNum w:abstractNumId="10">
    <w:nsid w:val="43324830"/>
    <w:multiLevelType w:val="hybridMultilevel"/>
    <w:tmpl w:val="00000000"/>
    <w:lvl w:ilvl="0">
      <w:start w:val="1"/>
      <w:numFmt w:val="decimal"/>
      <w:lvlText w:val="%1."/>
      <w:lvlJc w:val="left"/>
      <w:pPr>
        <w:ind w:left="120" w:hanging="420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988" w:hanging="420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857" w:hanging="420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725" w:hanging="420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594" w:hanging="420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463" w:hanging="420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331" w:hanging="420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200" w:hanging="420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068" w:hanging="420"/>
      </w:pPr>
      <w:rPr>
        <w:rFonts w:hint="default"/>
        <w:lang w:val="en-US" w:eastAsia="zh-CN" w:bidi="ar-SA"/>
      </w:rPr>
    </w:lvl>
  </w:abstractNum>
  <w:abstractNum w:abstractNumId="11">
    <w:nsid w:val="46FB04EF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2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4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5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7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48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89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1" w:hanging="263"/>
      </w:pPr>
      <w:rPr>
        <w:rFonts w:hint="default"/>
        <w:lang w:val="en-US" w:eastAsia="zh-CN" w:bidi="ar-SA"/>
      </w:rPr>
    </w:lvl>
  </w:abstractNum>
  <w:abstractNum w:abstractNumId="12">
    <w:nsid w:val="4A5604E9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2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4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6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8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10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2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4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6" w:hanging="263"/>
      </w:pPr>
      <w:rPr>
        <w:rFonts w:hint="default"/>
        <w:lang w:val="en-US" w:eastAsia="zh-CN" w:bidi="ar-SA"/>
      </w:rPr>
    </w:lvl>
  </w:abstractNum>
  <w:abstractNum w:abstractNumId="13">
    <w:nsid w:val="4B0F04E1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2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4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5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7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48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89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1" w:hanging="263"/>
      </w:pPr>
      <w:rPr>
        <w:rFonts w:hint="default"/>
        <w:lang w:val="en-US" w:eastAsia="zh-CN" w:bidi="ar-SA"/>
      </w:rPr>
    </w:lvl>
  </w:abstractNum>
  <w:abstractNum w:abstractNumId="14">
    <w:nsid w:val="4EAD38EB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1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15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2" w:hanging="215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4" w:hanging="215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5" w:hanging="215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7" w:hanging="215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48" w:hanging="215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89" w:hanging="215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1" w:hanging="215"/>
      </w:pPr>
      <w:rPr>
        <w:rFonts w:hint="default"/>
        <w:lang w:val="en-US" w:eastAsia="zh-CN" w:bidi="ar-SA"/>
      </w:rPr>
    </w:lvl>
  </w:abstractNum>
  <w:abstractNum w:abstractNumId="15">
    <w:nsid w:val="4F39F5F5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1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10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10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4" w:hanging="210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10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7" w:hanging="210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49" w:hanging="210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0" w:hanging="210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2" w:hanging="210"/>
      </w:pPr>
      <w:rPr>
        <w:rFonts w:hint="default"/>
        <w:lang w:val="en-US" w:eastAsia="zh-CN" w:bidi="ar-SA"/>
      </w:rPr>
    </w:lvl>
  </w:abstractNum>
  <w:abstractNum w:abstractNumId="16">
    <w:nsid w:val="54F553DC"/>
    <w:multiLevelType w:val="hybridMultilevel"/>
    <w:tmpl w:val="00000000"/>
    <w:lvl w:ilvl="0">
      <w:start w:val="1"/>
      <w:numFmt w:val="decimal"/>
      <w:lvlText w:val="%1."/>
      <w:lvlJc w:val="left"/>
      <w:pPr>
        <w:ind w:left="120" w:hanging="422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988" w:hanging="422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857" w:hanging="422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725" w:hanging="422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594" w:hanging="422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463" w:hanging="422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331" w:hanging="422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200" w:hanging="422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068" w:hanging="422"/>
      </w:pPr>
      <w:rPr>
        <w:rFonts w:hint="default"/>
        <w:lang w:val="en-US" w:eastAsia="zh-CN" w:bidi="ar-SA"/>
      </w:rPr>
    </w:lvl>
  </w:abstractNum>
  <w:abstractNum w:abstractNumId="17">
    <w:nsid w:val="621F4A97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2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4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5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7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48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89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1" w:hanging="263"/>
      </w:pPr>
      <w:rPr>
        <w:rFonts w:hint="default"/>
        <w:lang w:val="en-US" w:eastAsia="zh-CN" w:bidi="ar-SA"/>
      </w:rPr>
    </w:lvl>
  </w:abstractNum>
  <w:abstractNum w:abstractNumId="18">
    <w:nsid w:val="63E24760"/>
    <w:multiLevelType w:val="hybridMultilevel"/>
    <w:tmpl w:val="00000000"/>
    <w:lvl w:ilvl="0">
      <w:start w:val="1"/>
      <w:numFmt w:val="decimal"/>
      <w:lvlText w:val="%1."/>
      <w:lvlJc w:val="left"/>
      <w:pPr>
        <w:ind w:left="120" w:hanging="420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988" w:hanging="420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857" w:hanging="420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725" w:hanging="420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594" w:hanging="420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463" w:hanging="420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331" w:hanging="420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200" w:hanging="420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068" w:hanging="420"/>
      </w:pPr>
      <w:rPr>
        <w:rFonts w:hint="default"/>
        <w:lang w:val="en-US" w:eastAsia="zh-CN" w:bidi="ar-SA"/>
      </w:rPr>
    </w:lvl>
  </w:abstractNum>
  <w:abstractNum w:abstractNumId="19">
    <w:nsid w:val="66E1A5C4"/>
    <w:multiLevelType w:val="hybridMultilevel"/>
    <w:tmpl w:val="00000000"/>
    <w:lvl w:ilvl="0">
      <w:start w:val="1"/>
      <w:numFmt w:val="decimal"/>
      <w:lvlText w:val="%1."/>
      <w:lvlJc w:val="left"/>
      <w:pPr>
        <w:ind w:left="120" w:hanging="422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988" w:hanging="422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857" w:hanging="422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725" w:hanging="422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594" w:hanging="422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463" w:hanging="422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331" w:hanging="422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200" w:hanging="422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068" w:hanging="422"/>
      </w:pPr>
      <w:rPr>
        <w:rFonts w:hint="default"/>
        <w:lang w:val="en-US" w:eastAsia="zh-CN" w:bidi="ar-SA"/>
      </w:rPr>
    </w:lvl>
  </w:abstractNum>
  <w:abstractNum w:abstractNumId="20">
    <w:nsid w:val="6948AD77"/>
    <w:multiLevelType w:val="hybridMultilevel"/>
    <w:tmpl w:val="00000000"/>
    <w:lvl w:ilvl="0">
      <w:start w:val="2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2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4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5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7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48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89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1" w:hanging="263"/>
      </w:pPr>
      <w:rPr>
        <w:rFonts w:hint="default"/>
        <w:lang w:val="en-US" w:eastAsia="zh-CN" w:bidi="ar-SA"/>
      </w:rPr>
    </w:lvl>
  </w:abstractNum>
  <w:abstractNum w:abstractNumId="21">
    <w:nsid w:val="69FA7DAB"/>
    <w:multiLevelType w:val="hybridMultilevel"/>
    <w:tmpl w:val="00000000"/>
    <w:lvl w:ilvl="0">
      <w:start w:val="1"/>
      <w:numFmt w:val="decimal"/>
      <w:lvlText w:val="%1."/>
      <w:lvlJc w:val="left"/>
      <w:pPr>
        <w:ind w:left="120" w:hanging="422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988" w:hanging="422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857" w:hanging="422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725" w:hanging="422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594" w:hanging="422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463" w:hanging="422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331" w:hanging="422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200" w:hanging="422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068" w:hanging="422"/>
      </w:pPr>
      <w:rPr>
        <w:rFonts w:hint="default"/>
        <w:lang w:val="en-US" w:eastAsia="zh-CN" w:bidi="ar-SA"/>
      </w:rPr>
    </w:lvl>
  </w:abstractNum>
  <w:abstractNum w:abstractNumId="22">
    <w:nsid w:val="767EE91C"/>
    <w:multiLevelType w:val="hybridMultilevel"/>
    <w:tmpl w:val="00000000"/>
    <w:lvl w:ilvl="0">
      <w:start w:val="1"/>
      <w:numFmt w:val="decimal"/>
      <w:lvlText w:val="%1."/>
      <w:lvlJc w:val="left"/>
      <w:pPr>
        <w:ind w:left="120" w:hanging="420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988" w:hanging="420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857" w:hanging="420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725" w:hanging="420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594" w:hanging="420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463" w:hanging="420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331" w:hanging="420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200" w:hanging="420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068" w:hanging="420"/>
      </w:pPr>
      <w:rPr>
        <w:rFonts w:hint="default"/>
        <w:lang w:val="en-US" w:eastAsia="zh-CN" w:bidi="ar-SA"/>
      </w:rPr>
    </w:lvl>
  </w:abstractNum>
  <w:abstractNum w:abstractNumId="23">
    <w:nsid w:val="7F89BABB"/>
    <w:multiLevelType w:val="hybridMultilevel"/>
    <w:tmpl w:val="00000000"/>
    <w:lvl w:ilvl="0">
      <w:start w:val="2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0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1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2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3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4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45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86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27" w:hanging="263"/>
      </w:pPr>
      <w:rPr>
        <w:rFonts w:hint="default"/>
        <w:lang w:val="en-US" w:eastAsia="zh-CN" w:bidi="ar-SA"/>
      </w:rPr>
    </w:lvl>
  </w:abstractNum>
  <w:num w:numId="1">
    <w:abstractNumId w:val="16"/>
  </w:num>
  <w:num w:numId="2">
    <w:abstractNumId w:val="3"/>
  </w:num>
  <w:num w:numId="3">
    <w:abstractNumId w:val="23"/>
  </w:num>
  <w:num w:numId="4">
    <w:abstractNumId w:val="2"/>
  </w:num>
  <w:num w:numId="5">
    <w:abstractNumId w:val="18"/>
  </w:num>
  <w:num w:numId="6">
    <w:abstractNumId w:val="13"/>
  </w:num>
  <w:num w:numId="7">
    <w:abstractNumId w:val="11"/>
  </w:num>
  <w:num w:numId="8">
    <w:abstractNumId w:val="17"/>
  </w:num>
  <w:num w:numId="9">
    <w:abstractNumId w:val="20"/>
  </w:num>
  <w:num w:numId="10">
    <w:abstractNumId w:val="5"/>
  </w:num>
  <w:num w:numId="11">
    <w:abstractNumId w:val="6"/>
  </w:num>
  <w:num w:numId="12">
    <w:abstractNumId w:val="14"/>
  </w:num>
  <w:num w:numId="13">
    <w:abstractNumId w:val="21"/>
  </w:num>
  <w:num w:numId="14">
    <w:abstractNumId w:val="0"/>
  </w:num>
  <w:num w:numId="15">
    <w:abstractNumId w:val="8"/>
  </w:num>
  <w:num w:numId="16">
    <w:abstractNumId w:val="10"/>
  </w:num>
  <w:num w:numId="17">
    <w:abstractNumId w:val="7"/>
  </w:num>
  <w:num w:numId="18">
    <w:abstractNumId w:val="19"/>
  </w:num>
  <w:num w:numId="19">
    <w:abstractNumId w:val="4"/>
  </w:num>
  <w:num w:numId="20">
    <w:abstractNumId w:val="9"/>
  </w:num>
  <w:num w:numId="21">
    <w:abstractNumId w:val="22"/>
  </w:num>
  <w:num w:numId="22">
    <w:abstractNumId w:val="12"/>
  </w:num>
  <w:num w:numId="23">
    <w:abstractNumId w:val="1"/>
  </w:num>
  <w:num w:numId="2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  <w:spacing w:before="0" w:after="0" w:line="240" w:lineRule="auto"/>
        <w:ind w:left="0" w:right="0"/>
        <w:jc w:val="lef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仿宋" w:eastAsia="仿宋" w:hAnsi="仿宋" w:cs="仿宋"/>
      <w:lang w:val="en-US" w:eastAsia="zh-CN" w:bidi="ar-SA"/>
    </w:rPr>
  </w:style>
  <w:style w:type="paragraph" w:styleId="Heading1">
    <w:name w:val="heading 1"/>
    <w:basedOn w:val="Normal"/>
    <w:uiPriority w:val="1"/>
    <w:qFormat/>
    <w:pPr>
      <w:spacing w:before="237"/>
      <w:ind w:left="120"/>
      <w:outlineLvl w:val="0"/>
    </w:pPr>
    <w:rPr>
      <w:rFonts w:ascii="Microsoft JhengHei" w:eastAsia="Microsoft JhengHei" w:hAnsi="Microsoft JhengHei" w:cs="Microsoft JhengHei"/>
      <w:b/>
      <w:bCs/>
      <w:sz w:val="32"/>
      <w:szCs w:val="32"/>
      <w:lang w:val="en-US" w:eastAsia="zh-CN" w:bidi="ar-SA"/>
    </w:rPr>
  </w:style>
  <w:style w:type="character" w:default="1" w:styleId="DefaultParagraphFont">
    <w:name w:val="Default Paragraph Font"/>
    <w:uiPriority w:val="1"/>
    <w:semiHidden/>
    <w:unhideWhenUsed/>
  </w:style>
  <w:style w:type="numbering" w:default="1" w:styleId="NoLi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OC1">
    <w:name w:val="toc 1"/>
    <w:basedOn w:val="Normal"/>
    <w:uiPriority w:val="1"/>
    <w:qFormat/>
    <w:pPr>
      <w:spacing w:before="355"/>
      <w:ind w:left="540"/>
    </w:pPr>
    <w:rPr>
      <w:rFonts w:ascii="仿宋" w:eastAsia="仿宋" w:hAnsi="仿宋" w:cs="仿宋"/>
      <w:sz w:val="21"/>
      <w:szCs w:val="21"/>
      <w:lang w:val="en-US" w:eastAsia="zh-CN" w:bidi="ar-SA"/>
    </w:rPr>
  </w:style>
  <w:style w:type="paragraph" w:styleId="BodyText">
    <w:name w:val="Body Text"/>
    <w:basedOn w:val="Normal"/>
    <w:uiPriority w:val="1"/>
    <w:qFormat/>
    <w:pPr>
      <w:ind w:left="120"/>
    </w:pPr>
    <w:rPr>
      <w:rFonts w:ascii="仿宋" w:eastAsia="仿宋" w:hAnsi="仿宋" w:cs="仿宋"/>
      <w:sz w:val="28"/>
      <w:szCs w:val="28"/>
      <w:lang w:val="en-US" w:eastAsia="zh-CN" w:bidi="ar-SA"/>
    </w:rPr>
  </w:style>
  <w:style w:type="paragraph" w:styleId="Title">
    <w:name w:val="Title"/>
    <w:basedOn w:val="Normal"/>
    <w:uiPriority w:val="1"/>
    <w:qFormat/>
    <w:pPr>
      <w:spacing w:line="569" w:lineRule="exact"/>
      <w:ind w:left="2644" w:right="2903"/>
      <w:jc w:val="center"/>
    </w:pPr>
    <w:rPr>
      <w:rFonts w:ascii="Microsoft JhengHei" w:eastAsia="Microsoft JhengHei" w:hAnsi="Microsoft JhengHei" w:cs="Microsoft JhengHei"/>
      <w:b/>
      <w:bCs/>
      <w:sz w:val="36"/>
      <w:szCs w:val="36"/>
      <w:lang w:val="en-US" w:eastAsia="zh-CN" w:bidi="ar-SA"/>
    </w:rPr>
  </w:style>
  <w:style w:type="paragraph" w:styleId="ListParagraph">
    <w:name w:val="List Paragraph"/>
    <w:basedOn w:val="Normal"/>
    <w:uiPriority w:val="1"/>
    <w:qFormat/>
    <w:pPr>
      <w:ind w:left="120" w:right="378"/>
    </w:pPr>
    <w:rPr>
      <w:rFonts w:ascii="仿宋" w:eastAsia="仿宋" w:hAnsi="仿宋" w:cs="仿宋"/>
      <w:lang w:val="en-US" w:eastAsia="zh-CN" w:bidi="ar-SA"/>
    </w:rPr>
  </w:style>
  <w:style w:type="paragraph" w:customStyle="1" w:styleId="TableParagraph">
    <w:name w:val="Table Paragraph"/>
    <w:basedOn w:val="Normal"/>
    <w:uiPriority w:val="1"/>
    <w:qFormat/>
    <w:pPr>
      <w:ind w:left="108"/>
    </w:pPr>
    <w:rPr>
      <w:rFonts w:ascii="仿宋" w:eastAsia="仿宋" w:hAnsi="仿宋" w:cs="仿宋"/>
      <w:lang w:val="en-US" w:eastAsia="zh-CN" w:bidi="ar-SA"/>
    </w:rPr>
  </w:style>
  <w:style w:type="table" w:customStyle="1" w:styleId="TableNormal0">
    <w:name w:val="Table Normal_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_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_2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_3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_4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6.xml" /><Relationship Id="rId11" Type="http://schemas.openxmlformats.org/officeDocument/2006/relationships/footer" Target="footer7.xml" /><Relationship Id="rId12" Type="http://schemas.openxmlformats.org/officeDocument/2006/relationships/footer" Target="footer8.xml" /><Relationship Id="rId13" Type="http://schemas.openxmlformats.org/officeDocument/2006/relationships/hyperlink" Target="https://d.book118.com/838100056065006043" TargetMode="External" /><Relationship Id="rId14" Type="http://schemas.openxmlformats.org/officeDocument/2006/relationships/footer" Target="footer9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footer" Target="footer4.xml" /><Relationship Id="rId9" Type="http://schemas.openxmlformats.org/officeDocument/2006/relationships/footer" Target="footer5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  <dcterms:created xsi:type="dcterms:W3CDTF">2024-03-05T04:10:45Z</dcterms:created>
  <dcterms:modified xsi:type="dcterms:W3CDTF">2024-03-05T04:10:45Z</dcterms:modified>
</cp:coreProperties>
</file>