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33" w:line="232" w:lineRule="auto"/>
        <w:ind w:left="1165" w:right="376" w:hanging="1050"/>
        <w:outlineLvl w:val="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b/>
          <w:bCs/>
          <w:color w:val="2C5E69"/>
          <w:spacing w:val="2"/>
          <w:sz w:val="42"/>
          <w:szCs w:val="42"/>
        </w:rPr>
        <w:t>《海洋生物体中金刚烷胺的测定液相色谱-</w:t>
      </w:r>
      <w:r>
        <w:rPr>
          <w:rFonts w:ascii="SimSun" w:eastAsia="SimSun" w:hAnsi="SimSun" w:cs="SimSun"/>
          <w:color w:val="2C5E69"/>
          <w:spacing w:val="9"/>
          <w:sz w:val="42"/>
          <w:szCs w:val="42"/>
        </w:rPr>
        <w:t xml:space="preserve"> </w:t>
      </w:r>
      <w:r>
        <w:rPr>
          <w:rFonts w:ascii="SimSun" w:eastAsia="SimSun" w:hAnsi="SimSun" w:cs="SimSun"/>
          <w:b/>
          <w:bCs/>
          <w:color w:val="2C5E69"/>
          <w:spacing w:val="-7"/>
          <w:sz w:val="42"/>
          <w:szCs w:val="42"/>
        </w:rPr>
        <w:t>串联质谱法》地方标准编制说明</w:t>
      </w:r>
    </w:p>
    <w:p>
      <w:pPr>
        <w:spacing w:before="166" w:line="222" w:lineRule="auto"/>
        <w:ind w:left="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1"/>
          <w:sz w:val="30"/>
          <w:szCs w:val="30"/>
        </w:rPr>
        <w:t>一、工作简况</w:t>
      </w:r>
    </w:p>
    <w:p>
      <w:pPr>
        <w:spacing w:before="228" w:line="221" w:lineRule="auto"/>
        <w:ind w:left="26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18"/>
          <w:sz w:val="30"/>
          <w:szCs w:val="30"/>
        </w:rPr>
        <w:t>(一)任务来源</w:t>
      </w:r>
    </w:p>
    <w:p>
      <w:pPr>
        <w:pStyle w:val="BodyText"/>
        <w:spacing w:before="223" w:line="351" w:lineRule="auto"/>
        <w:ind w:right="377" w:firstLine="699"/>
        <w:jc w:val="both"/>
      </w:pPr>
      <w:r>
        <w:rPr>
          <w:spacing w:val="16"/>
        </w:rPr>
        <w:t>2019年9月4日，山东省市场监督管理局印发《关于印</w:t>
      </w:r>
      <w:r>
        <w:t xml:space="preserve"> </w:t>
      </w:r>
      <w:r>
        <w:rPr>
          <w:spacing w:val="10"/>
        </w:rPr>
        <w:t>发2019</w:t>
      </w:r>
      <w:r>
        <w:rPr>
          <w:spacing w:val="10"/>
        </w:rPr>
        <w:t xml:space="preserve"> </w:t>
      </w:r>
      <w:r>
        <w:rPr>
          <w:spacing w:val="10"/>
        </w:rPr>
        <w:t>年度标准化综合改革暨山东标准</w:t>
      </w:r>
      <w:r>
        <w:rPr>
          <w:spacing w:val="9"/>
        </w:rPr>
        <w:t>建设项目计划的通</w:t>
      </w:r>
      <w:r>
        <w:t xml:space="preserve"> </w:t>
      </w:r>
      <w:r>
        <w:rPr>
          <w:spacing w:val="30"/>
        </w:rPr>
        <w:t>知》(鲁标改办发(2019)6</w:t>
      </w:r>
      <w:r>
        <w:rPr>
          <w:spacing w:val="30"/>
        </w:rPr>
        <w:t xml:space="preserve"> </w:t>
      </w:r>
      <w:r>
        <w:rPr>
          <w:spacing w:val="30"/>
        </w:rPr>
        <w:t>号),将《海洋生物体中金刚</w:t>
      </w:r>
      <w:r>
        <w:rPr>
          <w:spacing w:val="18"/>
        </w:rPr>
        <w:t xml:space="preserve"> </w:t>
      </w:r>
      <w:r>
        <w:rPr>
          <w:spacing w:val="11"/>
        </w:rPr>
        <w:t>烷胺的测定液相色谱-串联质谱法》列入山东省地方标准制</w:t>
      </w:r>
      <w:r>
        <w:t xml:space="preserve"> </w:t>
      </w:r>
      <w:r>
        <w:rPr>
          <w:spacing w:val="10"/>
        </w:rPr>
        <w:t>修订计划，项目编号为16,由山东省海洋局提出，山东省海</w:t>
      </w:r>
      <w:r>
        <w:t xml:space="preserve"> </w:t>
      </w:r>
      <w:r>
        <w:rPr>
          <w:spacing w:val="11"/>
        </w:rPr>
        <w:t>洋标准化技术委员会(鲁</w:t>
      </w:r>
      <w:r>
        <w:rPr>
          <w:spacing w:val="11"/>
        </w:rPr>
        <w:t xml:space="preserve"> </w:t>
      </w:r>
      <w:r>
        <w:rPr>
          <w:rFonts w:ascii="SimSun" w:eastAsia="SimSun" w:hAnsi="SimSun" w:cs="SimSun"/>
        </w:rPr>
        <w:t>TC</w:t>
      </w:r>
      <w:r>
        <w:rPr>
          <w:rFonts w:ascii="SimSun" w:eastAsia="SimSun" w:hAnsi="SimSun" w:cs="SimSun"/>
          <w:spacing w:val="11"/>
        </w:rPr>
        <w:t>20)</w:t>
      </w:r>
      <w:r>
        <w:rPr>
          <w:rFonts w:ascii="SimSun" w:eastAsia="SimSun" w:hAnsi="SimSun" w:cs="SimSun"/>
          <w:spacing w:val="138"/>
        </w:rPr>
        <w:t xml:space="preserve"> </w:t>
      </w:r>
      <w:r>
        <w:rPr>
          <w:spacing w:val="11"/>
        </w:rPr>
        <w:t>归口，由山东省海洋资源</w:t>
      </w:r>
    </w:p>
    <w:p>
      <w:pPr>
        <w:pStyle w:val="BodyText"/>
        <w:spacing w:line="222" w:lineRule="auto"/>
      </w:pPr>
      <w:r>
        <w:rPr>
          <w:spacing w:val="-5"/>
        </w:rPr>
        <w:t>与环境研究院起草。</w:t>
      </w:r>
    </w:p>
    <w:p>
      <w:pPr>
        <w:spacing w:before="274" w:line="221" w:lineRule="auto"/>
        <w:ind w:left="23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8"/>
          <w:sz w:val="30"/>
          <w:szCs w:val="30"/>
        </w:rPr>
        <w:t>(二)起草单位、起草人及任务分工</w:t>
      </w:r>
    </w:p>
    <w:p>
      <w:pPr>
        <w:pStyle w:val="BodyText"/>
        <w:spacing w:before="190" w:line="351" w:lineRule="auto"/>
        <w:ind w:right="427" w:firstLine="649"/>
      </w:pPr>
      <w:r>
        <w:rPr>
          <w:spacing w:val="5"/>
        </w:rPr>
        <w:t>本标准起草单位是山东省海洋资源与环境研究</w:t>
      </w:r>
      <w:r>
        <w:rPr>
          <w:spacing w:val="4"/>
        </w:rPr>
        <w:t>院、中国</w:t>
      </w:r>
      <w:r>
        <w:t xml:space="preserve"> </w:t>
      </w:r>
      <w:r>
        <w:rPr>
          <w:spacing w:val="9"/>
        </w:rPr>
        <w:t>海洋大学。山东省海洋资源与环境研究院是一所拥有60</w:t>
      </w:r>
      <w:r>
        <w:rPr>
          <w:spacing w:val="9"/>
        </w:rPr>
        <w:t xml:space="preserve"> </w:t>
      </w:r>
      <w:r>
        <w:rPr>
          <w:spacing w:val="9"/>
        </w:rPr>
        <w:t>余</w:t>
      </w:r>
      <w:r>
        <w:rPr>
          <w:spacing w:val="13"/>
        </w:rPr>
        <w:t xml:space="preserve"> </w:t>
      </w:r>
      <w:r>
        <w:rPr>
          <w:spacing w:val="4"/>
        </w:rPr>
        <w:t>年海洋与渔业科研历史、多学科综合性的省属公益性重点科</w:t>
      </w:r>
      <w:r>
        <w:rPr>
          <w:spacing w:val="17"/>
        </w:rPr>
        <w:t xml:space="preserve"> </w:t>
      </w:r>
      <w:r>
        <w:rPr>
          <w:spacing w:val="6"/>
        </w:rPr>
        <w:t>研机构。承担国家、省部等公益性科研项目数百项，成果获</w:t>
      </w:r>
      <w:r>
        <w:t xml:space="preserve"> </w:t>
      </w:r>
      <w:r>
        <w:rPr>
          <w:spacing w:val="8"/>
        </w:rPr>
        <w:t>各级奖励120余项，多项成果达国际领先及国际先进水平。</w:t>
      </w:r>
      <w:r>
        <w:rPr>
          <w:spacing w:val="12"/>
        </w:rPr>
        <w:t xml:space="preserve"> </w:t>
      </w:r>
      <w:r>
        <w:rPr>
          <w:spacing w:val="5"/>
        </w:rPr>
        <w:t>水产品质量检验中心从属山东省海洋资源与环境研究院，中</w:t>
      </w:r>
      <w:r>
        <w:rPr>
          <w:spacing w:val="17"/>
        </w:rPr>
        <w:t xml:space="preserve"> </w:t>
      </w:r>
      <w:r>
        <w:rPr>
          <w:spacing w:val="16"/>
        </w:rPr>
        <w:t>心挂农业农村部渔业产品质量监督检验测试中心(烟台)牌</w:t>
      </w:r>
      <w:r>
        <w:rPr>
          <w:spacing w:val="2"/>
        </w:rPr>
        <w:t xml:space="preserve"> </w:t>
      </w:r>
      <w:r>
        <w:rPr>
          <w:spacing w:val="3"/>
        </w:rPr>
        <w:t>子，为山东省制订和实施渔业法规、保障水产品食用安全、</w:t>
      </w:r>
      <w:r>
        <w:t xml:space="preserve"> </w:t>
      </w:r>
      <w:r>
        <w:rPr>
          <w:spacing w:val="6"/>
        </w:rPr>
        <w:t>促进海洋和渔业可持续发展，提供了强有力的科</w:t>
      </w:r>
      <w:r>
        <w:rPr>
          <w:spacing w:val="5"/>
        </w:rPr>
        <w:t>学依据和技</w:t>
      </w:r>
      <w:r>
        <w:t xml:space="preserve"> </w:t>
      </w:r>
      <w:r>
        <w:rPr>
          <w:spacing w:val="3"/>
        </w:rPr>
        <w:t>术支持。中心先后起草了</w:t>
      </w:r>
      <w:r>
        <w:rPr>
          <w:spacing w:val="-71"/>
        </w:rPr>
        <w:t xml:space="preserve"> </w:t>
      </w:r>
      <w:r>
        <w:t>GB</w:t>
      </w:r>
      <w:r>
        <w:rPr>
          <w:spacing w:val="3"/>
        </w:rPr>
        <w:t xml:space="preserve"> </w:t>
      </w:r>
      <w:r>
        <w:rPr>
          <w:spacing w:val="3"/>
        </w:rPr>
        <w:t>31660.3-</w:t>
      </w:r>
      <w:r>
        <w:rPr>
          <w:spacing w:val="2"/>
        </w:rPr>
        <w:t>2019</w:t>
      </w:r>
      <w:r>
        <w:rPr>
          <w:spacing w:val="-40"/>
        </w:rPr>
        <w:t xml:space="preserve"> </w:t>
      </w:r>
      <w:r>
        <w:rPr>
          <w:spacing w:val="2"/>
        </w:rPr>
        <w:t>《食品安全国家</w:t>
      </w:r>
    </w:p>
    <w:p>
      <w:pPr>
        <w:pStyle w:val="BodyText"/>
        <w:spacing w:before="1" w:line="221" w:lineRule="auto"/>
        <w:rPr>
          <w:rFonts w:ascii="Times New Roman" w:eastAsia="Times New Roman" w:hAnsi="Times New Roman" w:cs="Times New Roman"/>
        </w:rPr>
      </w:pPr>
      <w:r>
        <w:rPr>
          <w:spacing w:val="32"/>
        </w:rPr>
        <w:t>标准水产品中氟乐灵残留量的测定气相色谱法</w:t>
      </w:r>
      <w:r>
        <w:rPr>
          <w:spacing w:val="31"/>
        </w:rPr>
        <w:t>》、</w:t>
      </w:r>
      <w:r>
        <w:rPr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GB</w:t>
      </w:r>
    </w:p>
    <w:p>
      <w:pPr>
        <w:spacing w:line="221" w:lineRule="auto"/>
        <w:rPr>
          <w:rFonts w:ascii="Times New Roman" w:eastAsia="Times New Roman" w:hAnsi="Times New Roman" w:cs="Times New Roman"/>
        </w:rPr>
        <w:sectPr>
          <w:pgSz w:w="11900" w:h="16830"/>
          <w:pgMar w:top="1430" w:right="1785" w:bottom="0" w:left="1720" w:header="0" w:footer="0" w:gutter="0"/>
          <w:cols w:space="708"/>
        </w:sectPr>
      </w:pPr>
    </w:p>
    <w:p>
      <w:pPr>
        <w:pStyle w:val="BodyText"/>
        <w:spacing w:before="325" w:line="352" w:lineRule="auto"/>
        <w:ind w:right="254" w:firstLine="139"/>
        <w:jc w:val="both"/>
      </w:pPr>
      <w:r>
        <w:rPr>
          <w:spacing w:val="-3"/>
        </w:rPr>
        <w:t>31660.2-2019《食品安全国家标准</w:t>
      </w:r>
      <w:r>
        <w:rPr>
          <w:spacing w:val="-4"/>
        </w:rPr>
        <w:t>水产品中辛基酚、壬基酚、</w:t>
      </w:r>
      <w:r>
        <w:t xml:space="preserve"> </w:t>
      </w:r>
      <w:r>
        <w:rPr>
          <w:spacing w:val="-6"/>
        </w:rPr>
        <w:t>双酚</w:t>
      </w:r>
      <w:r>
        <w:rPr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rPr>
          <w:rFonts w:ascii="SimSun" w:eastAsia="SimSun" w:hAnsi="SimSun" w:cs="SimSun"/>
          <w:spacing w:val="-6"/>
        </w:rPr>
        <w:t>、</w:t>
      </w:r>
      <w:r>
        <w:rPr>
          <w:spacing w:val="-6"/>
        </w:rPr>
        <w:t>已烯雌酚、雌酮、17α-乙炔雌二醇、17β-雌二醇、</w:t>
      </w:r>
      <w:r>
        <w:t xml:space="preserve">  </w:t>
      </w:r>
      <w:r>
        <w:rPr>
          <w:spacing w:val="9"/>
        </w:rPr>
        <w:t>雌三醇残留量的测定气相色谱-质谱法》、农业部1163号公</w:t>
      </w:r>
      <w:r>
        <w:rPr>
          <w:spacing w:val="3"/>
        </w:rPr>
        <w:t xml:space="preserve">  </w:t>
      </w:r>
      <w:r>
        <w:rPr>
          <w:spacing w:val="8"/>
        </w:rPr>
        <w:t>告-9-2009《水产品中己烯雌酚残留检测气相色谱-质谱法》</w:t>
      </w:r>
      <w:r>
        <w:t xml:space="preserve"> </w:t>
      </w:r>
      <w:r>
        <w:rPr>
          <w:spacing w:val="-1"/>
        </w:rPr>
        <w:t>等十余项国家、行业标准和</w:t>
      </w:r>
      <w:r>
        <w:rPr>
          <w:spacing w:val="-62"/>
        </w:rPr>
        <w:t xml:space="preserve"> </w:t>
      </w:r>
      <w:r>
        <w:rPr>
          <w:spacing w:val="-1"/>
        </w:rPr>
        <w:t>DB37/T2095-2012《</w:t>
      </w:r>
      <w:r>
        <w:rPr>
          <w:spacing w:val="-1"/>
        </w:rPr>
        <w:t xml:space="preserve"> </w:t>
      </w:r>
      <w:r>
        <w:rPr>
          <w:spacing w:val="-1"/>
        </w:rPr>
        <w:t>水产品中</w:t>
      </w:r>
      <w:r>
        <w:rPr>
          <w:spacing w:val="-2"/>
        </w:rPr>
        <w:t>乙</w:t>
      </w:r>
      <w:r>
        <w:rPr>
          <w:spacing w:val="-2"/>
        </w:rPr>
        <w:t xml:space="preserve">  </w:t>
      </w:r>
      <w:r>
        <w:rPr>
          <w:spacing w:val="15"/>
        </w:rPr>
        <w:t>酰甲喹残留量的测定液相色谱法》等近30项检测类山东省</w:t>
      </w:r>
      <w:r>
        <w:rPr>
          <w:spacing w:val="4"/>
        </w:rPr>
        <w:t xml:space="preserve">  </w:t>
      </w:r>
      <w:r>
        <w:rPr>
          <w:spacing w:val="16"/>
        </w:rPr>
        <w:t>地方标准，并参与《食品安全国家标准水产品中红霉素残</w:t>
      </w:r>
      <w:r>
        <w:rPr>
          <w:spacing w:val="4"/>
        </w:rPr>
        <w:t xml:space="preserve">  </w:t>
      </w:r>
      <w:r>
        <w:rPr>
          <w:spacing w:val="7"/>
        </w:rPr>
        <w:t>留量的测定液相色谱-串联质谱法》等十余项标准的验证工</w:t>
      </w:r>
      <w:r>
        <w:rPr>
          <w:spacing w:val="7"/>
        </w:rPr>
        <w:t xml:space="preserve">  </w:t>
      </w:r>
      <w:r>
        <w:rPr>
          <w:spacing w:val="4"/>
        </w:rPr>
        <w:t>作，熟悉标准制定工作。项目组主要成员均参加过全国水产</w:t>
      </w:r>
      <w:r>
        <w:rPr>
          <w:spacing w:val="8"/>
        </w:rPr>
        <w:t xml:space="preserve">  </w:t>
      </w:r>
      <w:r>
        <w:rPr>
          <w:spacing w:val="4"/>
        </w:rPr>
        <w:t>标准化技术委员会举办的标准培训班并获得证书，主持、参</w:t>
      </w:r>
    </w:p>
    <w:p>
      <w:pPr>
        <w:pStyle w:val="BodyText"/>
        <w:spacing w:line="220" w:lineRule="auto"/>
      </w:pPr>
      <w:r>
        <w:rPr>
          <w:spacing w:val="-4"/>
        </w:rPr>
        <w:t>与上述国家标准、行业及地方标准，熟悉标准的制修订工作。</w:t>
      </w:r>
    </w:p>
    <w:p>
      <w:pPr>
        <w:pStyle w:val="BodyText"/>
        <w:spacing w:before="266" w:line="222" w:lineRule="auto"/>
        <w:ind w:left="609"/>
      </w:pPr>
      <w:r>
        <w:rPr>
          <w:spacing w:val="-3"/>
        </w:rPr>
        <w:t>标准主要起草人及任务分工：</w:t>
      </w:r>
    </w:p>
    <w:p>
      <w:pPr>
        <w:pStyle w:val="BodyText"/>
        <w:spacing w:before="218" w:line="577" w:lineRule="exact"/>
        <w:ind w:left="609"/>
      </w:pPr>
      <w:r>
        <w:rPr>
          <w:spacing w:val="2"/>
          <w:position w:val="20"/>
        </w:rPr>
        <w:t>田秀慧：主持调查研究、标准内容设计、标准起草和修</w:t>
      </w:r>
    </w:p>
    <w:p>
      <w:pPr>
        <w:pStyle w:val="BodyText"/>
        <w:spacing w:line="220" w:lineRule="auto"/>
      </w:pPr>
      <w:r>
        <w:rPr>
          <w:spacing w:val="-10"/>
        </w:rPr>
        <w:t>改等全部工作；</w:t>
      </w:r>
    </w:p>
    <w:p>
      <w:pPr>
        <w:pStyle w:val="BodyText"/>
        <w:spacing w:before="222" w:line="560" w:lineRule="exact"/>
        <w:ind w:left="609"/>
      </w:pPr>
      <w:r>
        <w:rPr>
          <w:position w:val="19"/>
        </w:rPr>
        <w:t>刘小静：参与调查研究、标准内容设计等工作；</w:t>
      </w:r>
    </w:p>
    <w:p>
      <w:pPr>
        <w:pStyle w:val="BodyText"/>
        <w:spacing w:line="220" w:lineRule="auto"/>
        <w:ind w:left="609"/>
      </w:pPr>
      <w:r>
        <w:t>刘昕：参与调查研究、标准内容设计等工作；</w:t>
      </w:r>
    </w:p>
    <w:p>
      <w:pPr>
        <w:pStyle w:val="BodyText"/>
        <w:spacing w:before="226" w:line="586" w:lineRule="exact"/>
        <w:ind w:left="609"/>
      </w:pPr>
      <w:r>
        <w:rPr>
          <w:spacing w:val="4"/>
          <w:position w:val="21"/>
        </w:rPr>
        <w:t>任传博：参与调查研究、标准内容设计、标准起草和修</w:t>
      </w:r>
    </w:p>
    <w:p>
      <w:pPr>
        <w:pStyle w:val="BodyText"/>
        <w:spacing w:line="220" w:lineRule="auto"/>
      </w:pPr>
      <w:r>
        <w:rPr>
          <w:spacing w:val="-5"/>
        </w:rPr>
        <w:t>改、实验室分析等工作；</w:t>
      </w:r>
    </w:p>
    <w:p>
      <w:pPr>
        <w:pStyle w:val="BodyText"/>
        <w:spacing w:before="212" w:line="580" w:lineRule="exact"/>
        <w:ind w:left="609"/>
      </w:pPr>
      <w:r>
        <w:rPr>
          <w:position w:val="20"/>
        </w:rPr>
        <w:t>张秀珍：参与调查研究、标准内容设计等工作；</w:t>
      </w:r>
    </w:p>
    <w:p>
      <w:pPr>
        <w:pStyle w:val="BodyText"/>
        <w:spacing w:before="1" w:line="220" w:lineRule="auto"/>
        <w:ind w:left="609"/>
      </w:pPr>
      <w:r>
        <w:t>孙春晓：参与调查研究、标准内容设计等工作；</w:t>
      </w:r>
    </w:p>
    <w:p>
      <w:pPr>
        <w:pStyle w:val="BodyText"/>
        <w:spacing w:before="213" w:line="569" w:lineRule="exact"/>
        <w:ind w:left="609"/>
      </w:pPr>
      <w:r>
        <w:rPr>
          <w:spacing w:val="4"/>
          <w:position w:val="20"/>
        </w:rPr>
        <w:t>薛敬林：参与调查研究、标准起草和修改、实验室分析</w:t>
      </w:r>
    </w:p>
    <w:p>
      <w:pPr>
        <w:pStyle w:val="BodyText"/>
        <w:spacing w:line="220" w:lineRule="auto"/>
      </w:pPr>
      <w:r>
        <w:rPr>
          <w:spacing w:val="-12"/>
        </w:rPr>
        <w:t>等工作；</w:t>
      </w:r>
    </w:p>
    <w:p>
      <w:pPr>
        <w:pStyle w:val="BodyText"/>
        <w:spacing w:before="233" w:line="220" w:lineRule="auto"/>
        <w:ind w:left="609"/>
      </w:pPr>
      <w:r>
        <w:rPr>
          <w:spacing w:val="1"/>
        </w:rPr>
        <w:t>崔艳梅：参与调查研究、实验室分析等工作；</w:t>
      </w:r>
    </w:p>
    <w:p>
      <w:pPr>
        <w:spacing w:line="220" w:lineRule="auto"/>
        <w:sectPr>
          <w:pgSz w:w="11900" w:h="16830"/>
          <w:pgMar w:top="1430" w:right="1785" w:bottom="0" w:left="1730" w:header="0" w:footer="0" w:gutter="0"/>
          <w:pgNumType w:start="2"/>
          <w:cols w:space="708"/>
        </w:sectPr>
      </w:pPr>
    </w:p>
    <w:p>
      <w:pPr>
        <w:pStyle w:val="BodyText"/>
        <w:spacing w:before="315" w:line="220" w:lineRule="auto"/>
        <w:ind w:left="680"/>
      </w:pPr>
      <w:r>
        <w:rPr>
          <w:spacing w:val="-1"/>
        </w:rPr>
        <w:t>韩典峰：参与调查研究、实验室分析等工作；</w:t>
      </w:r>
    </w:p>
    <w:p>
      <w:pPr>
        <w:pStyle w:val="BodyText"/>
        <w:spacing w:before="232" w:line="220" w:lineRule="auto"/>
        <w:ind w:left="680"/>
      </w:pPr>
      <w:r>
        <w:rPr>
          <w:spacing w:val="-2"/>
        </w:rPr>
        <w:t>罗晶晶：参与调查研究、征求意见等工作；</w:t>
      </w:r>
    </w:p>
    <w:p>
      <w:pPr>
        <w:pStyle w:val="BodyText"/>
        <w:spacing w:before="202" w:line="220" w:lineRule="auto"/>
        <w:ind w:left="680"/>
      </w:pPr>
      <w:r>
        <w:rPr>
          <w:spacing w:val="-1"/>
        </w:rPr>
        <w:t>王丹：参与调查研究、征求意见等工作；</w:t>
      </w:r>
    </w:p>
    <w:p>
      <w:pPr>
        <w:pStyle w:val="BodyText"/>
        <w:spacing w:before="232" w:line="220" w:lineRule="auto"/>
        <w:ind w:left="680"/>
      </w:pPr>
      <w:r>
        <w:t>徐英江：参与调查研究、实验室分析等工作；</w:t>
      </w:r>
    </w:p>
    <w:p>
      <w:pPr>
        <w:pStyle w:val="BodyText"/>
        <w:spacing w:before="222" w:line="220" w:lineRule="auto"/>
        <w:ind w:left="680"/>
      </w:pPr>
      <w:r>
        <w:t>宫向红：参与调查研究、实验室分析等工作；</w:t>
      </w:r>
    </w:p>
    <w:p>
      <w:pPr>
        <w:pStyle w:val="BodyText"/>
        <w:spacing w:before="213" w:line="220" w:lineRule="auto"/>
        <w:ind w:left="680"/>
      </w:pPr>
      <w:r>
        <w:t>张华威：参与调查研究、实验室分析等工作；</w:t>
      </w:r>
    </w:p>
    <w:p>
      <w:pPr>
        <w:pStyle w:val="BodyText"/>
        <w:spacing w:before="233" w:line="220" w:lineRule="auto"/>
        <w:ind w:left="680"/>
      </w:pPr>
      <w:r>
        <w:rPr>
          <w:spacing w:val="-1"/>
        </w:rPr>
        <w:t>李振兴：参与征求意见等工作。</w:t>
      </w:r>
    </w:p>
    <w:p>
      <w:pPr>
        <w:spacing w:before="232" w:line="560" w:lineRule="exact"/>
        <w:ind w:left="26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15"/>
          <w:position w:val="19"/>
          <w:sz w:val="30"/>
          <w:szCs w:val="30"/>
        </w:rPr>
        <w:t>(三)起草过程</w:t>
      </w:r>
    </w:p>
    <w:p>
      <w:pPr>
        <w:spacing w:before="1" w:line="221" w:lineRule="auto"/>
        <w:ind w:left="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10"/>
          <w:sz w:val="30"/>
          <w:szCs w:val="30"/>
        </w:rPr>
        <w:t>1.立项情况</w:t>
      </w:r>
    </w:p>
    <w:p>
      <w:pPr>
        <w:pStyle w:val="BodyText"/>
        <w:spacing w:before="197" w:line="351" w:lineRule="auto"/>
        <w:ind w:right="382" w:firstLine="679"/>
        <w:jc w:val="both"/>
      </w:pPr>
      <w:r>
        <w:rPr>
          <w:spacing w:val="-7"/>
        </w:rPr>
        <w:t>金刚烷胺因其疗效显著且价格低廉，</w:t>
      </w:r>
      <w:r>
        <w:rPr>
          <w:spacing w:val="109"/>
        </w:rPr>
        <w:t xml:space="preserve"> </w:t>
      </w:r>
      <w:r>
        <w:rPr>
          <w:spacing w:val="-7"/>
        </w:rPr>
        <w:t>一度成为养殖户防</w:t>
      </w:r>
      <w:r>
        <w:t xml:space="preserve"> </w:t>
      </w:r>
      <w:r>
        <w:rPr>
          <w:spacing w:val="3"/>
        </w:rPr>
        <w:t>治流感病毒的常用药。2012年11月备受关注的“速成鸡”事</w:t>
      </w:r>
      <w:r>
        <w:rPr>
          <w:spacing w:val="7"/>
        </w:rPr>
        <w:t xml:space="preserve"> </w:t>
      </w:r>
      <w:r>
        <w:rPr>
          <w:spacing w:val="4"/>
        </w:rPr>
        <w:t>件中，某些养殖企业非法使用金刚烷胺等违禁</w:t>
      </w:r>
      <w:r>
        <w:rPr>
          <w:spacing w:val="3"/>
        </w:rPr>
        <w:t>药物所带来的</w:t>
      </w:r>
      <w:r>
        <w:t xml:space="preserve"> </w:t>
      </w:r>
      <w:r>
        <w:rPr>
          <w:spacing w:val="4"/>
        </w:rPr>
        <w:t>食品安全问题，引起了人们的普遍关注。2012</w:t>
      </w:r>
      <w:r>
        <w:rPr>
          <w:spacing w:val="3"/>
        </w:rPr>
        <w:t>年由于我国国</w:t>
      </w:r>
      <w:r>
        <w:t xml:space="preserve"> </w:t>
      </w:r>
      <w:r>
        <w:rPr>
          <w:spacing w:val="3"/>
        </w:rPr>
        <w:t>内出现鸡肉使用抗菌剂的报道，2013年，日本厚</w:t>
      </w:r>
      <w:r>
        <w:rPr>
          <w:spacing w:val="2"/>
        </w:rPr>
        <w:t>生劳动省医</w:t>
      </w:r>
      <w:r>
        <w:t xml:space="preserve"> </w:t>
      </w:r>
      <w:r>
        <w:rPr>
          <w:spacing w:val="16"/>
        </w:rPr>
        <w:t>药食品安全部为了安全起见将金刚烷胺的检测加入到进口</w:t>
      </w:r>
      <w:r>
        <w:rPr>
          <w:spacing w:val="12"/>
        </w:rPr>
        <w:t xml:space="preserve"> </w:t>
      </w:r>
      <w:r>
        <w:rPr>
          <w:spacing w:val="4"/>
        </w:rPr>
        <w:t>食品监控计划中。基于此，山东省海洋资源与环境研究院提</w:t>
      </w:r>
    </w:p>
    <w:p>
      <w:pPr>
        <w:pStyle w:val="BodyText"/>
        <w:spacing w:line="220" w:lineRule="auto"/>
      </w:pPr>
      <w:r>
        <w:rPr>
          <w:spacing w:val="-4"/>
        </w:rPr>
        <w:t>出了该标准的立项申请。</w:t>
      </w:r>
    </w:p>
    <w:p>
      <w:pPr>
        <w:pStyle w:val="BodyText"/>
        <w:spacing w:before="214" w:line="369" w:lineRule="auto"/>
        <w:ind w:right="413" w:firstLine="670"/>
        <w:jc w:val="both"/>
      </w:pPr>
      <w:r>
        <w:rPr>
          <w:spacing w:val="2"/>
        </w:rPr>
        <w:t>山东省海洋标准化技术委员会召开标准研讨会。邀请专</w:t>
      </w:r>
      <w:r>
        <w:rPr>
          <w:spacing w:val="4"/>
        </w:rPr>
        <w:t xml:space="preserve"> </w:t>
      </w:r>
      <w:r>
        <w:rPr>
          <w:spacing w:val="16"/>
        </w:rPr>
        <w:t>家对标准的申请文件进行了审阅，与会专家对申请立</w:t>
      </w:r>
      <w:r>
        <w:rPr>
          <w:spacing w:val="15"/>
        </w:rPr>
        <w:t>项的</w:t>
      </w:r>
      <w:r>
        <w:t xml:space="preserve"> </w:t>
      </w:r>
      <w:r>
        <w:rPr>
          <w:spacing w:val="11"/>
        </w:rPr>
        <w:t>《海洋生物体中金刚烷胺的测定液相色谱-串联质谱法》进</w:t>
      </w:r>
      <w:r>
        <w:rPr>
          <w:spacing w:val="4"/>
        </w:rPr>
        <w:t xml:space="preserve"> </w:t>
      </w:r>
      <w:r>
        <w:rPr>
          <w:spacing w:val="5"/>
        </w:rPr>
        <w:t>行初审，审核了拟申报标准项目标准草案及编制说明，规范</w:t>
      </w:r>
      <w:r>
        <w:t xml:space="preserve"> </w:t>
      </w:r>
      <w:r>
        <w:rPr>
          <w:spacing w:val="3"/>
        </w:rPr>
        <w:t>了标准的格式及用词用语，对必要性进行了论证，在修订标</w:t>
      </w:r>
    </w:p>
    <w:p>
      <w:pPr>
        <w:pStyle w:val="BodyText"/>
        <w:spacing w:before="1" w:line="220" w:lineRule="auto"/>
      </w:pPr>
      <w:r>
        <w:rPr>
          <w:spacing w:val="15"/>
        </w:rPr>
        <w:t>准的必要性、可行性等方面统一了认识。2019年9月4日，</w:t>
      </w:r>
    </w:p>
    <w:p>
      <w:pPr>
        <w:spacing w:line="220" w:lineRule="auto"/>
        <w:sectPr>
          <w:pgSz w:w="11900" w:h="16830"/>
          <w:pgMar w:top="1430" w:right="1785" w:bottom="0" w:left="1759" w:header="0" w:footer="0" w:gutter="0"/>
          <w:pgNumType w:start="3"/>
          <w:cols w:space="708"/>
        </w:sectPr>
      </w:pPr>
    </w:p>
    <w:p>
      <w:pPr>
        <w:pStyle w:val="BodyText"/>
        <w:spacing w:before="278" w:line="611" w:lineRule="exact"/>
        <w:ind w:left="159"/>
      </w:pPr>
      <w:r>
        <w:rPr>
          <w:spacing w:val="8"/>
          <w:position w:val="23"/>
        </w:rPr>
        <w:t>山东省市场监督管理局印发《关于印发2019</w:t>
      </w:r>
      <w:r>
        <w:rPr>
          <w:spacing w:val="8"/>
          <w:position w:val="23"/>
        </w:rPr>
        <w:t xml:space="preserve"> </w:t>
      </w:r>
      <w:r>
        <w:rPr>
          <w:spacing w:val="8"/>
          <w:position w:val="23"/>
        </w:rPr>
        <w:t>年度标准化综</w:t>
      </w:r>
    </w:p>
    <w:p>
      <w:pPr>
        <w:pStyle w:val="BodyText"/>
        <w:spacing w:line="222" w:lineRule="auto"/>
      </w:pPr>
      <w:r>
        <w:rPr>
          <w:spacing w:val="23"/>
        </w:rPr>
        <w:t>合改革暨山东标准建设项目计划的通知》</w:t>
      </w:r>
      <w:r>
        <w:rPr>
          <w:spacing w:val="60"/>
        </w:rPr>
        <w:t xml:space="preserve">  </w:t>
      </w:r>
      <w:r>
        <w:rPr>
          <w:spacing w:val="23"/>
        </w:rPr>
        <w:t>(鲁标改办发</w:t>
      </w:r>
    </w:p>
    <w:p>
      <w:pPr>
        <w:pStyle w:val="BodyText"/>
        <w:spacing w:before="226" w:line="597" w:lineRule="exact"/>
        <w:ind w:left="250"/>
      </w:pPr>
      <w:r>
        <w:rPr>
          <w:spacing w:val="26"/>
          <w:position w:val="22"/>
        </w:rPr>
        <w:t>(2019)6号),将《海洋生物体中金刚烷胺的测定液相色</w:t>
      </w:r>
    </w:p>
    <w:p>
      <w:pPr>
        <w:pStyle w:val="BodyText"/>
        <w:spacing w:line="219" w:lineRule="auto"/>
      </w:pPr>
      <w:r>
        <w:rPr>
          <w:spacing w:val="-1"/>
        </w:rPr>
        <w:t>谱-串联质谱法》列入山东省地方标准制修订计划。</w:t>
      </w:r>
    </w:p>
    <w:p>
      <w:pPr>
        <w:spacing w:before="317" w:line="222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6"/>
          <w:sz w:val="30"/>
          <w:szCs w:val="30"/>
        </w:rPr>
        <w:t>2.</w:t>
      </w:r>
      <w:r>
        <w:rPr>
          <w:rFonts w:ascii="SimHei" w:eastAsia="SimHei" w:hAnsi="SimHei" w:cs="SimHei"/>
          <w:spacing w:val="-81"/>
          <w:sz w:val="30"/>
          <w:szCs w:val="30"/>
        </w:rPr>
        <w:t xml:space="preserve"> </w:t>
      </w:r>
      <w:r>
        <w:rPr>
          <w:rFonts w:ascii="SimHei" w:eastAsia="SimHei" w:hAnsi="SimHei" w:cs="SimHei"/>
          <w:b/>
          <w:bCs/>
          <w:spacing w:val="6"/>
          <w:sz w:val="30"/>
          <w:szCs w:val="30"/>
        </w:rPr>
        <w:t>起草阶段</w:t>
      </w:r>
    </w:p>
    <w:p>
      <w:pPr>
        <w:pStyle w:val="BodyText"/>
        <w:spacing w:before="192" w:line="353" w:lineRule="auto"/>
        <w:ind w:right="400" w:firstLine="709"/>
        <w:jc w:val="both"/>
      </w:pPr>
      <w:r>
        <w:rPr>
          <w:spacing w:val="9"/>
        </w:rPr>
        <w:t>在接到《海洋生物体中金刚烷胺的测定液相色谱-串联</w:t>
      </w:r>
      <w:r>
        <w:rPr>
          <w:spacing w:val="7"/>
        </w:rPr>
        <w:t xml:space="preserve"> </w:t>
      </w:r>
      <w:r>
        <w:rPr>
          <w:spacing w:val="4"/>
        </w:rPr>
        <w:t>质谱法》标准制定任务后，成立了标准制定小组，</w:t>
      </w:r>
      <w:r>
        <w:rPr>
          <w:spacing w:val="3"/>
        </w:rPr>
        <w:t>在仪器设</w:t>
      </w:r>
      <w:r>
        <w:t xml:space="preserve"> </w:t>
      </w:r>
      <w:r>
        <w:rPr>
          <w:spacing w:val="4"/>
        </w:rPr>
        <w:t>备、试验材料和资料检索等方面做了充分准备，并对所检索</w:t>
      </w:r>
      <w:r>
        <w:rPr>
          <w:spacing w:val="5"/>
        </w:rPr>
        <w:t xml:space="preserve"> </w:t>
      </w:r>
      <w:r>
        <w:rPr>
          <w:spacing w:val="3"/>
        </w:rPr>
        <w:t>到的资料进行了综合分析，在已建立的海水中金刚烷胺残留</w:t>
      </w:r>
      <w:r>
        <w:rPr>
          <w:spacing w:val="18"/>
        </w:rPr>
        <w:t xml:space="preserve"> </w:t>
      </w:r>
      <w:r>
        <w:rPr>
          <w:spacing w:val="8"/>
        </w:rPr>
        <w:t>的测定液相色谱串联质谱法的基础上，依据</w:t>
      </w:r>
      <w:r>
        <w:t>GB</w:t>
      </w:r>
      <w:r>
        <w:rPr>
          <w:spacing w:val="8"/>
        </w:rPr>
        <w:t>/T</w:t>
      </w:r>
      <w:r>
        <w:rPr>
          <w:spacing w:val="8"/>
        </w:rPr>
        <w:t xml:space="preserve"> </w:t>
      </w:r>
      <w:r>
        <w:rPr>
          <w:spacing w:val="8"/>
        </w:rPr>
        <w:t>1.1-2020</w:t>
      </w:r>
      <w:r>
        <w:rPr>
          <w:spacing w:val="12"/>
        </w:rPr>
        <w:t xml:space="preserve"> </w:t>
      </w:r>
      <w:r>
        <w:rPr>
          <w:spacing w:val="17"/>
        </w:rPr>
        <w:t>《标准化工作导则第1</w:t>
      </w:r>
      <w:r>
        <w:rPr>
          <w:spacing w:val="50"/>
        </w:rPr>
        <w:t xml:space="preserve"> </w:t>
      </w:r>
      <w:r>
        <w:rPr>
          <w:spacing w:val="17"/>
        </w:rPr>
        <w:t>部分：标准化文件的结构</w:t>
      </w:r>
      <w:r>
        <w:rPr>
          <w:spacing w:val="16"/>
        </w:rPr>
        <w:t>和起草规</w:t>
      </w:r>
      <w:r>
        <w:t xml:space="preserve"> </w:t>
      </w:r>
      <w:r>
        <w:rPr>
          <w:spacing w:val="4"/>
        </w:rPr>
        <w:t>则》、</w:t>
      </w:r>
      <w:r>
        <w:t>GB</w:t>
      </w:r>
      <w:r>
        <w:rPr>
          <w:spacing w:val="4"/>
        </w:rPr>
        <w:t>/T20001.4-2015《</w:t>
      </w:r>
      <w:r>
        <w:rPr>
          <w:spacing w:val="-24"/>
        </w:rPr>
        <w:t xml:space="preserve"> </w:t>
      </w:r>
      <w:r>
        <w:rPr>
          <w:spacing w:val="4"/>
        </w:rPr>
        <w:t>标准编写规则第4</w:t>
      </w:r>
      <w:r>
        <w:rPr>
          <w:spacing w:val="3"/>
        </w:rPr>
        <w:t>部分：试验方</w:t>
      </w:r>
      <w:r>
        <w:t xml:space="preserve"> </w:t>
      </w:r>
      <w:r>
        <w:rPr>
          <w:spacing w:val="9"/>
        </w:rPr>
        <w:t>法标准》,完成了本文件的征求意见稿，并请农业农村部渔</w:t>
      </w:r>
      <w:r>
        <w:rPr>
          <w:spacing w:val="13"/>
        </w:rPr>
        <w:t xml:space="preserve"> </w:t>
      </w:r>
      <w:r>
        <w:rPr>
          <w:spacing w:val="15"/>
        </w:rPr>
        <w:t>业环境及水产品质量监督检验测试中心(广州)、农业农村</w:t>
      </w:r>
      <w:r>
        <w:rPr>
          <w:spacing w:val="8"/>
        </w:rPr>
        <w:t xml:space="preserve"> </w:t>
      </w:r>
      <w:r>
        <w:rPr>
          <w:spacing w:val="15"/>
        </w:rPr>
        <w:t>部渔业环境及水产品质量监督检验测试中心(舟山)和烟台</w:t>
      </w:r>
    </w:p>
    <w:p>
      <w:pPr>
        <w:pStyle w:val="BodyText"/>
        <w:spacing w:before="1" w:line="220" w:lineRule="auto"/>
      </w:pPr>
      <w:r>
        <w:rPr>
          <w:spacing w:val="2"/>
        </w:rPr>
        <w:t>海关技术中心进行方法验证试验，汇总了验证实验数据。</w:t>
      </w:r>
    </w:p>
    <w:p>
      <w:pPr>
        <w:spacing w:before="259" w:line="221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z w:val="30"/>
          <w:szCs w:val="30"/>
        </w:rPr>
        <w:t>3.</w:t>
      </w:r>
      <w:r>
        <w:rPr>
          <w:rFonts w:ascii="SimHei" w:eastAsia="SimHei" w:hAnsi="SimHei" w:cs="SimHei"/>
          <w:spacing w:val="-62"/>
          <w:sz w:val="30"/>
          <w:szCs w:val="30"/>
        </w:rPr>
        <w:t xml:space="preserve"> </w:t>
      </w:r>
      <w:r>
        <w:rPr>
          <w:rFonts w:ascii="SimHei" w:eastAsia="SimHei" w:hAnsi="SimHei" w:cs="SimHei"/>
          <w:b/>
          <w:bCs/>
          <w:sz w:val="30"/>
          <w:szCs w:val="30"/>
        </w:rPr>
        <w:t>征求意见阶段</w:t>
      </w:r>
    </w:p>
    <w:p>
      <w:pPr>
        <w:pStyle w:val="BodyText"/>
        <w:spacing w:before="202" w:line="357" w:lineRule="auto"/>
        <w:ind w:right="177" w:firstLine="629"/>
      </w:pPr>
      <w:r>
        <w:rPr>
          <w:spacing w:val="17"/>
        </w:rPr>
        <w:t>2020年1月至3月(时间符合“公开征求时间满足至少</w:t>
      </w:r>
      <w:r>
        <w:rPr>
          <w:spacing w:val="5"/>
        </w:rPr>
        <w:t xml:space="preserve">   </w:t>
      </w:r>
      <w:r>
        <w:rPr>
          <w:spacing w:val="13"/>
        </w:rPr>
        <w:t>30天”的要求),通过电子邮件和电话问询的方式对三十家</w:t>
      </w:r>
      <w:r>
        <w:t xml:space="preserve">   </w:t>
      </w:r>
      <w:r>
        <w:rPr>
          <w:spacing w:val="-7"/>
        </w:rPr>
        <w:t>单位征求了意见，其中发送“征求意见稿”的单</w:t>
      </w:r>
      <w:r>
        <w:rPr>
          <w:spacing w:val="-8"/>
        </w:rPr>
        <w:t>位数30个；收</w:t>
      </w:r>
      <w:r>
        <w:t xml:space="preserve">   </w:t>
      </w:r>
      <w:r>
        <w:rPr>
          <w:spacing w:val="-7"/>
        </w:rPr>
        <w:t>到“征求意见稿”后，回函的单位数30个；收到“征求意见稿”</w:t>
      </w:r>
    </w:p>
    <w:p>
      <w:pPr>
        <w:pStyle w:val="BodyText"/>
        <w:spacing w:line="220" w:lineRule="auto"/>
      </w:pPr>
      <w:r>
        <w:rPr>
          <w:spacing w:val="10"/>
        </w:rPr>
        <w:t>回函并有建议或意见的单位数16个。专家意见涉</w:t>
      </w:r>
      <w:r>
        <w:rPr>
          <w:spacing w:val="9"/>
        </w:rPr>
        <w:t>及征求意</w:t>
      </w:r>
    </w:p>
    <w:p>
      <w:pPr>
        <w:pStyle w:val="BodyText"/>
        <w:spacing w:before="224" w:line="222" w:lineRule="auto"/>
      </w:pPr>
      <w:r>
        <w:rPr>
          <w:spacing w:val="4"/>
        </w:rPr>
        <w:t>见稿和编制说明的主要内容和结构。按照意见对</w:t>
      </w:r>
      <w:r>
        <w:rPr>
          <w:spacing w:val="3"/>
        </w:rPr>
        <w:t>主要内容进</w:t>
      </w:r>
    </w:p>
    <w:p>
      <w:pPr>
        <w:spacing w:line="222" w:lineRule="auto"/>
        <w:sectPr>
          <w:pgSz w:w="11900" w:h="16830"/>
          <w:pgMar w:top="1430" w:right="1785" w:bottom="0" w:left="1730" w:header="0" w:footer="0" w:gutter="0"/>
          <w:pgNumType w:start="4"/>
          <w:cols w:space="708"/>
        </w:sectPr>
      </w:pPr>
    </w:p>
    <w:p>
      <w:pPr>
        <w:pStyle w:val="BodyText"/>
        <w:spacing w:before="298" w:line="357" w:lineRule="auto"/>
        <w:ind w:right="462"/>
      </w:pPr>
      <w:r>
        <w:rPr>
          <w:spacing w:val="4"/>
        </w:rPr>
        <w:t>行了修订，主要对表述和写法进行了修改，使其符合相关规</w:t>
      </w:r>
      <w:r>
        <w:rPr>
          <w:spacing w:val="17"/>
        </w:rPr>
        <w:t xml:space="preserve"> </w:t>
      </w:r>
      <w:r>
        <w:rPr>
          <w:spacing w:val="4"/>
        </w:rPr>
        <w:t>定；同时对文本的结构进行了调整和优化。对征求意见稿进</w:t>
      </w:r>
      <w:r>
        <w:rPr>
          <w:spacing w:val="15"/>
        </w:rPr>
        <w:t xml:space="preserve"> </w:t>
      </w:r>
      <w:r>
        <w:rPr>
          <w:spacing w:val="2"/>
        </w:rPr>
        <w:t>行修改完善后，提交山东省海洋标准化服务平台进行</w:t>
      </w:r>
      <w:r>
        <w:rPr>
          <w:spacing w:val="1"/>
        </w:rPr>
        <w:t>公示，</w:t>
      </w:r>
    </w:p>
    <w:p>
      <w:pPr>
        <w:pStyle w:val="BodyText"/>
        <w:spacing w:line="222" w:lineRule="auto"/>
      </w:pPr>
      <w:r>
        <w:rPr>
          <w:spacing w:val="-6"/>
        </w:rPr>
        <w:t>完成了本文件的送审稿。</w:t>
      </w:r>
    </w:p>
    <w:p>
      <w:pPr>
        <w:spacing w:before="227" w:line="222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6"/>
          <w:sz w:val="30"/>
          <w:szCs w:val="30"/>
        </w:rPr>
        <w:t>4.</w:t>
      </w:r>
      <w:r>
        <w:rPr>
          <w:rFonts w:ascii="SimHei" w:eastAsia="SimHei" w:hAnsi="SimHei" w:cs="SimHei"/>
          <w:spacing w:val="-82"/>
          <w:sz w:val="30"/>
          <w:szCs w:val="30"/>
        </w:rPr>
        <w:t xml:space="preserve"> </w:t>
      </w:r>
      <w:r>
        <w:rPr>
          <w:rFonts w:ascii="SimHei" w:eastAsia="SimHei" w:hAnsi="SimHei" w:cs="SimHei"/>
          <w:b/>
          <w:bCs/>
          <w:spacing w:val="6"/>
          <w:sz w:val="30"/>
          <w:szCs w:val="30"/>
        </w:rPr>
        <w:t>送审阶段</w:t>
      </w:r>
    </w:p>
    <w:p>
      <w:pPr>
        <w:pStyle w:val="BodyText"/>
        <w:spacing w:before="150" w:line="368" w:lineRule="auto"/>
        <w:ind w:right="372" w:firstLine="689"/>
      </w:pPr>
      <w:r>
        <w:rPr>
          <w:spacing w:val="15"/>
        </w:rPr>
        <w:t>2021年11月19日，山东省海洋局、山东省海洋标准化</w:t>
      </w:r>
      <w:r>
        <w:rPr>
          <w:spacing w:val="16"/>
        </w:rPr>
        <w:t xml:space="preserve"> </w:t>
      </w:r>
      <w:r>
        <w:rPr>
          <w:spacing w:val="4"/>
        </w:rPr>
        <w:t>技术委员会在济南组织召开了山东省地方标准《海洋生物体</w:t>
      </w:r>
    </w:p>
    <w:p>
      <w:pPr>
        <w:pStyle w:val="BodyText"/>
        <w:spacing w:line="219" w:lineRule="auto"/>
      </w:pPr>
      <w:r>
        <w:rPr>
          <w:spacing w:val="7"/>
        </w:rPr>
        <w:t>中金刚烷胺的测定液相色谱-串联质谱法》专家论证会议。</w:t>
      </w:r>
    </w:p>
    <w:p>
      <w:pPr>
        <w:pStyle w:val="BodyText"/>
        <w:spacing w:before="248" w:line="369" w:lineRule="auto"/>
        <w:ind w:right="405"/>
      </w:pPr>
      <w:r>
        <w:rPr>
          <w:spacing w:val="4"/>
        </w:rPr>
        <w:t>会议邀请专家组成标准论证专家组，与会专家听取了起草单</w:t>
      </w:r>
      <w:r>
        <w:rPr>
          <w:spacing w:val="16"/>
        </w:rPr>
        <w:t xml:space="preserve"> </w:t>
      </w:r>
      <w:r>
        <w:rPr>
          <w:spacing w:val="4"/>
        </w:rPr>
        <w:t>位关于标准编制情况的汇报和说明，经质询讨论，形成专家</w:t>
      </w:r>
      <w:r>
        <w:rPr>
          <w:spacing w:val="17"/>
        </w:rPr>
        <w:t xml:space="preserve"> </w:t>
      </w:r>
      <w:r>
        <w:rPr>
          <w:spacing w:val="-5"/>
        </w:rPr>
        <w:t>意见如下：该标准符合有关法律、法规和强制性标准的要求，</w:t>
      </w:r>
      <w:r>
        <w:rPr>
          <w:spacing w:val="13"/>
        </w:rPr>
        <w:t xml:space="preserve"> </w:t>
      </w:r>
      <w:r>
        <w:rPr>
          <w:spacing w:val="3"/>
        </w:rPr>
        <w:t>与相关国家标准、行业标准和地方标准的相协调；文本编写</w:t>
      </w:r>
      <w:r>
        <w:rPr>
          <w:spacing w:val="1"/>
        </w:rPr>
        <w:t xml:space="preserve"> </w:t>
      </w:r>
      <w:r>
        <w:rPr>
          <w:spacing w:val="-2"/>
        </w:rPr>
        <w:t>规范，符合</w:t>
      </w:r>
      <w:r>
        <w:rPr>
          <w:spacing w:val="-32"/>
        </w:rPr>
        <w:t xml:space="preserve"> </w:t>
      </w:r>
      <w:r>
        <w:rPr>
          <w:spacing w:val="-2"/>
        </w:rPr>
        <w:t>GB/T</w:t>
      </w:r>
      <w:r>
        <w:rPr>
          <w:spacing w:val="-2"/>
        </w:rPr>
        <w:t xml:space="preserve"> </w:t>
      </w:r>
      <w:r>
        <w:rPr>
          <w:spacing w:val="-2"/>
        </w:rPr>
        <w:t>1.1-2020</w:t>
      </w:r>
      <w:r>
        <w:rPr>
          <w:spacing w:val="-2"/>
        </w:rPr>
        <w:t xml:space="preserve"> </w:t>
      </w:r>
      <w:r>
        <w:rPr>
          <w:spacing w:val="-2"/>
        </w:rPr>
        <w:t>的要求。该标准技术内</w:t>
      </w:r>
      <w:r>
        <w:rPr>
          <w:spacing w:val="-3"/>
        </w:rPr>
        <w:t>容完整，</w:t>
      </w:r>
      <w:r>
        <w:t xml:space="preserve">  </w:t>
      </w:r>
      <w:r>
        <w:rPr>
          <w:spacing w:val="5"/>
        </w:rPr>
        <w:t>具有可靠性和可操作性，为开展海洋生物体中的金刚烷胺测</w:t>
      </w:r>
      <w:r>
        <w:t xml:space="preserve"> </w:t>
      </w:r>
      <w:r>
        <w:rPr>
          <w:spacing w:val="4"/>
        </w:rPr>
        <w:t>定提供了技术依据。起草单位按照专家提出的意见进行修改</w:t>
      </w:r>
    </w:p>
    <w:p>
      <w:pPr>
        <w:pStyle w:val="BodyText"/>
        <w:spacing w:before="2" w:line="220" w:lineRule="auto"/>
      </w:pPr>
      <w:r>
        <w:rPr>
          <w:spacing w:val="1"/>
        </w:rPr>
        <w:t>完善，按程序进行送审，形成标准送审稿。</w:t>
      </w:r>
    </w:p>
    <w:p>
      <w:pPr>
        <w:pStyle w:val="BodyText"/>
        <w:spacing w:before="301" w:line="222" w:lineRule="auto"/>
      </w:pPr>
      <w:r>
        <w:rPr>
          <w:spacing w:val="2"/>
        </w:rPr>
        <w:t>5.</w:t>
      </w:r>
      <w:r>
        <w:rPr>
          <w:spacing w:val="27"/>
        </w:rPr>
        <w:t xml:space="preserve"> </w:t>
      </w:r>
      <w:r>
        <w:rPr>
          <w:spacing w:val="2"/>
        </w:rPr>
        <w:t>审查阶段</w:t>
      </w:r>
    </w:p>
    <w:p>
      <w:pPr>
        <w:pStyle w:val="BodyText"/>
        <w:spacing w:before="200" w:line="357" w:lineRule="auto"/>
        <w:ind w:right="431" w:firstLine="639"/>
        <w:jc w:val="both"/>
      </w:pPr>
      <w:r>
        <w:rPr>
          <w:spacing w:val="10"/>
        </w:rPr>
        <w:t>2023年4月，山东省海洋局在济南组织召开了山东省地</w:t>
      </w:r>
      <w:r>
        <w:rPr>
          <w:spacing w:val="2"/>
        </w:rPr>
        <w:t xml:space="preserve"> </w:t>
      </w:r>
      <w:r>
        <w:rPr>
          <w:spacing w:val="10"/>
        </w:rPr>
        <w:t>方标准《海洋生物体中金刚烷胺的测定液相色谱-串联质谱</w:t>
      </w:r>
      <w:r>
        <w:rPr>
          <w:spacing w:val="16"/>
        </w:rPr>
        <w:t xml:space="preserve"> </w:t>
      </w:r>
      <w:r>
        <w:rPr>
          <w:spacing w:val="4"/>
        </w:rPr>
        <w:t>法》专家审查会议，山东省市场监督管理局对审查会议进行</w:t>
      </w:r>
      <w:r>
        <w:rPr>
          <w:spacing w:val="16"/>
        </w:rPr>
        <w:t xml:space="preserve"> </w:t>
      </w:r>
      <w:r>
        <w:rPr>
          <w:spacing w:val="10"/>
        </w:rPr>
        <w:t>监督指导。来自国家海洋环境监测中心等单位9名专家组成</w:t>
      </w:r>
    </w:p>
    <w:p>
      <w:pPr>
        <w:pStyle w:val="BodyText"/>
        <w:spacing w:before="1" w:line="221" w:lineRule="auto"/>
      </w:pPr>
      <w:r>
        <w:rPr>
          <w:spacing w:val="4"/>
        </w:rPr>
        <w:t>了审查委员会。审查委员会听取了标准编制</w:t>
      </w:r>
      <w:r>
        <w:rPr>
          <w:spacing w:val="3"/>
        </w:rPr>
        <w:t>情况汇报，对标</w:t>
      </w:r>
    </w:p>
    <w:p>
      <w:pPr>
        <w:spacing w:line="221" w:lineRule="auto"/>
        <w:sectPr>
          <w:pgSz w:w="11900" w:h="16830"/>
          <w:pgMar w:top="1430" w:right="1785" w:bottom="0" w:left="1730" w:header="0" w:footer="0" w:gutter="0"/>
          <w:pgNumType w:start="5"/>
          <w:cols w:space="708"/>
        </w:sectPr>
      </w:pPr>
    </w:p>
    <w:p>
      <w:pPr>
        <w:pStyle w:val="BodyText"/>
        <w:spacing w:before="308" w:line="351" w:lineRule="auto"/>
        <w:ind w:right="478"/>
      </w:pPr>
      <w:r>
        <w:rPr>
          <w:spacing w:val="4"/>
        </w:rPr>
        <w:t>准文本和标准编制说明进行了逐章、逐条审</w:t>
      </w:r>
      <w:r>
        <w:rPr>
          <w:spacing w:val="3"/>
        </w:rPr>
        <w:t>查。审查委员会</w:t>
      </w:r>
      <w:r>
        <w:t xml:space="preserve"> </w:t>
      </w:r>
      <w:r>
        <w:rPr>
          <w:spacing w:val="4"/>
        </w:rPr>
        <w:t>对标准材料提出了审查意见，标准起草工作组根据审查意见</w:t>
      </w:r>
      <w:r>
        <w:rPr>
          <w:spacing w:val="1"/>
        </w:rPr>
        <w:t xml:space="preserve"> </w:t>
      </w:r>
      <w:r>
        <w:rPr>
          <w:spacing w:val="2"/>
        </w:rPr>
        <w:t>对标准进行了修改完善，审查委员会对修改内容予以确认。</w:t>
      </w:r>
      <w:r>
        <w:rPr>
          <w:spacing w:val="6"/>
        </w:rPr>
        <w:t xml:space="preserve"> </w:t>
      </w:r>
      <w:r>
        <w:rPr>
          <w:spacing w:val="4"/>
        </w:rPr>
        <w:t>会议一致同意该标准通过审查，要求起草单</w:t>
      </w:r>
      <w:r>
        <w:rPr>
          <w:spacing w:val="3"/>
        </w:rPr>
        <w:t>位尽快形成报批</w:t>
      </w:r>
      <w:r>
        <w:t xml:space="preserve"> </w:t>
      </w:r>
      <w:r>
        <w:rPr>
          <w:spacing w:val="4"/>
        </w:rPr>
        <w:t>材料后上报山东省市场监督管理局。标准起草工作组根</w:t>
      </w:r>
      <w:r>
        <w:rPr>
          <w:spacing w:val="3"/>
        </w:rPr>
        <w:t>据专</w:t>
      </w:r>
      <w:r>
        <w:t xml:space="preserve"> </w:t>
      </w:r>
      <w:r>
        <w:rPr>
          <w:spacing w:val="4"/>
        </w:rPr>
        <w:t>家审查会意见，形成了本文件的报批稿，报山</w:t>
      </w:r>
      <w:r>
        <w:rPr>
          <w:spacing w:val="3"/>
        </w:rPr>
        <w:t>东省市场监督</w:t>
      </w:r>
    </w:p>
    <w:p>
      <w:pPr>
        <w:pStyle w:val="BodyText"/>
        <w:spacing w:line="223" w:lineRule="auto"/>
      </w:pPr>
      <w:r>
        <w:rPr>
          <w:spacing w:val="-6"/>
        </w:rPr>
        <w:t>管理局。</w:t>
      </w:r>
    </w:p>
    <w:p>
      <w:pPr>
        <w:spacing w:before="241" w:line="221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9"/>
          <w:sz w:val="30"/>
          <w:szCs w:val="30"/>
        </w:rPr>
        <w:t>二、</w:t>
      </w:r>
      <w:r>
        <w:rPr>
          <w:rFonts w:ascii="SimHei" w:eastAsia="SimHei" w:hAnsi="SimHei" w:cs="SimHei"/>
          <w:spacing w:val="-56"/>
          <w:sz w:val="30"/>
          <w:szCs w:val="30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30"/>
          <w:szCs w:val="30"/>
        </w:rPr>
        <w:t>地方标准制定目的和意义</w:t>
      </w:r>
    </w:p>
    <w:p>
      <w:pPr>
        <w:pStyle w:val="BodyText"/>
        <w:spacing w:before="236" w:line="350" w:lineRule="auto"/>
        <w:ind w:right="390" w:firstLine="699"/>
      </w:pPr>
      <w:r>
        <w:rPr>
          <w:spacing w:val="3"/>
        </w:rPr>
        <w:t>金刚烷胺是一类由</w:t>
      </w:r>
      <w:r>
        <w:rPr>
          <w:rFonts w:ascii="Times New Roman" w:eastAsia="Times New Roman" w:hAnsi="Times New Roman" w:cs="Times New Roman"/>
        </w:rPr>
        <w:t>Setter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3"/>
        </w:rPr>
        <w:t>于1960年首次合成，</w:t>
      </w:r>
      <w:r>
        <w:rPr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Davis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spacing w:val="2"/>
        </w:rPr>
        <w:t>于</w:t>
      </w:r>
      <w:r>
        <w:t xml:space="preserve"> </w:t>
      </w:r>
      <w:r>
        <w:rPr>
          <w:spacing w:val="9"/>
        </w:rPr>
        <w:t>1964</w:t>
      </w:r>
      <w:r>
        <w:rPr>
          <w:spacing w:val="9"/>
        </w:rPr>
        <w:t xml:space="preserve"> </w:t>
      </w:r>
      <w:r>
        <w:rPr>
          <w:spacing w:val="9"/>
        </w:rPr>
        <w:t>年首次发现具有抗病毒作用的抗病毒药物，也是美国</w:t>
      </w:r>
      <w:r>
        <w:rPr>
          <w:spacing w:val="14"/>
        </w:rPr>
        <w:t xml:space="preserve"> </w:t>
      </w:r>
      <w:r>
        <w:rPr>
          <w:rFonts w:ascii="SimSun" w:eastAsia="SimSun" w:hAnsi="SimSun" w:cs="SimSun"/>
        </w:rPr>
        <w:t>FDA</w:t>
      </w:r>
      <w:r>
        <w:rPr>
          <w:rFonts w:ascii="SimSun" w:eastAsia="SimSun" w:hAnsi="SimSun" w:cs="SimSun"/>
          <w:spacing w:val="87"/>
        </w:rPr>
        <w:t xml:space="preserve"> </w:t>
      </w:r>
      <w:r>
        <w:rPr>
          <w:spacing w:val="2"/>
        </w:rPr>
        <w:t>首个批准的抗流感病毒药物。根据其药理作</w:t>
      </w:r>
      <w:r>
        <w:rPr>
          <w:spacing w:val="1"/>
        </w:rPr>
        <w:t>用，国内现</w:t>
      </w:r>
      <w:r>
        <w:t xml:space="preserve"> </w:t>
      </w:r>
      <w:r>
        <w:rPr>
          <w:spacing w:val="4"/>
        </w:rPr>
        <w:t>在主要将金刚烷胺用于鸡、猪流感的预防和早期治疗</w:t>
      </w:r>
      <w:r>
        <w:rPr>
          <w:spacing w:val="3"/>
        </w:rPr>
        <w:t>，以及</w:t>
      </w:r>
    </w:p>
    <w:p>
      <w:pPr>
        <w:pStyle w:val="BodyText"/>
        <w:spacing w:line="220" w:lineRule="auto"/>
      </w:pPr>
      <w:r>
        <w:rPr>
          <w:spacing w:val="2"/>
        </w:rPr>
        <w:t>猪传染性胃肠炎的防治。但金刚烷胺可能产生嗜睡、失眠、</w:t>
      </w:r>
    </w:p>
    <w:p>
      <w:pPr>
        <w:pStyle w:val="BodyText"/>
        <w:spacing w:before="211" w:line="351" w:lineRule="auto"/>
        <w:ind w:right="481"/>
      </w:pPr>
      <w:r>
        <w:rPr>
          <w:spacing w:val="3"/>
        </w:rPr>
        <w:t>眩晕、抑郁、恶心、食欲减退等多种不良反应，具有一定的</w:t>
      </w:r>
      <w:r>
        <w:rPr>
          <w:spacing w:val="10"/>
        </w:rPr>
        <w:t xml:space="preserve"> </w:t>
      </w:r>
      <w:r>
        <w:rPr>
          <w:spacing w:val="3"/>
        </w:rPr>
        <w:t>毒副作用。长期使用金刚烷胺可使病毒产生不同程度的耐药</w:t>
      </w:r>
      <w:r>
        <w:rPr>
          <w:spacing w:val="3"/>
        </w:rPr>
        <w:t xml:space="preserve"> </w:t>
      </w:r>
      <w:r>
        <w:rPr>
          <w:spacing w:val="4"/>
        </w:rPr>
        <w:t>性，诱导产生新型耐药病毒。动物实验也表明其对胚胎</w:t>
      </w:r>
      <w:r>
        <w:rPr>
          <w:spacing w:val="3"/>
        </w:rPr>
        <w:t>有毒</w:t>
      </w:r>
    </w:p>
    <w:p>
      <w:pPr>
        <w:pStyle w:val="BodyText"/>
        <w:spacing w:line="220" w:lineRule="auto"/>
      </w:pPr>
      <w:r>
        <w:rPr>
          <w:spacing w:val="-3"/>
        </w:rPr>
        <w:t>性和致畸作用。</w:t>
      </w:r>
    </w:p>
    <w:p>
      <w:pPr>
        <w:pStyle w:val="BodyText"/>
        <w:spacing w:before="261" w:line="357" w:lineRule="auto"/>
        <w:ind w:right="448" w:firstLine="649"/>
      </w:pPr>
      <w:r>
        <w:rPr>
          <w:spacing w:val="16"/>
        </w:rPr>
        <w:t>为避免影响国家动物疫病强制性免疫政策落实及给重</w:t>
      </w:r>
      <w:r>
        <w:rPr>
          <w:spacing w:val="17"/>
        </w:rPr>
        <w:t xml:space="preserve"> </w:t>
      </w:r>
      <w:r>
        <w:rPr>
          <w:spacing w:val="4"/>
        </w:rPr>
        <w:t>大动物疫病防控工作带来不良后果，农业部</w:t>
      </w:r>
      <w:r>
        <w:rPr>
          <w:spacing w:val="3"/>
        </w:rPr>
        <w:t>发布《关于清查</w:t>
      </w:r>
      <w:r>
        <w:t xml:space="preserve"> </w:t>
      </w:r>
      <w:r>
        <w:rPr>
          <w:spacing w:val="8"/>
        </w:rPr>
        <w:t>金刚烷胺等抗病毒药物的紧急通知》,规定除经批准生产、</w:t>
      </w:r>
      <w:r>
        <w:rPr>
          <w:spacing w:val="1"/>
        </w:rPr>
        <w:t xml:space="preserve"> </w:t>
      </w:r>
      <w:r>
        <w:rPr>
          <w:spacing w:val="4"/>
        </w:rPr>
        <w:t>使用的疫苗产品外，禁止使用金刚烷胺防治高致病性禽流感</w:t>
      </w:r>
      <w:r>
        <w:rPr>
          <w:spacing w:val="10"/>
        </w:rPr>
        <w:t xml:space="preserve"> </w:t>
      </w:r>
      <w:r>
        <w:rPr>
          <w:spacing w:val="13"/>
        </w:rPr>
        <w:t>等一类病原微生物引起的病毒性疫病。20世纪90年代后，</w:t>
      </w:r>
    </w:p>
    <w:p>
      <w:pPr>
        <w:pStyle w:val="BodyText"/>
        <w:spacing w:line="219" w:lineRule="auto"/>
      </w:pPr>
      <w:r>
        <w:rPr>
          <w:spacing w:val="3"/>
        </w:rPr>
        <w:t>当代畜禽养殖业逐渐规模化，骤增的养殖密度导致大规模疾</w:t>
      </w:r>
    </w:p>
    <w:p>
      <w:pPr>
        <w:spacing w:line="219" w:lineRule="auto"/>
        <w:sectPr>
          <w:pgSz w:w="11900" w:h="16830"/>
          <w:pgMar w:top="1430" w:right="1785" w:bottom="0" w:left="1730" w:header="0" w:footer="0" w:gutter="0"/>
          <w:pgNumType w:start="6"/>
          <w:cols w:space="708"/>
        </w:sectPr>
      </w:pPr>
    </w:p>
    <w:p>
      <w:pPr>
        <w:pStyle w:val="BodyText"/>
        <w:spacing w:before="316" w:line="221" w:lineRule="auto"/>
      </w:pPr>
      <w:r>
        <w:rPr>
          <w:spacing w:val="2"/>
        </w:rPr>
        <w:t>病频繁发生，缺乏科学知识的养殖商户愚昧无知，为了满足</w:t>
      </w:r>
    </w:p>
    <w:p>
      <w:pPr>
        <w:pStyle w:val="BodyText"/>
        <w:spacing w:before="207" w:line="352" w:lineRule="auto"/>
        <w:ind w:right="369" w:firstLine="199"/>
        <w:jc w:val="both"/>
      </w:pPr>
      <w:r>
        <w:rPr>
          <w:spacing w:val="2"/>
        </w:rPr>
        <w:t>自身经济利益，在畜禽养殖过程中为防止动物疫病发生从而</w:t>
      </w:r>
      <w:r>
        <w:rPr>
          <w:spacing w:val="2"/>
        </w:rPr>
        <w:t xml:space="preserve"> </w:t>
      </w:r>
      <w:r>
        <w:rPr>
          <w:spacing w:val="4"/>
        </w:rPr>
        <w:t>导致经济利益受到损害的情况下，不规范使用及使用</w:t>
      </w:r>
      <w:r>
        <w:rPr>
          <w:spacing w:val="3"/>
        </w:rPr>
        <w:t>国家违</w:t>
      </w:r>
    </w:p>
    <w:p>
      <w:pPr>
        <w:pStyle w:val="BodyText"/>
        <w:spacing w:before="1" w:line="220" w:lineRule="auto"/>
      </w:pPr>
      <w:r>
        <w:rPr>
          <w:spacing w:val="-2"/>
        </w:rPr>
        <w:t>禁药物的现象层出不穷。</w:t>
      </w:r>
    </w:p>
    <w:p>
      <w:pPr>
        <w:pStyle w:val="BodyText"/>
        <w:spacing w:before="246" w:line="351" w:lineRule="auto"/>
        <w:ind w:right="405" w:firstLine="729"/>
      </w:pPr>
      <w:r>
        <w:rPr>
          <w:spacing w:val="3"/>
        </w:rPr>
        <w:t>2014年，山东省荣成市出入境检验检疫局首次在送检的</w:t>
      </w:r>
      <w:r>
        <w:rPr>
          <w:spacing w:val="10"/>
        </w:rPr>
        <w:t xml:space="preserve"> </w:t>
      </w:r>
      <w:r>
        <w:rPr>
          <w:spacing w:val="5"/>
        </w:rPr>
        <w:t>辣椒产品中检出金刚烷胺。当前金刚烷胺的检测方法</w:t>
      </w:r>
      <w:r>
        <w:rPr>
          <w:spacing w:val="4"/>
        </w:rPr>
        <w:t>研究多</w:t>
      </w:r>
      <w:r>
        <w:t xml:space="preserve"> </w:t>
      </w:r>
      <w:r>
        <w:rPr>
          <w:spacing w:val="3"/>
        </w:rPr>
        <w:t>是针对动物源性食品和饲料中药物残留量的检测，关于海洋</w:t>
      </w:r>
      <w:r>
        <w:rPr>
          <w:spacing w:val="3"/>
        </w:rPr>
        <w:t xml:space="preserve"> </w:t>
      </w:r>
      <w:r>
        <w:rPr>
          <w:spacing w:val="3"/>
        </w:rPr>
        <w:t>生物体中金刚烷胺的检测技术尚未发布相关标准，因此建立</w:t>
      </w:r>
      <w:r>
        <w:rPr>
          <w:spacing w:val="3"/>
        </w:rPr>
        <w:t xml:space="preserve"> </w:t>
      </w:r>
      <w:r>
        <w:rPr>
          <w:spacing w:val="3"/>
        </w:rPr>
        <w:t>海洋生物体中金刚烷胺的检测方法，对保障海洋生物体的质</w:t>
      </w:r>
      <w:r>
        <w:rPr>
          <w:spacing w:val="3"/>
        </w:rPr>
        <w:t xml:space="preserve"> </w:t>
      </w:r>
      <w:r>
        <w:rPr>
          <w:spacing w:val="3"/>
        </w:rPr>
        <w:t>量安全及海洋监管十分重要。虽然目前关于海洋生物体中金</w:t>
      </w:r>
      <w:r>
        <w:rPr>
          <w:spacing w:val="3"/>
        </w:rPr>
        <w:t xml:space="preserve"> </w:t>
      </w:r>
      <w:r>
        <w:rPr>
          <w:spacing w:val="3"/>
        </w:rPr>
        <w:t>刚烷胺污染的报道较少，但是不排除滥用药物后对海洋生物</w:t>
      </w:r>
      <w:r>
        <w:rPr>
          <w:spacing w:val="3"/>
        </w:rPr>
        <w:t xml:space="preserve"> </w:t>
      </w:r>
      <w:r>
        <w:rPr>
          <w:spacing w:val="4"/>
        </w:rPr>
        <w:t>污染的可能，并且我们在前期调研中发现某些海带、海参等</w:t>
      </w:r>
    </w:p>
    <w:p>
      <w:pPr>
        <w:pStyle w:val="BodyText"/>
        <w:spacing w:line="220" w:lineRule="auto"/>
      </w:pPr>
      <w:r>
        <w:rPr>
          <w:spacing w:val="2"/>
        </w:rPr>
        <w:t>水产品中检出金刚烷胺残留，因此为保证食品和环境安全，</w:t>
      </w:r>
    </w:p>
    <w:p>
      <w:pPr>
        <w:pStyle w:val="BodyText"/>
        <w:spacing w:before="212" w:line="219" w:lineRule="auto"/>
      </w:pPr>
      <w:r>
        <w:rPr>
          <w:spacing w:val="3"/>
        </w:rPr>
        <w:t>建立海洋生物体中金刚烷胺残留检测方法势在必行。</w:t>
      </w:r>
    </w:p>
    <w:p>
      <w:pPr>
        <w:pStyle w:val="BodyText"/>
        <w:spacing w:before="269" w:line="349" w:lineRule="auto"/>
        <w:ind w:right="455" w:firstLine="699"/>
      </w:pPr>
      <w:r>
        <w:rPr>
          <w:spacing w:val="3"/>
        </w:rPr>
        <w:t>山东省是藻类养殖大省，藻类是作为低等植物</w:t>
      </w:r>
      <w:r>
        <w:rPr>
          <w:spacing w:val="2"/>
        </w:rPr>
        <w:t>，是海洋</w:t>
      </w:r>
      <w:r>
        <w:t xml:space="preserve"> </w:t>
      </w:r>
      <w:r>
        <w:rPr>
          <w:spacing w:val="16"/>
        </w:rPr>
        <w:t>中重要的初级生产者，地球上几乎所有环境中都能见到藻</w:t>
      </w:r>
      <w:r>
        <w:rPr>
          <w:spacing w:val="2"/>
        </w:rPr>
        <w:t xml:space="preserve"> </w:t>
      </w:r>
      <w:r>
        <w:rPr>
          <w:spacing w:val="4"/>
        </w:rPr>
        <w:t>类。在海洋中的多种藻类，具有丰富的资源，其中包括大型</w:t>
      </w:r>
      <w:r>
        <w:rPr>
          <w:spacing w:val="5"/>
        </w:rPr>
        <w:t xml:space="preserve"> </w:t>
      </w:r>
      <w:r>
        <w:rPr>
          <w:spacing w:val="4"/>
        </w:rPr>
        <w:t>藻类和海洋藻类，其对维持生态系统的平衡起重要作用，而</w:t>
      </w:r>
      <w:r>
        <w:t xml:space="preserve"> </w:t>
      </w:r>
      <w:r>
        <w:rPr>
          <w:spacing w:val="4"/>
        </w:rPr>
        <w:t>且与大多数污染物比鱼类和贝类更为敏感。许多品种的大型</w:t>
      </w:r>
      <w:r>
        <w:rPr>
          <w:spacing w:val="5"/>
        </w:rPr>
        <w:t xml:space="preserve"> </w:t>
      </w:r>
      <w:r>
        <w:rPr>
          <w:spacing w:val="4"/>
        </w:rPr>
        <w:t>海藻作为海洋经济藻种，其数量与质量的变化</w:t>
      </w:r>
      <w:r>
        <w:rPr>
          <w:spacing w:val="3"/>
        </w:rPr>
        <w:t>，关系到海洋</w:t>
      </w:r>
      <w:r>
        <w:t xml:space="preserve"> </w:t>
      </w:r>
      <w:r>
        <w:rPr>
          <w:spacing w:val="4"/>
        </w:rPr>
        <w:t>生态环境平衡与人们的食品安全。在上述背景下，在建立的</w:t>
      </w:r>
      <w:r>
        <w:rPr>
          <w:spacing w:val="4"/>
        </w:rPr>
        <w:t xml:space="preserve"> </w:t>
      </w:r>
      <w:r>
        <w:rPr>
          <w:spacing w:val="-2"/>
        </w:rPr>
        <w:t>高效液相色谱-串联质谱法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(HPLC-MS/MS)    </w:t>
      </w:r>
      <w:r>
        <w:rPr>
          <w:spacing w:val="-2"/>
        </w:rPr>
        <w:t>的基础上，我们</w:t>
      </w:r>
    </w:p>
    <w:p>
      <w:pPr>
        <w:pStyle w:val="BodyText"/>
        <w:spacing w:line="212" w:lineRule="auto"/>
        <w:rPr>
          <w:rFonts w:ascii="Times New Roman" w:eastAsia="Times New Roman" w:hAnsi="Times New Roman" w:cs="Times New Roman"/>
        </w:rPr>
      </w:pPr>
      <w:r>
        <w:rPr>
          <w:spacing w:val="-10"/>
        </w:rPr>
        <w:t>在前期工作中发现，藻类中检出金刚烷胺，含量在3</w:t>
      </w:r>
      <w:r>
        <w:rPr>
          <w:spacing w:val="-11"/>
        </w:rPr>
        <w:t>.01</w:t>
      </w:r>
      <w:r>
        <w:rPr>
          <w:spacing w:val="81"/>
        </w:rPr>
        <w:t xml:space="preserve"> </w:t>
      </w:r>
      <w:r>
        <w:rPr>
          <w:spacing w:val="-11"/>
        </w:rPr>
        <w:t>μ</w:t>
      </w:r>
      <w:r>
        <w:rPr>
          <w:rFonts w:ascii="Times New Roman" w:eastAsia="Times New Roman" w:hAnsi="Times New Roman" w:cs="Times New Roman"/>
          <w:spacing w:val="-11"/>
        </w:rPr>
        <w:t>g/kg</w:t>
      </w:r>
    </w:p>
    <w:p>
      <w:pPr>
        <w:spacing w:line="212" w:lineRule="auto"/>
        <w:rPr>
          <w:rFonts w:ascii="Times New Roman" w:eastAsia="Times New Roman" w:hAnsi="Times New Roman" w:cs="Times New Roman"/>
        </w:rPr>
        <w:sectPr>
          <w:pgSz w:w="11900" w:h="16830"/>
          <w:pgMar w:top="1430" w:right="1785" w:bottom="0" w:left="1690" w:header="0" w:footer="0" w:gutter="0"/>
          <w:pgNumType w:start="7"/>
          <w:cols w:space="708"/>
        </w:sectPr>
      </w:pPr>
    </w:p>
    <w:p>
      <w:pPr>
        <w:rPr>
          <w:rFonts w:ascii="Arial"/>
          <w:sz w:val="21"/>
        </w:rPr>
      </w:pPr>
    </w:p>
    <w:p>
      <w:pPr>
        <w:pStyle w:val="BodyText"/>
        <w:spacing w:before="97" w:line="352" w:lineRule="auto"/>
        <w:ind w:right="467"/>
        <w:jc w:val="both"/>
      </w:pPr>
      <w:r>
        <w:rPr>
          <w:rFonts w:ascii="SimSun" w:eastAsia="SimSun" w:hAnsi="SimSun" w:cs="SimSun"/>
          <w:spacing w:val="-6"/>
        </w:rPr>
        <w:t xml:space="preserve">-25.1μg/kg </w:t>
      </w:r>
      <w:r>
        <w:rPr>
          <w:spacing w:val="-6"/>
        </w:rPr>
        <w:t>之间。同时对烟台长岛海域</w:t>
      </w:r>
      <w:r>
        <w:rPr>
          <w:spacing w:val="-7"/>
        </w:rPr>
        <w:t>的海带中金刚烷胺进</w:t>
      </w:r>
      <w:r>
        <w:t xml:space="preserve"> </w:t>
      </w:r>
      <w:r>
        <w:rPr>
          <w:spacing w:val="4"/>
        </w:rPr>
        <w:t>行连续检测，发现金刚烷胺检出率较高。目前我国海洋生态</w:t>
      </w:r>
      <w:r>
        <w:rPr>
          <w:spacing w:val="1"/>
        </w:rPr>
        <w:t xml:space="preserve"> </w:t>
      </w:r>
      <w:r>
        <w:rPr>
          <w:spacing w:val="4"/>
        </w:rPr>
        <w:t>环境整体形势依然严峻，仍然处于污染排放和环境风险的高</w:t>
      </w:r>
      <w:r>
        <w:t xml:space="preserve"> </w:t>
      </w:r>
      <w:r>
        <w:rPr>
          <w:spacing w:val="4"/>
        </w:rPr>
        <w:t>峰期、生态退化和灾害频发的叠加期；海洋环境监督管理制</w:t>
      </w:r>
      <w:r>
        <w:rPr>
          <w:spacing w:val="12"/>
        </w:rPr>
        <w:t xml:space="preserve"> </w:t>
      </w:r>
      <w:r>
        <w:rPr>
          <w:spacing w:val="4"/>
        </w:rPr>
        <w:t>度落实不到位，污染物标准统筹不够，无法满足海洋环</w:t>
      </w:r>
      <w:r>
        <w:rPr>
          <w:spacing w:val="3"/>
        </w:rPr>
        <w:t>境保</w:t>
      </w:r>
    </w:p>
    <w:p>
      <w:pPr>
        <w:pStyle w:val="BodyText"/>
        <w:spacing w:line="222" w:lineRule="auto"/>
      </w:pPr>
      <w:r>
        <w:rPr>
          <w:spacing w:val="-6"/>
        </w:rPr>
        <w:t>护及监测的实际要求。</w:t>
      </w:r>
    </w:p>
    <w:p>
      <w:pPr>
        <w:pStyle w:val="BodyText"/>
        <w:spacing w:before="243" w:line="351" w:lineRule="auto"/>
        <w:ind w:right="372" w:firstLine="719"/>
      </w:pPr>
      <w:r>
        <w:rPr>
          <w:spacing w:val="4"/>
        </w:rPr>
        <w:t>近年来，海洋污染越来越严重，对海洋生物</w:t>
      </w:r>
      <w:r>
        <w:rPr>
          <w:spacing w:val="3"/>
        </w:rPr>
        <w:t>造成了较大</w:t>
      </w:r>
      <w:r>
        <w:t xml:space="preserve"> </w:t>
      </w:r>
      <w:r>
        <w:rPr>
          <w:spacing w:val="3"/>
        </w:rPr>
        <w:t>的经济损失。因此建立海洋生物体中污染物的检测技术应迫</w:t>
      </w:r>
      <w:r>
        <w:rPr>
          <w:spacing w:val="3"/>
        </w:rPr>
        <w:t xml:space="preserve"> </w:t>
      </w:r>
      <w:r>
        <w:rPr>
          <w:spacing w:val="3"/>
        </w:rPr>
        <w:t>在眉睫，以应对保护海洋生态环境，应完善海洋标准检测及</w:t>
      </w:r>
      <w:r>
        <w:rPr>
          <w:spacing w:val="3"/>
        </w:rPr>
        <w:t xml:space="preserve"> </w:t>
      </w:r>
      <w:r>
        <w:rPr>
          <w:spacing w:val="2"/>
        </w:rPr>
        <w:t>监测体系的需要。目前我国及我省还没有关于金刚烷胺在海</w:t>
      </w:r>
    </w:p>
    <w:p>
      <w:pPr>
        <w:pStyle w:val="BodyText"/>
        <w:spacing w:line="220" w:lineRule="auto"/>
      </w:pPr>
      <w:r>
        <w:rPr>
          <w:spacing w:val="2"/>
        </w:rPr>
        <w:t>洋环境中污染状况的研究报道，国外也鲜有这方面的</w:t>
      </w:r>
      <w:r>
        <w:rPr>
          <w:spacing w:val="1"/>
        </w:rPr>
        <w:t>资料，</w:t>
      </w:r>
    </w:p>
    <w:p>
      <w:pPr>
        <w:pStyle w:val="BodyText"/>
        <w:spacing w:before="212" w:line="351" w:lineRule="auto"/>
        <w:ind w:right="371"/>
      </w:pPr>
      <w:r>
        <w:rPr>
          <w:spacing w:val="14"/>
        </w:rPr>
        <w:t>其在海洋环境中分布状况以及对海洋生物的影响都无从评</w:t>
      </w:r>
      <w:r>
        <w:rPr>
          <w:spacing w:val="14"/>
        </w:rPr>
        <w:t xml:space="preserve"> </w:t>
      </w:r>
      <w:r>
        <w:rPr>
          <w:spacing w:val="-3"/>
        </w:rPr>
        <w:t>估。因此该标准的立项，对理清海洋生物体中</w:t>
      </w:r>
      <w:r>
        <w:rPr>
          <w:spacing w:val="-4"/>
        </w:rPr>
        <w:t>金刚烷胺来源，</w:t>
      </w:r>
      <w:r>
        <w:t xml:space="preserve"> </w:t>
      </w:r>
      <w:r>
        <w:rPr>
          <w:spacing w:val="4"/>
        </w:rPr>
        <w:t>保护其赖以生存的环境，提出切实可行的控</w:t>
      </w:r>
      <w:r>
        <w:rPr>
          <w:spacing w:val="3"/>
        </w:rPr>
        <w:t>制技术并对维持</w:t>
      </w:r>
    </w:p>
    <w:p>
      <w:pPr>
        <w:pStyle w:val="BodyText"/>
        <w:spacing w:before="1" w:line="220" w:lineRule="auto"/>
      </w:pPr>
      <w:r>
        <w:rPr>
          <w:spacing w:val="2"/>
        </w:rPr>
        <w:t>海洋环境的健康、可持续发展至关重要且已刻不容缓。</w:t>
      </w:r>
    </w:p>
    <w:p>
      <w:pPr>
        <w:spacing w:before="260" w:line="590" w:lineRule="exact"/>
        <w:ind w:left="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4"/>
          <w:position w:val="21"/>
          <w:sz w:val="30"/>
          <w:szCs w:val="30"/>
        </w:rPr>
        <w:t>三、</w:t>
      </w:r>
      <w:r>
        <w:rPr>
          <w:rFonts w:ascii="SimHei" w:eastAsia="SimHei" w:hAnsi="SimHei" w:cs="SimHei"/>
          <w:spacing w:val="-65"/>
          <w:position w:val="21"/>
          <w:sz w:val="30"/>
          <w:szCs w:val="30"/>
        </w:rPr>
        <w:t xml:space="preserve"> </w:t>
      </w:r>
      <w:r>
        <w:rPr>
          <w:rFonts w:ascii="SimHei" w:eastAsia="SimHei" w:hAnsi="SimHei" w:cs="SimHei"/>
          <w:b/>
          <w:bCs/>
          <w:spacing w:val="-4"/>
          <w:position w:val="21"/>
          <w:sz w:val="30"/>
          <w:szCs w:val="30"/>
        </w:rPr>
        <w:t>地方标准编制原则、主要技术内容和确定</w:t>
      </w:r>
      <w:r>
        <w:rPr>
          <w:rFonts w:ascii="SimHei" w:eastAsia="SimHei" w:hAnsi="SimHei" w:cs="SimHei"/>
          <w:b/>
          <w:bCs/>
          <w:spacing w:val="-5"/>
          <w:position w:val="21"/>
          <w:sz w:val="30"/>
          <w:szCs w:val="30"/>
        </w:rPr>
        <w:t>依据</w:t>
      </w:r>
    </w:p>
    <w:p>
      <w:pPr>
        <w:spacing w:before="1" w:line="220" w:lineRule="auto"/>
        <w:ind w:left="21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16"/>
          <w:sz w:val="30"/>
          <w:szCs w:val="30"/>
        </w:rPr>
        <w:t>(一)编制原则</w:t>
      </w:r>
    </w:p>
    <w:p>
      <w:pPr>
        <w:pStyle w:val="BodyText"/>
        <w:spacing w:before="203" w:line="357" w:lineRule="auto"/>
        <w:ind w:right="366" w:firstLine="639"/>
      </w:pPr>
      <w:r>
        <w:rPr>
          <w:spacing w:val="-7"/>
        </w:rPr>
        <w:t>本文件制定的主要原则：</w:t>
      </w:r>
      <w:r>
        <w:rPr>
          <w:spacing w:val="106"/>
        </w:rPr>
        <w:t xml:space="preserve"> </w:t>
      </w:r>
      <w:r>
        <w:rPr>
          <w:spacing w:val="-7"/>
        </w:rPr>
        <w:t>一是符合性，符合国家和行业</w:t>
      </w:r>
      <w:r>
        <w:t xml:space="preserve"> </w:t>
      </w:r>
      <w:r>
        <w:rPr>
          <w:spacing w:val="3"/>
        </w:rPr>
        <w:t>有关方针、政策、法律、法规，贯彻国家强制性标准；二是</w:t>
      </w:r>
      <w:r>
        <w:rPr>
          <w:spacing w:val="3"/>
        </w:rPr>
        <w:t xml:space="preserve"> </w:t>
      </w:r>
      <w:r>
        <w:rPr>
          <w:spacing w:val="2"/>
        </w:rPr>
        <w:t>适用性，充分考虑我国国情，以促进海洋环境保护</w:t>
      </w:r>
      <w:r>
        <w:rPr>
          <w:spacing w:val="1"/>
        </w:rPr>
        <w:t>为目的，</w:t>
      </w:r>
      <w:r>
        <w:t xml:space="preserve">  </w:t>
      </w:r>
      <w:r>
        <w:rPr>
          <w:spacing w:val="3"/>
        </w:rPr>
        <w:t>同时兼顾当前及未来金刚烷胺分析技术的发展，确保为海洋</w:t>
      </w:r>
      <w:r>
        <w:t xml:space="preserve">  </w:t>
      </w:r>
      <w:r>
        <w:rPr>
          <w:spacing w:val="-3"/>
        </w:rPr>
        <w:t>环境监测提供准确、有效地方法和完善的技术；三是目的</w:t>
      </w:r>
      <w:r>
        <w:rPr>
          <w:spacing w:val="-4"/>
        </w:rPr>
        <w:t>性，</w:t>
      </w:r>
    </w:p>
    <w:p>
      <w:pPr>
        <w:pStyle w:val="BodyText"/>
        <w:spacing w:before="1" w:line="220" w:lineRule="auto"/>
      </w:pPr>
      <w:r>
        <w:rPr>
          <w:spacing w:val="4"/>
        </w:rPr>
        <w:t>有利于我国海洋环境监测技术的进步，有利</w:t>
      </w:r>
      <w:r>
        <w:rPr>
          <w:spacing w:val="3"/>
        </w:rPr>
        <w:t>于海洋生态环境</w:t>
      </w:r>
    </w:p>
    <w:p>
      <w:pPr>
        <w:spacing w:line="220" w:lineRule="auto"/>
        <w:sectPr>
          <w:pgSz w:w="11900" w:h="16830"/>
          <w:pgMar w:top="1430" w:right="1785" w:bottom="0" w:left="1730" w:header="0" w:footer="0" w:gutter="0"/>
          <w:pgNumType w:start="8"/>
          <w:cols w:space="708"/>
        </w:sectPr>
      </w:pPr>
    </w:p>
    <w:p>
      <w:pPr>
        <w:pStyle w:val="BodyText"/>
        <w:spacing w:before="327" w:line="578" w:lineRule="exact"/>
      </w:pPr>
      <w:r>
        <w:rPr>
          <w:spacing w:val="3"/>
          <w:position w:val="20"/>
        </w:rPr>
        <w:t>监测与评价技术水平的提高，有利于我国海</w:t>
      </w:r>
      <w:r>
        <w:rPr>
          <w:spacing w:val="2"/>
          <w:position w:val="20"/>
        </w:rPr>
        <w:t>洋资源的合理开</w:t>
      </w:r>
    </w:p>
    <w:p>
      <w:pPr>
        <w:pStyle w:val="BodyText"/>
        <w:spacing w:line="220" w:lineRule="auto"/>
      </w:pPr>
      <w:r>
        <w:rPr>
          <w:spacing w:val="1"/>
        </w:rPr>
        <w:t>发；四是协调性，与相关国家和行业标准协调一致。</w:t>
      </w:r>
    </w:p>
    <w:p>
      <w:pPr>
        <w:spacing w:before="222" w:line="222" w:lineRule="auto"/>
        <w:ind w:left="33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7"/>
          <w:sz w:val="30"/>
          <w:szCs w:val="30"/>
        </w:rPr>
        <w:t>(二)主要技术内容和确定依据</w:t>
      </w:r>
    </w:p>
    <w:p>
      <w:pPr>
        <w:pStyle w:val="BodyText"/>
        <w:spacing w:before="166" w:line="365" w:lineRule="auto"/>
        <w:ind w:right="385" w:firstLine="729"/>
        <w:jc w:val="both"/>
      </w:pPr>
      <w:r>
        <w:rPr>
          <w:spacing w:val="4"/>
        </w:rPr>
        <w:t>根据金刚烷胺的结构和性质，海洋生物体样品用1%</w:t>
      </w:r>
      <w:r>
        <w:rPr>
          <w:spacing w:val="3"/>
        </w:rPr>
        <w:t>乙酸</w:t>
      </w:r>
      <w:r>
        <w:t xml:space="preserve"> </w:t>
      </w:r>
      <w:r>
        <w:rPr>
          <w:spacing w:val="-3"/>
        </w:rPr>
        <w:t>乙腈提取后，经浓缩净化后，液相色谱-串联质谱仪测定，内</w:t>
      </w:r>
    </w:p>
    <w:p>
      <w:pPr>
        <w:pStyle w:val="BodyText"/>
        <w:spacing w:line="222" w:lineRule="auto"/>
      </w:pPr>
      <w:r>
        <w:rPr>
          <w:spacing w:val="-5"/>
        </w:rPr>
        <w:t>标法定量。</w:t>
      </w:r>
    </w:p>
    <w:p>
      <w:pPr>
        <w:spacing w:line="354" w:lineRule="auto"/>
        <w:rPr>
          <w:rFonts w:ascii="Arial"/>
          <w:sz w:val="21"/>
        </w:rPr>
      </w:pPr>
    </w:p>
    <w:p>
      <w:pPr>
        <w:spacing w:before="98" w:line="221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4"/>
          <w:sz w:val="30"/>
          <w:szCs w:val="30"/>
        </w:rPr>
        <w:t>1.标准溶液的制备与保存期限</w:t>
      </w:r>
    </w:p>
    <w:p>
      <w:pPr>
        <w:pStyle w:val="BodyText"/>
        <w:spacing w:before="311" w:line="363" w:lineRule="auto"/>
        <w:ind w:right="413" w:firstLine="729"/>
      </w:pPr>
      <w:r>
        <w:rPr>
          <w:spacing w:val="10"/>
        </w:rPr>
        <w:t>溶液制备方法参照</w:t>
      </w:r>
      <w:r>
        <w:t>GB</w:t>
      </w:r>
      <w:r>
        <w:rPr>
          <w:spacing w:val="10"/>
        </w:rPr>
        <w:t>/T</w:t>
      </w:r>
      <w:r>
        <w:rPr>
          <w:spacing w:val="107"/>
        </w:rPr>
        <w:t xml:space="preserve"> </w:t>
      </w:r>
      <w:r>
        <w:rPr>
          <w:spacing w:val="10"/>
        </w:rPr>
        <w:t>601-2016</w:t>
      </w:r>
      <w:r>
        <w:rPr>
          <w:spacing w:val="10"/>
        </w:rPr>
        <w:t xml:space="preserve"> </w:t>
      </w:r>
      <w:r>
        <w:rPr>
          <w:spacing w:val="10"/>
        </w:rPr>
        <w:t>化</w:t>
      </w:r>
      <w:r>
        <w:rPr>
          <w:spacing w:val="9"/>
        </w:rPr>
        <w:t>学试剂标准滴定</w:t>
      </w:r>
      <w:r>
        <w:t xml:space="preserve"> </w:t>
      </w:r>
      <w:r>
        <w:rPr>
          <w:spacing w:val="3"/>
        </w:rPr>
        <w:t>溶液的制备。称取金刚烷胺0.0100</w:t>
      </w:r>
      <w:r>
        <w:rPr>
          <w:spacing w:val="3"/>
        </w:rPr>
        <w:t xml:space="preserve"> </w:t>
      </w:r>
      <w:r>
        <w:rPr>
          <w:rFonts w:ascii="SimSun" w:eastAsia="SimSun" w:hAnsi="SimSun" w:cs="SimSun"/>
          <w:spacing w:val="3"/>
        </w:rPr>
        <w:t xml:space="preserve">g, </w:t>
      </w:r>
      <w:r>
        <w:rPr>
          <w:spacing w:val="3"/>
        </w:rPr>
        <w:t>用乙腈溶解，并定容</w:t>
      </w:r>
      <w:r>
        <w:rPr>
          <w:spacing w:val="4"/>
        </w:rPr>
        <w:t xml:space="preserve"> </w:t>
      </w:r>
      <w:r>
        <w:rPr>
          <w:spacing w:val="-4"/>
        </w:rPr>
        <w:t>至10</w:t>
      </w:r>
      <w:r>
        <w:rPr>
          <w:rFonts w:ascii="Times New Roman" w:eastAsia="Times New Roman" w:hAnsi="Times New Roman" w:cs="Times New Roman"/>
          <w:spacing w:val="-4"/>
        </w:rPr>
        <w:t xml:space="preserve">mL,   </w:t>
      </w:r>
      <w:r>
        <w:rPr>
          <w:spacing w:val="-4"/>
        </w:rPr>
        <w:t>配制成1.0</w:t>
      </w:r>
      <w:r>
        <w:rPr>
          <w:rFonts w:ascii="Times New Roman" w:eastAsia="Times New Roman" w:hAnsi="Times New Roman" w:cs="Times New Roman"/>
          <w:spacing w:val="-4"/>
        </w:rPr>
        <w:t>mg/mL</w:t>
      </w:r>
      <w:r>
        <w:rPr>
          <w:spacing w:val="-4"/>
        </w:rPr>
        <w:t>标准贮备液，</w:t>
      </w:r>
      <w:r>
        <w:rPr>
          <w:spacing w:val="74"/>
        </w:rPr>
        <w:t xml:space="preserve"> </w:t>
      </w:r>
      <w:r>
        <w:rPr>
          <w:spacing w:val="-4"/>
        </w:rPr>
        <w:t>-20℃下避光保</w:t>
      </w:r>
      <w:r>
        <w:rPr>
          <w:spacing w:val="-5"/>
        </w:rPr>
        <w:t>存，</w:t>
      </w:r>
      <w:r>
        <w:t xml:space="preserve"> </w:t>
      </w:r>
      <w:r>
        <w:rPr>
          <w:spacing w:val="9"/>
        </w:rPr>
        <w:t>有效期为3个月。用乙腈稀释金刚烷胺标准贮备液成标准使</w:t>
      </w:r>
      <w:r>
        <w:rPr>
          <w:spacing w:val="14"/>
        </w:rPr>
        <w:t xml:space="preserve"> </w:t>
      </w:r>
      <w:r>
        <w:rPr>
          <w:spacing w:val="-7"/>
        </w:rPr>
        <w:t>用液，金刚烷胺的浓度为1.0</w:t>
      </w:r>
      <w:r>
        <w:rPr>
          <w:spacing w:val="83"/>
        </w:rPr>
        <w:t xml:space="preserve"> </w:t>
      </w:r>
      <w:r>
        <w:rPr>
          <w:spacing w:val="-7"/>
        </w:rPr>
        <w:t>μ</w:t>
      </w:r>
      <w:r>
        <w:rPr>
          <w:rFonts w:ascii="Times New Roman" w:eastAsia="Times New Roman" w:hAnsi="Times New Roman" w:cs="Times New Roman"/>
          <w:spacing w:val="-7"/>
        </w:rPr>
        <w:t xml:space="preserve">g/mL,4℃    </w:t>
      </w:r>
      <w:r>
        <w:rPr>
          <w:spacing w:val="-7"/>
        </w:rPr>
        <w:t>下避光保存，有效</w:t>
      </w:r>
      <w:r>
        <w:t xml:space="preserve"> </w:t>
      </w:r>
      <w:r>
        <w:rPr>
          <w:spacing w:val="2"/>
        </w:rPr>
        <w:t>期为1个月。用乙腈稀释成金刚烷胺内标溶液成标</w:t>
      </w:r>
      <w:r>
        <w:rPr>
          <w:spacing w:val="1"/>
        </w:rPr>
        <w:t>准使用液，</w:t>
      </w:r>
      <w:r>
        <w:t xml:space="preserve"> </w:t>
      </w:r>
      <w:r>
        <w:rPr>
          <w:spacing w:val="2"/>
        </w:rPr>
        <w:t>浓度为100μ</w:t>
      </w:r>
      <w:r>
        <w:rPr>
          <w:rFonts w:ascii="SimSun" w:eastAsia="SimSun" w:hAnsi="SimSun" w:cs="SimSun"/>
          <w:spacing w:val="2"/>
        </w:rPr>
        <w:t>g/L,4℃</w:t>
      </w:r>
      <w:r>
        <w:rPr>
          <w:rFonts w:ascii="SimSun" w:eastAsia="SimSun" w:hAnsi="SimSun" w:cs="SimSun"/>
          <w:spacing w:val="52"/>
        </w:rPr>
        <w:t xml:space="preserve"> </w:t>
      </w:r>
      <w:r>
        <w:rPr>
          <w:spacing w:val="2"/>
        </w:rPr>
        <w:t>下避光保存，有效期为1个月。保存期</w:t>
      </w:r>
    </w:p>
    <w:p>
      <w:pPr>
        <w:pStyle w:val="BodyText"/>
        <w:spacing w:before="1" w:line="219" w:lineRule="auto"/>
      </w:pPr>
      <w:r>
        <w:rPr>
          <w:spacing w:val="-1"/>
        </w:rPr>
        <w:t>内标准溶液重复进样，确保标准物质不变质。</w:t>
      </w:r>
    </w:p>
    <w:p>
      <w:pPr>
        <w:spacing w:line="413" w:lineRule="auto"/>
        <w:rPr>
          <w:rFonts w:ascii="Arial"/>
          <w:sz w:val="21"/>
        </w:rPr>
      </w:pPr>
    </w:p>
    <w:p>
      <w:pPr>
        <w:spacing w:before="98" w:line="221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7"/>
          <w:sz w:val="30"/>
          <w:szCs w:val="30"/>
        </w:rPr>
        <w:t>2.提取剂的选择及超声时间的选择</w:t>
      </w: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99" w:line="351" w:lineRule="auto"/>
        <w:ind w:right="483" w:firstLine="659"/>
        <w:jc w:val="both"/>
      </w:pPr>
      <w:r>
        <w:rPr>
          <w:spacing w:val="3"/>
        </w:rPr>
        <w:t>根据相关文献，本实验采用不同的提取试剂进行对</w:t>
      </w:r>
      <w:r>
        <w:rPr>
          <w:spacing w:val="2"/>
        </w:rPr>
        <w:t>比试</w:t>
      </w:r>
      <w:r>
        <w:t xml:space="preserve"> </w:t>
      </w:r>
      <w:r>
        <w:rPr>
          <w:spacing w:val="4"/>
        </w:rPr>
        <w:t>验，分别是乙腈、1%三氯乙酸-乙腈、3%三氯乙酸-乙</w:t>
      </w:r>
      <w:r>
        <w:rPr>
          <w:spacing w:val="3"/>
        </w:rPr>
        <w:t>腈、1%</w:t>
      </w:r>
      <w:r>
        <w:t xml:space="preserve"> </w:t>
      </w:r>
      <w:r>
        <w:rPr>
          <w:spacing w:val="2"/>
        </w:rPr>
        <w:t>甲酸-乙腈、3%甲酸-乙腈、1%乙酸-乙腈、3%乙酸-乙腈等对</w:t>
      </w:r>
    </w:p>
    <w:p>
      <w:pPr>
        <w:pStyle w:val="BodyText"/>
        <w:spacing w:line="212" w:lineRule="auto"/>
        <w:rPr>
          <w:rFonts w:ascii="SimSun" w:eastAsia="SimSun" w:hAnsi="SimSun" w:cs="SimSun"/>
        </w:rPr>
      </w:pPr>
      <w:r>
        <w:rPr>
          <w:spacing w:val="1"/>
        </w:rPr>
        <w:t>金刚烷胺提取，进行回收率对照实验，添加浓度为1.0</w:t>
      </w:r>
      <w:r>
        <w:rPr>
          <w:rFonts w:ascii="Times New Roman" w:eastAsia="Times New Roman" w:hAnsi="Times New Roman" w:cs="Times New Roman"/>
        </w:rPr>
        <w:t>mg</w:t>
      </w:r>
      <w:r>
        <w:rPr>
          <w:rFonts w:ascii="Times New Roman" w:eastAsia="Times New Roman" w:hAnsi="Times New Roman" w:cs="Times New Roman"/>
          <w:spacing w:val="1"/>
        </w:rPr>
        <w:t>/L</w:t>
      </w:r>
      <w:r>
        <w:rPr>
          <w:rFonts w:ascii="SimSun" w:eastAsia="SimSun" w:hAnsi="SimSun" w:cs="SimSun"/>
          <w:spacing w:val="1"/>
        </w:rPr>
        <w:t>。</w:t>
      </w:r>
    </w:p>
    <w:p>
      <w:pPr>
        <w:pStyle w:val="BodyText"/>
        <w:spacing w:before="253" w:line="219" w:lineRule="auto"/>
        <w:ind w:left="649"/>
      </w:pPr>
      <w:r>
        <w:rPr>
          <w:spacing w:val="2"/>
        </w:rPr>
        <w:t>具体步骤：准确称取剪切后的一定量的海洋生物样品于</w:t>
      </w:r>
    </w:p>
    <w:p>
      <w:pPr>
        <w:spacing w:line="219" w:lineRule="auto"/>
        <w:sectPr>
          <w:pgSz w:w="11900" w:h="16830"/>
          <w:pgMar w:top="1430" w:right="1785" w:bottom="0" w:left="1700" w:header="0" w:footer="0" w:gutter="0"/>
          <w:pgNumType w:start="9"/>
          <w:cols w:space="708"/>
        </w:sectPr>
      </w:pPr>
    </w:p>
    <w:p>
      <w:pPr>
        <w:pStyle w:val="BodyText"/>
        <w:spacing w:before="338" w:line="359" w:lineRule="auto"/>
        <w:ind w:right="472"/>
        <w:jc w:val="both"/>
      </w:pPr>
      <w:r>
        <w:rPr>
          <w:spacing w:val="9"/>
        </w:rPr>
        <w:t>50</w:t>
      </w:r>
      <w:r>
        <w:t>mL</w:t>
      </w:r>
      <w:r>
        <w:rPr>
          <w:spacing w:val="155"/>
        </w:rPr>
        <w:t xml:space="preserve"> </w:t>
      </w:r>
      <w:r>
        <w:rPr>
          <w:spacing w:val="9"/>
        </w:rPr>
        <w:t>带螺旋盖的聚丙烯离心管中，加入15</w:t>
      </w:r>
      <w:r>
        <w:rPr>
          <w:rFonts w:ascii="Times New Roman" w:eastAsia="Times New Roman" w:hAnsi="Times New Roman" w:cs="Times New Roman"/>
        </w:rPr>
        <w:t>mL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spacing w:val="9"/>
        </w:rPr>
        <w:t>提取试剂和</w:t>
      </w:r>
      <w:r>
        <w:t xml:space="preserve"> </w:t>
      </w:r>
      <w:r>
        <w:rPr>
          <w:rFonts w:ascii="SimSun" w:eastAsia="SimSun" w:hAnsi="SimSun" w:cs="SimSun"/>
          <w:spacing w:val="6"/>
        </w:rPr>
        <w:t xml:space="preserve">1.0 </w:t>
      </w:r>
      <w:r>
        <w:rPr>
          <w:rFonts w:ascii="SimSun" w:eastAsia="SimSun" w:hAnsi="SimSun" w:cs="SimSun"/>
        </w:rPr>
        <w:t>mg</w:t>
      </w:r>
      <w:r>
        <w:rPr>
          <w:rFonts w:ascii="SimSun" w:eastAsia="SimSun" w:hAnsi="SimSun" w:cs="SimSun"/>
          <w:spacing w:val="6"/>
        </w:rPr>
        <w:t>/L</w:t>
      </w:r>
      <w:r>
        <w:rPr>
          <w:spacing w:val="6"/>
        </w:rPr>
        <w:t>金刚烷胺内标溶液，充分旋涡1</w:t>
      </w:r>
      <w:r>
        <w:rPr>
          <w:spacing w:val="6"/>
        </w:rPr>
        <w:t xml:space="preserve"> </w:t>
      </w:r>
      <w:r>
        <w:rPr>
          <w:rFonts w:ascii="SimSun" w:eastAsia="SimSun" w:hAnsi="SimSun" w:cs="SimSun"/>
        </w:rPr>
        <w:t>min</w:t>
      </w:r>
      <w:r>
        <w:rPr>
          <w:rFonts w:ascii="SimSun" w:eastAsia="SimSun" w:hAnsi="SimSun" w:cs="SimSun"/>
          <w:spacing w:val="6"/>
        </w:rPr>
        <w:t>,20℃</w:t>
      </w:r>
      <w:r>
        <w:rPr>
          <w:rFonts w:ascii="SimSun" w:eastAsia="SimSun" w:hAnsi="SimSun" w:cs="SimSun"/>
          <w:spacing w:val="53"/>
        </w:rPr>
        <w:t xml:space="preserve"> </w:t>
      </w:r>
      <w:r>
        <w:rPr>
          <w:spacing w:val="6"/>
        </w:rPr>
        <w:t>超声提</w:t>
      </w:r>
      <w:r>
        <w:t xml:space="preserve"> </w:t>
      </w:r>
      <w:r>
        <w:rPr>
          <w:spacing w:val="3"/>
        </w:rPr>
        <w:t>取20</w:t>
      </w:r>
      <w:r>
        <w:rPr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Times New Roman" w:eastAsia="Times New Roman" w:hAnsi="Times New Roman" w:cs="Times New Roman"/>
          <w:spacing w:val="3"/>
        </w:rPr>
        <w:t>,7000     r/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spacing w:val="3"/>
        </w:rPr>
        <w:t>离心15</w:t>
      </w:r>
      <w:r>
        <w:rPr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Times New Roman" w:eastAsia="Times New Roman" w:hAnsi="Times New Roman" w:cs="Times New Roman"/>
          <w:spacing w:val="3"/>
        </w:rPr>
        <w:t xml:space="preserve">,   </w:t>
      </w:r>
      <w:r>
        <w:rPr>
          <w:spacing w:val="3"/>
        </w:rPr>
        <w:t>吸取上清液转移</w:t>
      </w:r>
      <w:r>
        <w:rPr>
          <w:spacing w:val="2"/>
        </w:rPr>
        <w:t>至另一</w:t>
      </w:r>
    </w:p>
    <w:p>
      <w:pPr>
        <w:pStyle w:val="BodyText"/>
        <w:spacing w:line="221" w:lineRule="auto"/>
      </w:pPr>
      <w:r>
        <w:rPr>
          <w:spacing w:val="-4"/>
        </w:rPr>
        <w:t>50</w:t>
      </w:r>
      <w:r>
        <w:rPr>
          <w:spacing w:val="69"/>
        </w:rPr>
        <w:t xml:space="preserve"> </w:t>
      </w:r>
      <w:r>
        <w:rPr>
          <w:spacing w:val="-4"/>
        </w:rPr>
        <w:t>mL</w:t>
      </w:r>
      <w:r>
        <w:rPr>
          <w:spacing w:val="-51"/>
        </w:rPr>
        <w:t xml:space="preserve"> </w:t>
      </w:r>
      <w:r>
        <w:rPr>
          <w:spacing w:val="-4"/>
        </w:rPr>
        <w:t>离心管中待净化处理。</w:t>
      </w:r>
    </w:p>
    <w:p>
      <w:pPr>
        <w:pStyle w:val="BodyText"/>
        <w:spacing w:before="214" w:line="351" w:lineRule="auto"/>
        <w:ind w:right="367" w:firstLine="769"/>
        <w:jc w:val="both"/>
      </w:pPr>
      <w:r>
        <w:rPr>
          <w:spacing w:val="2"/>
        </w:rPr>
        <w:t>金刚烷胺的化学结构带有氨基，呈现出一定的碱性，易</w:t>
      </w:r>
      <w:r>
        <w:rPr>
          <w:spacing w:val="8"/>
        </w:rPr>
        <w:t xml:space="preserve"> </w:t>
      </w:r>
      <w:r>
        <w:rPr>
          <w:spacing w:val="3"/>
        </w:rPr>
        <w:t>溶于酸性试剂，又因其属于极性化合物，在纯有机试剂中的</w:t>
      </w:r>
      <w:r>
        <w:rPr>
          <w:spacing w:val="3"/>
        </w:rPr>
        <w:t xml:space="preserve"> </w:t>
      </w:r>
      <w:r>
        <w:rPr>
          <w:spacing w:val="9"/>
        </w:rPr>
        <w:t>溶解度较小，故一般文献均选用极性较强的稀酸溶液和水-</w:t>
      </w:r>
      <w:r>
        <w:rPr>
          <w:spacing w:val="9"/>
        </w:rPr>
        <w:t xml:space="preserve"> </w:t>
      </w:r>
      <w:r>
        <w:rPr>
          <w:spacing w:val="3"/>
        </w:rPr>
        <w:t>有机溶剂混合液等作为金刚烷胺的提取试剂。乙腈可以有效</w:t>
      </w:r>
      <w:r>
        <w:rPr>
          <w:spacing w:val="3"/>
        </w:rPr>
        <w:t xml:space="preserve"> </w:t>
      </w:r>
      <w:r>
        <w:rPr>
          <w:spacing w:val="5"/>
        </w:rPr>
        <w:t>提取目标化合物，且具有沉淀蛋白质的作用，其</w:t>
      </w:r>
      <w:r>
        <w:rPr>
          <w:spacing w:val="4"/>
        </w:rPr>
        <w:t>提取出的弱</w:t>
      </w:r>
      <w:r>
        <w:t xml:space="preserve"> </w:t>
      </w:r>
      <w:r>
        <w:rPr>
          <w:spacing w:val="5"/>
        </w:rPr>
        <w:t>极性成分少，在质谱上的响应高，基质效应低，因而选用乙</w:t>
      </w:r>
      <w:r>
        <w:rPr>
          <w:spacing w:val="15"/>
        </w:rPr>
        <w:t xml:space="preserve"> </w:t>
      </w:r>
      <w:r>
        <w:rPr>
          <w:spacing w:val="-7"/>
        </w:rPr>
        <w:t>腈作为提取试剂。结果表明，加标样品(浓度</w:t>
      </w:r>
      <w:r>
        <w:rPr>
          <w:spacing w:val="-8"/>
        </w:rPr>
        <w:t>水平为100μ</w:t>
      </w:r>
      <w:r>
        <w:rPr>
          <w:rFonts w:ascii="SimSun" w:eastAsia="SimSun" w:hAnsi="SimSun" w:cs="SimSun"/>
          <w:spacing w:val="-8"/>
        </w:rPr>
        <w:t>g/L)</w:t>
      </w:r>
      <w:r>
        <w:rPr>
          <w:rFonts w:ascii="SimSun" w:eastAsia="SimSun" w:hAnsi="SimSun" w:cs="SimSun"/>
        </w:rPr>
        <w:t xml:space="preserve">  </w:t>
      </w:r>
      <w:r>
        <w:rPr>
          <w:spacing w:val="11"/>
        </w:rPr>
        <w:t>使用1%乙酸乙腈</w:t>
      </w:r>
      <w:r>
        <w:rPr>
          <w:spacing w:val="-56"/>
        </w:rPr>
        <w:t xml:space="preserve"> </w:t>
      </w:r>
      <w:r>
        <w:rPr>
          <w:rFonts w:ascii="Times New Roman" w:eastAsia="Times New Roman" w:hAnsi="Times New Roman" w:cs="Times New Roman"/>
          <w:spacing w:val="11"/>
        </w:rPr>
        <w:t>(v/v)</w:t>
      </w:r>
      <w:r>
        <w:rPr>
          <w:rFonts w:ascii="Times New Roman" w:eastAsia="Times New Roman" w:hAnsi="Times New Roman" w:cs="Times New Roman"/>
          <w:spacing w:val="25"/>
        </w:rPr>
        <w:t xml:space="preserve">   </w:t>
      </w:r>
      <w:r>
        <w:rPr>
          <w:spacing w:val="11"/>
        </w:rPr>
        <w:t>提取试剂的提取效果优于其他的提</w:t>
      </w:r>
      <w:r>
        <w:rPr>
          <w:spacing w:val="11"/>
        </w:rPr>
        <w:t xml:space="preserve"> </w:t>
      </w:r>
      <w:r>
        <w:rPr>
          <w:spacing w:val="9"/>
        </w:rPr>
        <w:t>取溶液，金刚烷胺的回收率高达117.75%。因此本</w:t>
      </w:r>
      <w:r>
        <w:rPr>
          <w:spacing w:val="8"/>
        </w:rPr>
        <w:t>实验选择</w:t>
      </w:r>
    </w:p>
    <w:p>
      <w:pPr>
        <w:pStyle w:val="BodyText"/>
        <w:spacing w:line="220" w:lineRule="auto"/>
      </w:pPr>
      <w:r>
        <w:rPr>
          <w:spacing w:val="5"/>
        </w:rPr>
        <w:t>1%乙酸乙腈作为提取溶液。</w:t>
      </w:r>
    </w:p>
    <w:p>
      <w:pPr>
        <w:pStyle w:val="BodyText"/>
        <w:spacing w:before="256" w:line="353" w:lineRule="auto"/>
        <w:ind w:right="444" w:firstLine="550"/>
      </w:pPr>
      <w:r>
        <w:rPr>
          <w:spacing w:val="4"/>
        </w:rPr>
        <w:t>比较了前处理超声提取时间分别为10</w:t>
      </w:r>
      <w:r>
        <w:rPr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rPr>
          <w:rFonts w:ascii="SimSun" w:eastAsia="SimSun" w:hAnsi="SimSun" w:cs="SimSun"/>
          <w:spacing w:val="4"/>
        </w:rPr>
        <w:t>、</w:t>
      </w:r>
      <w:r>
        <w:rPr>
          <w:rFonts w:ascii="Times New Roman" w:eastAsia="Times New Roman" w:hAnsi="Times New Roman" w:cs="Times New Roman"/>
          <w:spacing w:val="4"/>
        </w:rPr>
        <w:t xml:space="preserve">15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rPr>
          <w:rFonts w:ascii="SimSun" w:eastAsia="SimSun" w:hAnsi="SimSun" w:cs="SimSun"/>
          <w:spacing w:val="3"/>
        </w:rPr>
        <w:t>、</w:t>
      </w:r>
      <w:r>
        <w:rPr>
          <w:rFonts w:ascii="Times New Roman" w:eastAsia="Times New Roman" w:hAnsi="Times New Roman" w:cs="Times New Roman"/>
          <w:spacing w:val="3"/>
        </w:rPr>
        <w:t>20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Times New Roman" w:eastAsia="Times New Roman" w:hAnsi="Times New Roman" w:cs="Times New Roman"/>
          <w:spacing w:val="-43"/>
        </w:rPr>
        <w:t xml:space="preserve"> </w:t>
      </w:r>
      <w:r>
        <w:rPr>
          <w:rFonts w:ascii="SimSun" w:eastAsia="SimSun" w:hAnsi="SimSun" w:cs="SimSun"/>
          <w:spacing w:val="1"/>
        </w:rPr>
        <w:t>、</w:t>
      </w:r>
      <w:r>
        <w:rPr>
          <w:rFonts w:ascii="Times New Roman" w:eastAsia="Times New Roman" w:hAnsi="Times New Roman" w:cs="Times New Roman"/>
          <w:spacing w:val="1"/>
        </w:rPr>
        <w:t xml:space="preserve">25 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rPr>
          <w:rFonts w:ascii="SimSun" w:eastAsia="SimSun" w:hAnsi="SimSun" w:cs="SimSun"/>
          <w:spacing w:val="1"/>
        </w:rPr>
        <w:t>、</w:t>
      </w:r>
      <w:r>
        <w:rPr>
          <w:rFonts w:ascii="Times New Roman" w:eastAsia="Times New Roman" w:hAnsi="Times New Roman" w:cs="Times New Roman"/>
          <w:spacing w:val="1"/>
        </w:rPr>
        <w:t xml:space="preserve">30 </w:t>
      </w:r>
      <w:r>
        <w:rPr>
          <w:rFonts w:ascii="Times New Roman" w:eastAsia="Times New Roman" w:hAnsi="Times New Roman" w:cs="Times New Roman"/>
        </w:rPr>
        <w:t>min</w:t>
      </w:r>
      <w:r>
        <w:rPr>
          <w:spacing w:val="1"/>
        </w:rPr>
        <w:t>五种方式对于金刚烷胺的提取效果</w:t>
      </w:r>
      <w:r>
        <w:t>，结</w:t>
      </w:r>
      <w:r>
        <w:t xml:space="preserve"> </w:t>
      </w:r>
      <w:r>
        <w:rPr>
          <w:spacing w:val="4"/>
        </w:rPr>
        <w:t>果表明，随着超声提取时间的增加，金刚烷胺的回收率随之</w:t>
      </w:r>
      <w:r>
        <w:rPr>
          <w:spacing w:val="7"/>
        </w:rPr>
        <w:t xml:space="preserve"> </w:t>
      </w:r>
      <w:r>
        <w:rPr>
          <w:spacing w:val="10"/>
        </w:rPr>
        <w:t>增加，15</w:t>
      </w:r>
      <w:r>
        <w:rPr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10"/>
        </w:rPr>
        <w:t>时金刚烷胺回收率达到110%左右，随着提取</w:t>
      </w:r>
    </w:p>
    <w:p>
      <w:pPr>
        <w:pStyle w:val="BodyText"/>
        <w:spacing w:line="219" w:lineRule="auto"/>
      </w:pPr>
      <w:r>
        <w:rPr>
          <w:spacing w:val="12"/>
        </w:rPr>
        <w:t>时间的延长，金刚烷胺回收率稳定在115%左右</w:t>
      </w:r>
      <w:r>
        <w:rPr>
          <w:spacing w:val="11"/>
        </w:rPr>
        <w:t>不再增加，</w:t>
      </w:r>
    </w:p>
    <w:p>
      <w:pPr>
        <w:pStyle w:val="BodyText"/>
        <w:spacing w:before="215" w:line="220" w:lineRule="auto"/>
        <w:rPr>
          <w:rFonts w:ascii="SimSun" w:eastAsia="SimSun" w:hAnsi="SimSun" w:cs="SimSun"/>
        </w:rPr>
      </w:pPr>
      <w:r>
        <w:rPr>
          <w:spacing w:val="1"/>
        </w:rPr>
        <w:t>因此，本实验选择超声提取时间为15</w:t>
      </w:r>
      <w:r>
        <w:rPr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SimSun" w:eastAsia="SimSun" w:hAnsi="SimSun" w:cs="SimSun"/>
          <w:spacing w:val="1"/>
        </w:rPr>
        <w:t>。</w:t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98" w:line="221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1"/>
          <w:sz w:val="30"/>
          <w:szCs w:val="30"/>
        </w:rPr>
        <w:t>3.</w:t>
      </w:r>
      <w:r>
        <w:rPr>
          <w:rFonts w:ascii="SimHei" w:eastAsia="SimHei" w:hAnsi="SimHei" w:cs="SimHei"/>
          <w:spacing w:val="-50"/>
          <w:sz w:val="30"/>
          <w:szCs w:val="30"/>
        </w:rPr>
        <w:t xml:space="preserve"> </w:t>
      </w:r>
      <w:r>
        <w:rPr>
          <w:rFonts w:ascii="SimHei" w:eastAsia="SimHei" w:hAnsi="SimHei" w:cs="SimHei"/>
          <w:b/>
          <w:bCs/>
          <w:spacing w:val="1"/>
          <w:sz w:val="30"/>
          <w:szCs w:val="30"/>
        </w:rPr>
        <w:t>固相萃取柱的选择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98" w:line="219" w:lineRule="auto"/>
        <w:ind w:left="659"/>
      </w:pPr>
      <w:r>
        <w:rPr>
          <w:spacing w:val="2"/>
        </w:rPr>
        <w:t>由于金刚烷胺的脂溶性，脂肪较难除去。在实验中试图</w:t>
      </w:r>
    </w:p>
    <w:p>
      <w:pPr>
        <w:spacing w:line="219" w:lineRule="auto"/>
        <w:sectPr>
          <w:pgSz w:w="11900" w:h="16830"/>
          <w:pgMar w:top="1430" w:right="1785" w:bottom="0" w:left="1720" w:header="0" w:footer="0" w:gutter="0"/>
          <w:pgNumType w:start="10"/>
          <w:cols w:space="708"/>
        </w:sectPr>
      </w:pPr>
    </w:p>
    <w:p>
      <w:pPr>
        <w:pStyle w:val="BodyText"/>
        <w:spacing w:before="305" w:line="357" w:lineRule="auto"/>
        <w:ind w:right="501"/>
      </w:pPr>
      <w:r>
        <w:rPr>
          <w:spacing w:val="4"/>
        </w:rPr>
        <w:t>用正己烷去除脂肪步骤，发现对分析灵敏度有明显影响</w:t>
      </w:r>
      <w:r>
        <w:rPr>
          <w:spacing w:val="3"/>
        </w:rPr>
        <w:t>。正</w:t>
      </w:r>
      <w:r>
        <w:t xml:space="preserve"> </w:t>
      </w:r>
      <w:r>
        <w:t>已烷可能在去脂步骤导致部分金刚烷胺被分配除去。因此，</w:t>
      </w:r>
      <w:r>
        <w:rPr>
          <w:spacing w:val="8"/>
        </w:rPr>
        <w:t xml:space="preserve"> </w:t>
      </w:r>
      <w:r>
        <w:rPr>
          <w:spacing w:val="4"/>
        </w:rPr>
        <w:t>需要用固相萃取小柱对提取液进行净化，除去一些</w:t>
      </w:r>
      <w:r>
        <w:rPr>
          <w:spacing w:val="3"/>
        </w:rPr>
        <w:t>与金刚烷</w:t>
      </w:r>
    </w:p>
    <w:p>
      <w:pPr>
        <w:pStyle w:val="BodyText"/>
        <w:spacing w:line="220" w:lineRule="auto"/>
      </w:pPr>
      <w:r>
        <w:t>胺性质相似的干扰物和色素等杂质。</w:t>
      </w:r>
    </w:p>
    <w:p>
      <w:pPr>
        <w:pStyle w:val="BodyText"/>
        <w:spacing w:before="231" w:line="351" w:lineRule="auto"/>
        <w:ind w:right="387" w:firstLine="590"/>
        <w:jc w:val="both"/>
      </w:pPr>
      <w:r>
        <w:rPr>
          <w:spacing w:val="-1"/>
        </w:rPr>
        <w:t>通过空白鲅鱼加标，采用外标法对比</w:t>
      </w:r>
      <w:r>
        <w:rPr>
          <w:rFonts w:ascii="Times New Roman" w:eastAsia="Times New Roman" w:hAnsi="Times New Roman" w:cs="Times New Roman"/>
          <w:spacing w:val="-1"/>
        </w:rPr>
        <w:t>HLB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rFonts w:ascii="SimSun" w:eastAsia="SimSun" w:hAnsi="SimSun" w:cs="SimSun"/>
          <w:spacing w:val="-1"/>
        </w:rPr>
        <w:t>、</w:t>
      </w:r>
      <w:r>
        <w:rPr>
          <w:rFonts w:ascii="Times New Roman" w:eastAsia="Times New Roman" w:hAnsi="Times New Roman" w:cs="Times New Roman"/>
          <w:spacing w:val="-1"/>
        </w:rPr>
        <w:t>MCX</w:t>
      </w:r>
      <w:r>
        <w:rPr>
          <w:rFonts w:ascii="Times New Roman" w:eastAsia="Times New Roman" w:hAnsi="Times New Roman" w:cs="Times New Roman"/>
          <w:spacing w:val="-43"/>
        </w:rPr>
        <w:t xml:space="preserve"> </w:t>
      </w:r>
      <w:r>
        <w:rPr>
          <w:rFonts w:ascii="SimSun" w:eastAsia="SimSun" w:hAnsi="SimSun" w:cs="SimSun"/>
          <w:spacing w:val="-1"/>
        </w:rPr>
        <w:t>、</w:t>
      </w:r>
      <w:r>
        <w:rPr>
          <w:rFonts w:ascii="Times New Roman" w:eastAsia="Times New Roman" w:hAnsi="Times New Roman" w:cs="Times New Roman"/>
          <w:spacing w:val="-1"/>
        </w:rPr>
        <w:t>MAX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固相萃取柱的回收率情况，结果表明</w:t>
      </w:r>
      <w:r>
        <w:rPr>
          <w:rFonts w:ascii="SimSun" w:eastAsia="SimSun" w:hAnsi="SimSun" w:cs="SimSun"/>
          <w:spacing w:val="-1"/>
        </w:rPr>
        <w:t>MCX</w:t>
      </w:r>
      <w:r>
        <w:rPr>
          <w:rFonts w:ascii="SimSun" w:eastAsia="SimSun" w:hAnsi="SimSun" w:cs="SimSun"/>
          <w:spacing w:val="123"/>
        </w:rPr>
        <w:t xml:space="preserve"> </w:t>
      </w:r>
      <w:r>
        <w:rPr>
          <w:spacing w:val="-1"/>
        </w:rPr>
        <w:t>回收率最</w:t>
      </w:r>
      <w:r>
        <w:rPr>
          <w:spacing w:val="-2"/>
        </w:rPr>
        <w:t>高(图1),</w:t>
      </w:r>
      <w:r>
        <w:rPr>
          <w:spacing w:val="-2"/>
        </w:rPr>
        <w:t xml:space="preserve"> </w:t>
      </w:r>
      <w:r>
        <w:rPr>
          <w:spacing w:val="3"/>
        </w:rPr>
        <w:t>说明金刚烷胺主要以离子的形式存在，强阳离子交换柱对其</w:t>
      </w:r>
      <w:r>
        <w:rPr>
          <w:spacing w:val="3"/>
        </w:rPr>
        <w:t xml:space="preserve"> </w:t>
      </w:r>
      <w:r>
        <w:rPr>
          <w:spacing w:val="-1"/>
        </w:rPr>
        <w:t>有一定的保留，因此本文件采用</w:t>
      </w:r>
      <w:r>
        <w:rPr>
          <w:rFonts w:ascii="SimSun" w:eastAsia="SimSun" w:hAnsi="SimSun" w:cs="SimSun"/>
          <w:spacing w:val="-1"/>
        </w:rPr>
        <w:t>MCX</w:t>
      </w:r>
      <w:r>
        <w:rPr>
          <w:rFonts w:ascii="SimSun" w:eastAsia="SimSun" w:hAnsi="SimSun" w:cs="SimSun"/>
          <w:spacing w:val="123"/>
        </w:rPr>
        <w:t xml:space="preserve"> </w:t>
      </w:r>
      <w:r>
        <w:rPr>
          <w:spacing w:val="-1"/>
        </w:rPr>
        <w:t>对目</w:t>
      </w:r>
      <w:r>
        <w:rPr>
          <w:spacing w:val="-2"/>
        </w:rPr>
        <w:t>标物进行富集和净</w:t>
      </w:r>
      <w:r>
        <w:rPr>
          <w:spacing w:val="-2"/>
        </w:rPr>
        <w:t xml:space="preserve"> </w:t>
      </w:r>
      <w:r>
        <w:rPr>
          <w:spacing w:val="-2"/>
        </w:rPr>
        <w:t>化。使用</w:t>
      </w:r>
      <w:r>
        <w:rPr>
          <w:rFonts w:ascii="SimSun" w:eastAsia="SimSun" w:hAnsi="SimSun" w:cs="SimSun"/>
          <w:spacing w:val="-2"/>
        </w:rPr>
        <w:t>MCX</w:t>
      </w:r>
      <w:r>
        <w:rPr>
          <w:rFonts w:ascii="SimSun" w:eastAsia="SimSun" w:hAnsi="SimSun" w:cs="SimSun"/>
          <w:spacing w:val="142"/>
        </w:rPr>
        <w:t xml:space="preserve"> </w:t>
      </w:r>
      <w:r>
        <w:rPr>
          <w:spacing w:val="-2"/>
        </w:rPr>
        <w:t>固相萃取柱净化，操作简单，回收率高，重现</w:t>
      </w:r>
      <w:r>
        <w:rPr>
          <w:spacing w:val="-2"/>
        </w:rPr>
        <w:t xml:space="preserve"> </w:t>
      </w:r>
      <w:r>
        <w:t>性好，背景噪音低。最终本研究采用</w:t>
      </w:r>
      <w:r>
        <w:rPr>
          <w:rFonts w:ascii="SimSun" w:eastAsia="SimSun" w:hAnsi="SimSun" w:cs="SimSun"/>
        </w:rPr>
        <w:t>MCX</w:t>
      </w:r>
      <w:r>
        <w:rPr>
          <w:rFonts w:ascii="SimSun" w:eastAsia="SimSun" w:hAnsi="SimSun" w:cs="SimSun"/>
          <w:spacing w:val="142"/>
        </w:rPr>
        <w:t xml:space="preserve"> </w:t>
      </w:r>
      <w:r>
        <w:t>固相萃</w:t>
      </w:r>
      <w:r>
        <w:rPr>
          <w:spacing w:val="-1"/>
        </w:rPr>
        <w:t>取柱对提取</w:t>
      </w:r>
    </w:p>
    <w:p>
      <w:pPr>
        <w:pStyle w:val="BodyText"/>
        <w:spacing w:before="1" w:line="220" w:lineRule="auto"/>
      </w:pPr>
      <w:r>
        <w:rPr>
          <w:spacing w:val="-9"/>
        </w:rPr>
        <w:t>液进行净化。</w:t>
      </w:r>
    </w:p>
    <w:p>
      <w:pPr>
        <w:spacing w:before="23" w:line="3330" w:lineRule="exact"/>
        <w:ind w:firstLine="679"/>
      </w:pPr>
      <w:r>
        <w:rPr>
          <w:position w:val="-66"/>
        </w:rPr>
        <w:drawing>
          <wp:inline distT="0" distB="0" distL="0" distR="0">
            <wp:extent cx="4216375" cy="2114539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6375" cy="211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60" w:line="222" w:lineRule="auto"/>
        <w:ind w:left="699"/>
        <w:rPr>
          <w:rFonts w:ascii="SimSun" w:eastAsia="SimSun" w:hAnsi="SimSun" w:cs="SimSun"/>
        </w:rPr>
      </w:pPr>
      <w:r>
        <w:t>图1</w:t>
      </w:r>
      <w:r>
        <w:t xml:space="preserve"> </w:t>
      </w:r>
      <w:r>
        <w:t>不同</w:t>
      </w:r>
      <w:r>
        <w:rPr>
          <w:rFonts w:ascii="SimSun" w:eastAsia="SimSun" w:hAnsi="SimSun" w:cs="SimSun"/>
        </w:rPr>
        <w:t>SPE</w:t>
      </w:r>
      <w:r>
        <w:rPr>
          <w:rFonts w:ascii="SimSun" w:eastAsia="SimSun" w:hAnsi="SimSun" w:cs="SimSun"/>
          <w:spacing w:val="-38"/>
        </w:rPr>
        <w:t xml:space="preserve"> </w:t>
      </w:r>
      <w:r>
        <w:t>柱对回收率的影响(以外标法计，</w:t>
      </w:r>
      <w:r>
        <w:t xml:space="preserve"> </w:t>
      </w:r>
      <w:r>
        <w:rPr>
          <w:rFonts w:ascii="SimSun" w:eastAsia="SimSun" w:hAnsi="SimSun" w:cs="SimSun"/>
        </w:rPr>
        <w:t>n=6)</w:t>
      </w:r>
    </w:p>
    <w:p>
      <w:pPr>
        <w:spacing w:line="325" w:lineRule="auto"/>
        <w:rPr>
          <w:rFonts w:ascii="Arial"/>
          <w:sz w:val="21"/>
        </w:rPr>
      </w:pPr>
    </w:p>
    <w:p>
      <w:pPr>
        <w:spacing w:before="98" w:line="222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8"/>
          <w:sz w:val="30"/>
          <w:szCs w:val="30"/>
        </w:rPr>
        <w:t>4.定容液的选择</w:t>
      </w:r>
    </w:p>
    <w:p>
      <w:pPr>
        <w:spacing w:line="272" w:lineRule="auto"/>
        <w:rPr>
          <w:rFonts w:ascii="Arial"/>
          <w:sz w:val="21"/>
        </w:rPr>
      </w:pPr>
    </w:p>
    <w:p>
      <w:pPr>
        <w:pStyle w:val="BodyText"/>
        <w:spacing w:before="98" w:line="357" w:lineRule="auto"/>
        <w:ind w:right="493" w:firstLine="469"/>
        <w:jc w:val="both"/>
      </w:pPr>
      <w:r>
        <w:rPr>
          <w:spacing w:val="4"/>
        </w:rPr>
        <w:t>定容液能影响目标物的峰形和响应值，从而影响定量结</w:t>
      </w:r>
      <w:r>
        <w:rPr>
          <w:spacing w:val="4"/>
        </w:rPr>
        <w:t xml:space="preserve"> </w:t>
      </w:r>
      <w:r>
        <w:rPr>
          <w:spacing w:val="4"/>
        </w:rPr>
        <w:t>果的准确性。实验发现：定容液中添加甲酸可有效提高响应</w:t>
      </w:r>
    </w:p>
    <w:p>
      <w:pPr>
        <w:pStyle w:val="BodyText"/>
        <w:spacing w:before="1" w:line="221" w:lineRule="auto"/>
      </w:pPr>
      <w:r>
        <w:rPr>
          <w:spacing w:val="2"/>
        </w:rPr>
        <w:t>值，而定容液中的有机相比例对金刚烷胺的峰形影响较大，</w:t>
      </w:r>
    </w:p>
    <w:p>
      <w:pPr>
        <w:spacing w:line="221" w:lineRule="auto"/>
        <w:sectPr>
          <w:pgSz w:w="11900" w:h="16830"/>
          <w:pgMar w:top="1430" w:right="1785" w:bottom="0" w:left="1710" w:header="0" w:footer="0" w:gutter="0"/>
          <w:pgNumType w:start="11"/>
          <w:cols w:space="708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98" w:line="352" w:lineRule="auto"/>
        <w:ind w:left="54" w:right="366"/>
      </w:pPr>
      <w:r>
        <w:rPr>
          <w:spacing w:val="16"/>
        </w:rPr>
        <w:t>通过对比</w:t>
      </w:r>
      <w:r>
        <w:rPr>
          <w:rFonts w:ascii="Times New Roman" w:eastAsia="Times New Roman" w:hAnsi="Times New Roman" w:cs="Times New Roman"/>
          <w:spacing w:val="16"/>
        </w:rPr>
        <w:t>V</w:t>
      </w:r>
      <w:r>
        <w:rPr>
          <w:spacing w:val="16"/>
        </w:rPr>
        <w:t>乙腈+</w:t>
      </w:r>
      <w:r>
        <w:rPr>
          <w:rFonts w:ascii="Times New Roman" w:eastAsia="Times New Roman" w:hAnsi="Times New Roman" w:cs="Times New Roman"/>
          <w:spacing w:val="16"/>
        </w:rPr>
        <w:t>V</w:t>
      </w:r>
      <w:r>
        <w:rPr>
          <w:spacing w:val="16"/>
        </w:rPr>
        <w:t>水=5+5,</w:t>
      </w:r>
      <w:r>
        <w:rPr>
          <w:rFonts w:ascii="Times New Roman" w:eastAsia="Times New Roman" w:hAnsi="Times New Roman" w:cs="Times New Roman"/>
          <w:spacing w:val="16"/>
        </w:rPr>
        <w:t>V</w:t>
      </w:r>
      <w:r>
        <w:rPr>
          <w:spacing w:val="16"/>
        </w:rPr>
        <w:t>乙腈+</w:t>
      </w:r>
      <w:r>
        <w:rPr>
          <w:rFonts w:ascii="Times New Roman" w:eastAsia="Times New Roman" w:hAnsi="Times New Roman" w:cs="Times New Roman"/>
          <w:spacing w:val="16"/>
        </w:rPr>
        <w:t>V</w:t>
      </w:r>
      <w:r>
        <w:rPr>
          <w:spacing w:val="16"/>
        </w:rPr>
        <w:t>水=3+7,</w:t>
      </w:r>
      <w:r>
        <w:rPr>
          <w:rFonts w:ascii="Times New Roman" w:eastAsia="Times New Roman" w:hAnsi="Times New Roman" w:cs="Times New Roman"/>
          <w:spacing w:val="16"/>
        </w:rPr>
        <w:t>V</w:t>
      </w:r>
      <w:r>
        <w:rPr>
          <w:spacing w:val="16"/>
        </w:rPr>
        <w:t>乙腈+</w:t>
      </w:r>
      <w:r>
        <w:rPr>
          <w:rFonts w:ascii="Times New Roman" w:eastAsia="Times New Roman" w:hAnsi="Times New Roman" w:cs="Times New Roman"/>
          <w:spacing w:val="16"/>
        </w:rPr>
        <w:t>V</w:t>
      </w:r>
      <w:r>
        <w:rPr>
          <w:spacing w:val="16"/>
        </w:rPr>
        <w:t>水</w:t>
      </w:r>
      <w:r>
        <w:rPr>
          <w:spacing w:val="4"/>
        </w:rPr>
        <w:t xml:space="preserve">  </w:t>
      </w:r>
      <w:r>
        <w:rPr>
          <w:spacing w:val="12"/>
        </w:rPr>
        <w:t>=7+3,发现</w:t>
      </w:r>
      <w:r>
        <w:rPr>
          <w:rFonts w:ascii="Times New Roman" w:eastAsia="Times New Roman" w:hAnsi="Times New Roman" w:cs="Times New Roman"/>
          <w:spacing w:val="12"/>
        </w:rPr>
        <w:t>V</w:t>
      </w:r>
      <w:r>
        <w:rPr>
          <w:spacing w:val="12"/>
        </w:rPr>
        <w:t>乙腈+</w:t>
      </w:r>
      <w:r>
        <w:rPr>
          <w:rFonts w:ascii="Times New Roman" w:eastAsia="Times New Roman" w:hAnsi="Times New Roman" w:cs="Times New Roman"/>
          <w:spacing w:val="12"/>
        </w:rPr>
        <w:t>V</w:t>
      </w:r>
      <w:r>
        <w:rPr>
          <w:spacing w:val="12"/>
        </w:rPr>
        <w:t>水=3+7最合适，而质谱方法一般采用</w:t>
      </w:r>
      <w:r>
        <w:rPr>
          <w:spacing w:val="4"/>
        </w:rPr>
        <w:t xml:space="preserve">  </w:t>
      </w:r>
      <w:r>
        <w:rPr>
          <w:spacing w:val="8"/>
        </w:rPr>
        <w:t>0.1%甲酸提高响应值，故采用乙腈-水</w:t>
      </w:r>
      <w:r>
        <w:rPr>
          <w:spacing w:val="7"/>
        </w:rPr>
        <w:t>(3:7,</w:t>
      </w:r>
      <w:r>
        <w:rPr>
          <w:spacing w:val="-71"/>
        </w:rPr>
        <w:t xml:space="preserve"> </w:t>
      </w:r>
      <w:r>
        <w:rPr>
          <w:rFonts w:ascii="SimSun" w:eastAsia="SimSun" w:hAnsi="SimSun" w:cs="SimSun"/>
          <w:spacing w:val="7"/>
        </w:rPr>
        <w:t>V/V)</w:t>
      </w:r>
      <w:r>
        <w:rPr>
          <w:rFonts w:ascii="SimSun" w:eastAsia="SimSun" w:hAnsi="SimSun" w:cs="SimSun"/>
          <w:spacing w:val="85"/>
        </w:rPr>
        <w:t xml:space="preserve"> </w:t>
      </w:r>
      <w:r>
        <w:rPr>
          <w:spacing w:val="7"/>
        </w:rPr>
        <w:t>溶液(含</w:t>
      </w:r>
    </w:p>
    <w:p>
      <w:pPr>
        <w:pStyle w:val="BodyText"/>
        <w:spacing w:line="220" w:lineRule="auto"/>
        <w:ind w:left="54"/>
      </w:pPr>
      <w:r>
        <w:rPr>
          <w:spacing w:val="11"/>
        </w:rPr>
        <w:t>0.1%甲酸)作为定容液。</w:t>
      </w:r>
    </w:p>
    <w:p>
      <w:pPr>
        <w:spacing w:before="85" w:line="5590" w:lineRule="exact"/>
        <w:ind w:firstLine="1314"/>
      </w:pPr>
      <w:r>
        <w:rPr>
          <w:position w:val="-111"/>
        </w:rPr>
        <w:drawing>
          <wp:inline distT="0" distB="0" distL="0" distR="0">
            <wp:extent cx="3194056" cy="3549596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4056" cy="354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98" w:line="218" w:lineRule="auto"/>
        <w:ind w:left="1099"/>
        <w:rPr>
          <w:rFonts w:ascii="SimSun" w:eastAsia="SimSun" w:hAnsi="SimSun" w:cs="SimSun"/>
        </w:rPr>
      </w:pPr>
      <w:r>
        <w:rPr>
          <w:b/>
          <w:bCs/>
          <w:spacing w:val="3"/>
        </w:rPr>
        <w:t>图2</w:t>
      </w:r>
      <w:r>
        <w:rPr>
          <w:spacing w:val="3"/>
        </w:rPr>
        <w:t xml:space="preserve"> </w:t>
      </w:r>
      <w:r>
        <w:rPr>
          <w:b/>
          <w:bCs/>
          <w:spacing w:val="3"/>
        </w:rPr>
        <w:t>未添加0.1%甲酸的定溶液谱图(10μ</w:t>
      </w:r>
      <w:r>
        <w:rPr>
          <w:rFonts w:ascii="SimSun" w:eastAsia="SimSun" w:hAnsi="SimSun" w:cs="SimSun"/>
          <w:b/>
          <w:bCs/>
          <w:spacing w:val="3"/>
        </w:rPr>
        <w:t>g/L)</w:t>
      </w:r>
    </w:p>
    <w:p>
      <w:pPr>
        <w:spacing w:line="218" w:lineRule="auto"/>
        <w:rPr>
          <w:rFonts w:ascii="SimSun" w:eastAsia="SimSun" w:hAnsi="SimSun" w:cs="SimSun"/>
        </w:rPr>
        <w:sectPr>
          <w:pgSz w:w="11900" w:h="16830"/>
          <w:pgMar w:top="1430" w:right="1785" w:bottom="0" w:left="1785" w:header="0" w:footer="0" w:gutter="0"/>
          <w:pgNumType w:start="12"/>
          <w:cols w:space="708"/>
        </w:sectPr>
      </w:pPr>
    </w:p>
    <w:p>
      <w:pPr>
        <w:spacing w:before="179" w:line="5540" w:lineRule="exact"/>
        <w:ind w:firstLine="1319"/>
      </w:pPr>
      <w:r>
        <w:rPr>
          <w:position w:val="-110"/>
        </w:rPr>
        <w:drawing>
          <wp:inline distT="0" distB="0" distL="0" distR="0">
            <wp:extent cx="3244836" cy="3517963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4836" cy="351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37" w:line="212" w:lineRule="auto"/>
        <w:ind w:left="1349"/>
        <w:rPr>
          <w:rFonts w:ascii="Times New Roman" w:eastAsia="Times New Roman" w:hAnsi="Times New Roman" w:cs="Times New Roman"/>
        </w:rPr>
      </w:pPr>
      <w:r>
        <w:rPr>
          <w:spacing w:val="7"/>
        </w:rPr>
        <w:t>图3</w:t>
      </w:r>
      <w:r>
        <w:rPr>
          <w:spacing w:val="7"/>
        </w:rPr>
        <w:t xml:space="preserve"> </w:t>
      </w:r>
      <w:r>
        <w:rPr>
          <w:spacing w:val="7"/>
        </w:rPr>
        <w:t>添加0.1%甲酸的定溶液谱图(10μ</w:t>
      </w:r>
      <w:r>
        <w:rPr>
          <w:rFonts w:ascii="Times New Roman" w:eastAsia="Times New Roman" w:hAnsi="Times New Roman" w:cs="Times New Roman"/>
          <w:spacing w:val="7"/>
        </w:rPr>
        <w:t>g/L)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97" w:line="221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8"/>
          <w:sz w:val="30"/>
          <w:szCs w:val="30"/>
        </w:rPr>
        <w:t>5.液相色谱条件的确定</w:t>
      </w: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98" w:line="356" w:lineRule="auto"/>
        <w:ind w:right="335" w:firstLine="719"/>
        <w:jc w:val="both"/>
      </w:pPr>
      <w:r>
        <w:rPr>
          <w:spacing w:val="1"/>
        </w:rPr>
        <w:t>金刚烷胺结构中的氨基，易形成</w:t>
      </w:r>
      <w:r>
        <w:rPr>
          <w:rFonts w:ascii="Times New Roman" w:eastAsia="Times New Roman" w:hAnsi="Times New Roman" w:cs="Times New Roman"/>
          <w:spacing w:val="1"/>
        </w:rPr>
        <w:t>[M+H]+</w:t>
      </w:r>
      <w:r>
        <w:rPr>
          <w:spacing w:val="1"/>
        </w:rPr>
        <w:t>的准分子离子，</w:t>
      </w:r>
      <w:r>
        <w:rPr>
          <w:spacing w:val="10"/>
        </w:rPr>
        <w:t xml:space="preserve"> </w:t>
      </w:r>
      <w:r>
        <w:rPr>
          <w:spacing w:val="5"/>
        </w:rPr>
        <w:t>适合在正离子模式下扫描，系统自动优化后确定金刚烷</w:t>
      </w:r>
      <w:r>
        <w:rPr>
          <w:spacing w:val="4"/>
        </w:rPr>
        <w:t>胺的</w:t>
      </w:r>
      <w:r>
        <w:t xml:space="preserve">  </w:t>
      </w:r>
      <w:r>
        <w:rPr>
          <w:spacing w:val="4"/>
        </w:rPr>
        <w:t>离子对、碰撞能量以及雾化气压力、干燥器温度等质谱分析</w:t>
      </w:r>
      <w:r>
        <w:rPr>
          <w:spacing w:val="7"/>
        </w:rPr>
        <w:t xml:space="preserve">  </w:t>
      </w:r>
      <w:r>
        <w:rPr>
          <w:spacing w:val="4"/>
        </w:rPr>
        <w:t>参数。根据文献，流动相中的有机相选择甲醇和乙腈，乙腈</w:t>
      </w:r>
      <w:r>
        <w:rPr>
          <w:spacing w:val="6"/>
        </w:rPr>
        <w:t xml:space="preserve">  </w:t>
      </w:r>
      <w:r>
        <w:rPr>
          <w:spacing w:val="5"/>
        </w:rPr>
        <w:t>可以明显降低背景噪音，有效分离目标物。</w:t>
      </w:r>
      <w:r>
        <w:rPr>
          <w:spacing w:val="4"/>
        </w:rPr>
        <w:t>水相选择了超纯</w:t>
      </w:r>
      <w:r>
        <w:t xml:space="preserve">  </w:t>
      </w:r>
      <w:r>
        <w:rPr>
          <w:spacing w:val="10"/>
        </w:rPr>
        <w:t>水和0.1%甲酸水溶液，结果如图所示，图2-4可见流动相为</w:t>
      </w:r>
      <w:r>
        <w:rPr>
          <w:spacing w:val="1"/>
        </w:rPr>
        <w:t xml:space="preserve">  </w:t>
      </w:r>
      <w:r>
        <w:rPr>
          <w:spacing w:val="10"/>
        </w:rPr>
        <w:t>超纯水时，干扰较大，响应值差；图2-5可见流动相为0</w:t>
      </w:r>
      <w:r>
        <w:rPr>
          <w:spacing w:val="9"/>
        </w:rPr>
        <w:t>.1%</w:t>
      </w:r>
      <w:r>
        <w:t xml:space="preserve">  </w:t>
      </w:r>
      <w:r>
        <w:rPr>
          <w:spacing w:val="3"/>
        </w:rPr>
        <w:t>甲酸水溶液时峰形较好响应良好。故流动相选用0.1%甲酸水</w:t>
      </w:r>
      <w:r>
        <w:rPr>
          <w:spacing w:val="2"/>
        </w:rPr>
        <w:t xml:space="preserve">  </w:t>
      </w:r>
      <w:r>
        <w:rPr>
          <w:spacing w:val="5"/>
        </w:rPr>
        <w:t>溶液。在质谱分析中，从保护质谱配件的角度出发，甲酸一</w:t>
      </w:r>
    </w:p>
    <w:p>
      <w:pPr>
        <w:pStyle w:val="BodyText"/>
        <w:spacing w:line="220" w:lineRule="auto"/>
      </w:pPr>
      <w:r>
        <w:rPr>
          <w:spacing w:val="19"/>
        </w:rPr>
        <w:t>般不超过0.20%,所以本研究选择加入0.10%甲酸。本论文</w:t>
      </w:r>
    </w:p>
    <w:p>
      <w:pPr>
        <w:spacing w:line="220" w:lineRule="auto"/>
        <w:sectPr>
          <w:pgSz w:w="11900" w:h="16830"/>
          <w:pgMar w:top="1430" w:right="1785" w:bottom="0" w:left="1700" w:header="0" w:footer="0" w:gutter="0"/>
          <w:pgNumType w:start="13"/>
          <w:cols w:space="708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95" w:line="577" w:lineRule="exact"/>
        <w:ind w:left="54"/>
        <w:rPr>
          <w:sz w:val="29"/>
          <w:szCs w:val="29"/>
        </w:rPr>
      </w:pPr>
      <w:r>
        <w:rPr>
          <w:spacing w:val="11"/>
          <w:position w:val="21"/>
          <w:sz w:val="29"/>
          <w:szCs w:val="29"/>
        </w:rPr>
        <w:t>采用了梯度洗脱，使金刚烷胺与杂质可以实现较好的分离，</w:t>
      </w:r>
    </w:p>
    <w:p>
      <w:pPr>
        <w:pStyle w:val="BodyText"/>
        <w:spacing w:line="220" w:lineRule="auto"/>
        <w:ind w:left="54"/>
        <w:rPr>
          <w:sz w:val="29"/>
          <w:szCs w:val="29"/>
        </w:rPr>
      </w:pPr>
      <w:r>
        <w:rPr>
          <w:spacing w:val="9"/>
          <w:sz w:val="29"/>
          <w:szCs w:val="29"/>
        </w:rPr>
        <w:t>提高检测灵敏度，减少基质影响。</w:t>
      </w:r>
    </w:p>
    <w:p>
      <w:pPr>
        <w:pStyle w:val="BodyText"/>
        <w:spacing w:before="237" w:line="369" w:lineRule="auto"/>
        <w:ind w:left="54" w:right="359" w:firstLine="679"/>
        <w:jc w:val="both"/>
        <w:rPr>
          <w:sz w:val="29"/>
          <w:szCs w:val="29"/>
        </w:rPr>
      </w:pPr>
      <w:r>
        <w:rPr>
          <w:spacing w:val="10"/>
          <w:sz w:val="29"/>
          <w:szCs w:val="29"/>
        </w:rPr>
        <w:t>有机相对比了甲醇和乙腈，水相对比了超纯水、0.1%甲</w:t>
      </w:r>
      <w:r>
        <w:rPr>
          <w:spacing w:val="14"/>
          <w:sz w:val="29"/>
          <w:szCs w:val="29"/>
        </w:rPr>
        <w:t xml:space="preserve"> </w:t>
      </w:r>
      <w:r>
        <w:rPr>
          <w:spacing w:val="17"/>
          <w:sz w:val="29"/>
          <w:szCs w:val="29"/>
        </w:rPr>
        <w:t>酸溶液、5</w:t>
      </w:r>
      <w:r>
        <w:rPr>
          <w:rFonts w:ascii="Times New Roman" w:eastAsia="Times New Roman" w:hAnsi="Times New Roman" w:cs="Times New Roman"/>
          <w:sz w:val="29"/>
          <w:szCs w:val="29"/>
        </w:rPr>
        <w:t>mmol</w:t>
      </w:r>
      <w:r>
        <w:rPr>
          <w:rFonts w:ascii="Times New Roman" w:eastAsia="Times New Roman" w:hAnsi="Times New Roman" w:cs="Times New Roman"/>
          <w:spacing w:val="17"/>
          <w:sz w:val="29"/>
          <w:szCs w:val="29"/>
        </w:rPr>
        <w:t>/L</w:t>
      </w:r>
      <w:r>
        <w:rPr>
          <w:rFonts w:ascii="Times New Roman" w:eastAsia="Times New Roman" w:hAnsi="Times New Roman" w:cs="Times New Roman"/>
          <w:spacing w:val="27"/>
          <w:sz w:val="29"/>
          <w:szCs w:val="29"/>
        </w:rPr>
        <w:t xml:space="preserve">  </w:t>
      </w:r>
      <w:r>
        <w:rPr>
          <w:spacing w:val="17"/>
          <w:sz w:val="29"/>
          <w:szCs w:val="29"/>
        </w:rPr>
        <w:t>乙酸铵和含有0.1%甲酸的5</w:t>
      </w:r>
      <w:r>
        <w:rPr>
          <w:rFonts w:ascii="Times New Roman" w:eastAsia="Times New Roman" w:hAnsi="Times New Roman" w:cs="Times New Roman"/>
          <w:sz w:val="29"/>
          <w:szCs w:val="29"/>
        </w:rPr>
        <w:t>mmol</w:t>
      </w:r>
      <w:r>
        <w:rPr>
          <w:rFonts w:ascii="Times New Roman" w:eastAsia="Times New Roman" w:hAnsi="Times New Roman" w:cs="Times New Roman"/>
          <w:spacing w:val="17"/>
          <w:sz w:val="29"/>
          <w:szCs w:val="29"/>
        </w:rPr>
        <w:t>/L</w:t>
      </w:r>
      <w:r>
        <w:rPr>
          <w:rFonts w:ascii="Times New Roman" w:eastAsia="Times New Roman" w:hAnsi="Times New Roman" w:cs="Times New Roman"/>
          <w:spacing w:val="16"/>
          <w:sz w:val="29"/>
          <w:szCs w:val="29"/>
        </w:rPr>
        <w:t xml:space="preserve">  </w:t>
      </w:r>
      <w:r>
        <w:rPr>
          <w:spacing w:val="16"/>
          <w:sz w:val="29"/>
          <w:szCs w:val="29"/>
        </w:rPr>
        <w:t>乙酸</w:t>
      </w:r>
      <w:r>
        <w:rPr>
          <w:sz w:val="29"/>
          <w:szCs w:val="29"/>
        </w:rPr>
        <w:t xml:space="preserve"> </w:t>
      </w:r>
      <w:r>
        <w:rPr>
          <w:spacing w:val="13"/>
          <w:sz w:val="29"/>
          <w:szCs w:val="29"/>
        </w:rPr>
        <w:t>铵溶液，发现流动相的酸度对金刚烷胺响应和峰形有较大影</w:t>
      </w:r>
      <w:r>
        <w:rPr>
          <w:spacing w:val="12"/>
          <w:sz w:val="29"/>
          <w:szCs w:val="29"/>
        </w:rPr>
        <w:t xml:space="preserve"> </w:t>
      </w:r>
      <w:r>
        <w:rPr>
          <w:spacing w:val="12"/>
          <w:sz w:val="29"/>
          <w:szCs w:val="29"/>
        </w:rPr>
        <w:t>响，本研究通过对比，最终确定采用乙腈和0.1%甲酸溶液作</w:t>
      </w:r>
    </w:p>
    <w:p>
      <w:pPr>
        <w:pStyle w:val="BodyText"/>
        <w:spacing w:before="1" w:line="221" w:lineRule="auto"/>
        <w:ind w:left="54"/>
        <w:rPr>
          <w:sz w:val="29"/>
          <w:szCs w:val="29"/>
        </w:rPr>
      </w:pPr>
      <w:r>
        <w:rPr>
          <w:spacing w:val="-1"/>
          <w:sz w:val="29"/>
          <w:szCs w:val="29"/>
        </w:rPr>
        <w:t>为流动相。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5550" w:lineRule="exact"/>
        <w:ind w:firstLine="1445"/>
      </w:pPr>
      <w:r>
        <w:rPr>
          <w:position w:val="-111"/>
        </w:rPr>
        <w:drawing>
          <wp:inline distT="0" distB="0" distL="0" distR="0">
            <wp:extent cx="3181361" cy="3524268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361" cy="352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68" w:line="218" w:lineRule="auto"/>
        <w:ind w:left="469"/>
        <w:rPr>
          <w:rFonts w:ascii="SimSun" w:eastAsia="SimSun" w:hAnsi="SimSun" w:cs="SimSun"/>
          <w:sz w:val="29"/>
          <w:szCs w:val="29"/>
        </w:rPr>
      </w:pPr>
      <w:r>
        <w:rPr>
          <w:b/>
          <w:bCs/>
          <w:spacing w:val="7"/>
          <w:sz w:val="29"/>
          <w:szCs w:val="29"/>
        </w:rPr>
        <w:t>图4</w:t>
      </w:r>
      <w:r>
        <w:rPr>
          <w:spacing w:val="7"/>
          <w:sz w:val="29"/>
          <w:szCs w:val="29"/>
        </w:rPr>
        <w:t xml:space="preserve"> </w:t>
      </w:r>
      <w:r>
        <w:rPr>
          <w:b/>
          <w:bCs/>
          <w:spacing w:val="7"/>
          <w:sz w:val="29"/>
          <w:szCs w:val="29"/>
        </w:rPr>
        <w:t>流动相为甲醇和0.1%甲酸水的总离子流图(10μ</w:t>
      </w:r>
      <w:r>
        <w:rPr>
          <w:rFonts w:ascii="SimSun" w:eastAsia="SimSun" w:hAnsi="SimSun" w:cs="SimSun"/>
          <w:b/>
          <w:bCs/>
          <w:spacing w:val="7"/>
          <w:sz w:val="29"/>
          <w:szCs w:val="29"/>
        </w:rPr>
        <w:t>g/L)</w:t>
      </w:r>
    </w:p>
    <w:p>
      <w:pPr>
        <w:spacing w:line="218" w:lineRule="auto"/>
        <w:rPr>
          <w:rFonts w:ascii="SimSun" w:eastAsia="SimSun" w:hAnsi="SimSun" w:cs="SimSun"/>
          <w:sz w:val="29"/>
          <w:szCs w:val="29"/>
        </w:rPr>
        <w:sectPr>
          <w:pgSz w:w="11900" w:h="16830"/>
          <w:pgMar w:top="1430" w:right="1785" w:bottom="0" w:left="1785" w:header="0" w:footer="0" w:gutter="0"/>
          <w:pgNumType w:start="14"/>
          <w:cols w:space="708"/>
        </w:sectPr>
      </w:pPr>
    </w:p>
    <w:p>
      <w:pPr>
        <w:spacing w:before="89" w:line="5630" w:lineRule="exact"/>
        <w:ind w:firstLine="1485"/>
      </w:pPr>
      <w:r>
        <w:rPr>
          <w:position w:val="-112"/>
        </w:rPr>
        <w:drawing>
          <wp:inline distT="0" distB="0" distL="0" distR="0">
            <wp:extent cx="3200404" cy="3575138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4" cy="357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98" w:line="218" w:lineRule="auto"/>
        <w:ind w:left="859"/>
        <w:rPr>
          <w:rFonts w:ascii="SimSun" w:eastAsia="SimSun" w:hAnsi="SimSun" w:cs="SimSun"/>
          <w:sz w:val="29"/>
          <w:szCs w:val="29"/>
        </w:rPr>
      </w:pPr>
      <w:r>
        <w:rPr>
          <w:b/>
          <w:bCs/>
          <w:spacing w:val="15"/>
          <w:sz w:val="29"/>
          <w:szCs w:val="29"/>
        </w:rPr>
        <w:t>图5流动相为乙腈和0.1%甲酸水的谱图(10μ</w:t>
      </w:r>
      <w:r>
        <w:rPr>
          <w:rFonts w:ascii="SimSun" w:eastAsia="SimSun" w:hAnsi="SimSun" w:cs="SimSun"/>
          <w:b/>
          <w:bCs/>
          <w:spacing w:val="15"/>
          <w:sz w:val="29"/>
          <w:szCs w:val="29"/>
        </w:rPr>
        <w:t>g/L)</w:t>
      </w:r>
    </w:p>
    <w:p>
      <w:pPr>
        <w:spacing w:before="169" w:line="5520" w:lineRule="exact"/>
        <w:ind w:firstLine="1435"/>
      </w:pPr>
      <w:r>
        <w:rPr>
          <w:position w:val="-110"/>
        </w:rPr>
        <w:drawing>
          <wp:inline distT="0" distB="0" distL="0" distR="0">
            <wp:extent cx="3181362" cy="3505244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81362" cy="350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62" w:line="218" w:lineRule="auto"/>
        <w:ind w:left="1415"/>
        <w:rPr>
          <w:rFonts w:ascii="SimSun" w:eastAsia="SimSun" w:hAnsi="SimSun" w:cs="SimSun"/>
          <w:sz w:val="29"/>
          <w:szCs w:val="29"/>
        </w:rPr>
      </w:pPr>
      <w:r>
        <w:rPr>
          <w:spacing w:val="12"/>
          <w:sz w:val="29"/>
          <w:szCs w:val="29"/>
        </w:rPr>
        <w:t>图6</w:t>
      </w:r>
      <w:r>
        <w:rPr>
          <w:spacing w:val="12"/>
          <w:sz w:val="29"/>
          <w:szCs w:val="29"/>
        </w:rPr>
        <w:t xml:space="preserve"> </w:t>
      </w:r>
      <w:r>
        <w:rPr>
          <w:spacing w:val="12"/>
          <w:sz w:val="29"/>
          <w:szCs w:val="29"/>
        </w:rPr>
        <w:t>流动相为乙腈和水的谱图(10μ</w:t>
      </w:r>
      <w:r>
        <w:rPr>
          <w:rFonts w:ascii="SimSun" w:eastAsia="SimSun" w:hAnsi="SimSun" w:cs="SimSun"/>
          <w:spacing w:val="12"/>
          <w:sz w:val="29"/>
          <w:szCs w:val="29"/>
        </w:rPr>
        <w:t>g/L)</w:t>
      </w:r>
    </w:p>
    <w:p>
      <w:pPr>
        <w:spacing w:line="218" w:lineRule="auto"/>
        <w:rPr>
          <w:rFonts w:ascii="SimSun" w:eastAsia="SimSun" w:hAnsi="SimSun" w:cs="SimSun"/>
          <w:sz w:val="29"/>
          <w:szCs w:val="29"/>
        </w:rPr>
        <w:sectPr>
          <w:pgSz w:w="11900" w:h="16830"/>
          <w:pgMar w:top="1430" w:right="1785" w:bottom="0" w:left="1785" w:header="0" w:footer="0" w:gutter="0"/>
          <w:pgNumType w:start="15"/>
          <w:cols w:space="708"/>
        </w:sectPr>
      </w:pPr>
    </w:p>
    <w:p>
      <w:pPr>
        <w:spacing w:before="199" w:line="5510" w:lineRule="exact"/>
        <w:ind w:firstLine="1579"/>
      </w:pPr>
      <w:r>
        <w:rPr>
          <w:position w:val="-110"/>
        </w:rPr>
        <w:drawing>
          <wp:inline distT="0" distB="0" distL="0" distR="0">
            <wp:extent cx="3213099" cy="3498833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3099" cy="349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58" w:line="644" w:lineRule="exact"/>
        <w:ind w:left="649"/>
      </w:pPr>
      <w:r>
        <w:rPr>
          <w:spacing w:val="7"/>
          <w:position w:val="26"/>
        </w:rPr>
        <w:t>图7流动相为乙腈和含0.1%甲酸5</w:t>
      </w:r>
      <w:r>
        <w:rPr>
          <w:rFonts w:ascii="SimSun" w:eastAsia="SimSun" w:hAnsi="SimSun" w:cs="SimSun"/>
          <w:position w:val="26"/>
        </w:rPr>
        <w:t>mmol</w:t>
      </w:r>
      <w:r>
        <w:rPr>
          <w:rFonts w:ascii="SimSun" w:eastAsia="SimSun" w:hAnsi="SimSun" w:cs="SimSun"/>
          <w:spacing w:val="7"/>
          <w:position w:val="26"/>
        </w:rPr>
        <w:t xml:space="preserve">/L </w:t>
      </w:r>
      <w:r>
        <w:rPr>
          <w:spacing w:val="7"/>
          <w:position w:val="26"/>
        </w:rPr>
        <w:t>乙酸铵水的谱</w:t>
      </w:r>
    </w:p>
    <w:p>
      <w:pPr>
        <w:pStyle w:val="BodyText"/>
        <w:spacing w:before="1" w:line="217" w:lineRule="auto"/>
        <w:ind w:left="3099"/>
        <w:rPr>
          <w:rFonts w:ascii="SimSun" w:eastAsia="SimSun" w:hAnsi="SimSun" w:cs="SimSun"/>
        </w:rPr>
      </w:pPr>
      <w:r>
        <w:rPr>
          <w:spacing w:val="5"/>
        </w:rPr>
        <w:t>图(10μ</w:t>
      </w:r>
      <w:r>
        <w:rPr>
          <w:rFonts w:ascii="SimSun" w:eastAsia="SimSun" w:hAnsi="SimSun" w:cs="SimSun"/>
          <w:spacing w:val="5"/>
        </w:rPr>
        <w:t>g/L)</w:t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97" w:line="221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8"/>
          <w:sz w:val="30"/>
          <w:szCs w:val="30"/>
        </w:rPr>
        <w:t>6.基质效应的影响</w:t>
      </w:r>
    </w:p>
    <w:p>
      <w:pPr>
        <w:spacing w:line="330" w:lineRule="auto"/>
        <w:rPr>
          <w:rFonts w:ascii="Arial"/>
          <w:sz w:val="21"/>
        </w:rPr>
      </w:pPr>
    </w:p>
    <w:p>
      <w:pPr>
        <w:pStyle w:val="BodyText"/>
        <w:spacing w:before="98" w:line="358" w:lineRule="auto"/>
        <w:ind w:right="426" w:firstLine="719"/>
        <w:jc w:val="both"/>
      </w:pPr>
      <w:r>
        <w:rPr>
          <w:spacing w:val="1"/>
        </w:rPr>
        <w:t>由于海洋生物基质比较复杂，因此，在生物样品的提取</w:t>
      </w:r>
      <w:r>
        <w:rPr>
          <w:spacing w:val="3"/>
        </w:rPr>
        <w:t xml:space="preserve"> </w:t>
      </w:r>
      <w:r>
        <w:rPr>
          <w:spacing w:val="5"/>
        </w:rPr>
        <w:t>中有必要对处理后的基质效应进行评价。比较净化后的空白</w:t>
      </w:r>
      <w:r>
        <w:rPr>
          <w:spacing w:val="12"/>
        </w:rPr>
        <w:t xml:space="preserve"> </w:t>
      </w:r>
      <w:r>
        <w:rPr>
          <w:spacing w:val="16"/>
        </w:rPr>
        <w:t>样品的提取净化液与标准溶液在相同金刚烷胺浓度下的响</w:t>
      </w:r>
    </w:p>
    <w:p>
      <w:pPr>
        <w:pStyle w:val="BodyText"/>
        <w:spacing w:before="1" w:line="222" w:lineRule="auto"/>
      </w:pPr>
      <w:r>
        <w:rPr>
          <w:spacing w:val="-2"/>
        </w:rPr>
        <w:t>应，评价基质中效应。</w:t>
      </w:r>
    </w:p>
    <w:p>
      <w:pPr>
        <w:pStyle w:val="BodyText"/>
        <w:spacing w:before="206" w:line="355" w:lineRule="auto"/>
        <w:ind w:right="439" w:firstLine="649"/>
        <w:jc w:val="both"/>
      </w:pPr>
      <w:r>
        <w:rPr>
          <w:spacing w:val="3"/>
        </w:rPr>
        <w:t>本研究通过对比空白大黄鱼、大菱鲜、刺参、海带、南</w:t>
      </w:r>
      <w:r>
        <w:rPr>
          <w:spacing w:val="12"/>
        </w:rPr>
        <w:t xml:space="preserve"> </w:t>
      </w:r>
      <w:r>
        <w:rPr>
          <w:spacing w:val="7"/>
        </w:rPr>
        <w:t>美白对虾经前处理后分别用1</w:t>
      </w:r>
      <w:r>
        <w:rPr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mL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spacing w:val="7"/>
        </w:rPr>
        <w:t>标准溶液溶解测定其响应</w:t>
      </w:r>
      <w:r>
        <w:rPr>
          <w:spacing w:val="16"/>
        </w:rPr>
        <w:t xml:space="preserve"> </w:t>
      </w:r>
      <w:r>
        <w:rPr>
          <w:spacing w:val="1"/>
        </w:rPr>
        <w:t>值</w:t>
      </w:r>
      <w:r>
        <w:rPr>
          <w:spacing w:val="-41"/>
        </w:rPr>
        <w:t xml:space="preserve"> </w:t>
      </w:r>
      <w:r>
        <w:rPr>
          <w:rFonts w:ascii="SimSun" w:eastAsia="SimSun" w:hAnsi="SimSun" w:cs="SimSun"/>
          <w:spacing w:val="1"/>
        </w:rPr>
        <w:t xml:space="preserve">(B,n=6)   </w:t>
      </w:r>
      <w:r>
        <w:rPr>
          <w:spacing w:val="1"/>
        </w:rPr>
        <w:t>与</w:t>
      </w:r>
      <w:r>
        <w:rPr>
          <w:spacing w:val="1"/>
        </w:rPr>
        <w:t xml:space="preserve"> </w:t>
      </w:r>
      <w:r>
        <w:rPr>
          <w:spacing w:val="1"/>
        </w:rPr>
        <w:t>1</w:t>
      </w:r>
      <w:r>
        <w:rPr>
          <w:rFonts w:ascii="SimSun" w:eastAsia="SimSun" w:hAnsi="SimSun" w:cs="SimSun"/>
        </w:rPr>
        <w:t>mL</w:t>
      </w:r>
      <w:r>
        <w:rPr>
          <w:rFonts w:ascii="SimSun" w:eastAsia="SimSun" w:hAnsi="SimSun" w:cs="SimSun"/>
          <w:spacing w:val="53"/>
        </w:rPr>
        <w:t xml:space="preserve"> </w:t>
      </w:r>
      <w:r>
        <w:rPr>
          <w:spacing w:val="1"/>
        </w:rPr>
        <w:t>标准溶液直接上机测定</w:t>
      </w:r>
      <w:r>
        <w:rPr>
          <w:rFonts w:ascii="SimSun" w:eastAsia="SimSun" w:hAnsi="SimSun" w:cs="SimSun"/>
        </w:rPr>
        <w:t>(A,n=6)</w:t>
      </w:r>
      <w:r>
        <w:rPr>
          <w:rFonts w:ascii="SimSun" w:eastAsia="SimSun" w:hAnsi="SimSun" w:cs="SimSun"/>
          <w:spacing w:val="18"/>
        </w:rPr>
        <w:t xml:space="preserve">   </w:t>
      </w:r>
      <w:r>
        <w:t>的</w:t>
      </w:r>
      <w:r>
        <w:rPr>
          <w:spacing w:val="1"/>
        </w:rPr>
        <w:t xml:space="preserve"> </w:t>
      </w:r>
      <w:r>
        <w:rPr>
          <w:spacing w:val="3"/>
        </w:rPr>
        <w:t>比值来计算绝对基质效应，如图11所示负值为离子增益，金</w:t>
      </w:r>
    </w:p>
    <w:p>
      <w:pPr>
        <w:pStyle w:val="BodyText"/>
        <w:spacing w:before="1" w:line="219" w:lineRule="auto"/>
      </w:pPr>
      <w:r>
        <w:rPr>
          <w:spacing w:val="4"/>
        </w:rPr>
        <w:t>刚烷胺在海洋生物体中存在基质效应。由于基质效应的产生</w:t>
      </w:r>
    </w:p>
    <w:p>
      <w:pPr>
        <w:spacing w:line="219" w:lineRule="auto"/>
        <w:sectPr>
          <w:pgSz w:w="11900" w:h="16830"/>
          <w:pgMar w:top="1430" w:right="1785" w:bottom="0" w:left="1740" w:header="0" w:footer="0" w:gutter="0"/>
          <w:pgNumType w:start="16"/>
          <w:cols w:space="708"/>
        </w:sectPr>
      </w:pPr>
    </w:p>
    <w:p>
      <w:pPr>
        <w:pStyle w:val="BodyText"/>
        <w:spacing w:before="332" w:line="571" w:lineRule="exact"/>
        <w:ind w:left="4"/>
      </w:pPr>
      <w:r>
        <w:rPr>
          <w:b/>
          <w:bCs/>
          <w:position w:val="20"/>
        </w:rPr>
        <w:t>原因复杂，因而难以根本清除基质效应的影响。目前用以清</w:t>
      </w:r>
    </w:p>
    <w:p>
      <w:pPr>
        <w:pStyle w:val="BodyText"/>
        <w:spacing w:line="221" w:lineRule="auto"/>
        <w:ind w:left="4"/>
      </w:pPr>
      <w:r>
        <w:rPr>
          <w:b/>
          <w:bCs/>
        </w:rPr>
        <w:t>除或补偿基质效应的方法有基质净化法、同位素内标法、空</w:t>
      </w:r>
    </w:p>
    <w:p>
      <w:pPr>
        <w:pStyle w:val="BodyText"/>
        <w:spacing w:before="209" w:line="569" w:lineRule="exact"/>
        <w:ind w:left="174"/>
      </w:pPr>
      <w:r>
        <w:rPr>
          <w:b/>
          <w:bCs/>
          <w:spacing w:val="11"/>
          <w:position w:val="19"/>
        </w:rPr>
        <w:t>白基质匹配标准溶液等。为了能较好地减小基质效应的影</w:t>
      </w:r>
    </w:p>
    <w:p>
      <w:pPr>
        <w:pStyle w:val="BodyText"/>
        <w:spacing w:before="1" w:line="220" w:lineRule="auto"/>
        <w:ind w:left="4"/>
      </w:pPr>
      <w:r>
        <w:rPr>
          <w:b/>
          <w:bCs/>
          <w:spacing w:val="-4"/>
        </w:rPr>
        <w:t>响，本文件采用内标法进行定量分析。</w:t>
      </w:r>
    </w:p>
    <w:p>
      <w:pPr>
        <w:spacing w:before="28" w:line="3910" w:lineRule="exact"/>
        <w:ind w:firstLine="1269"/>
      </w:pPr>
      <w:r>
        <w:rPr>
          <w:position w:val="-78"/>
        </w:rPr>
        <w:drawing>
          <wp:inline distT="0" distB="0" distL="0" distR="0">
            <wp:extent cx="3822681" cy="2482922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2681" cy="248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53" w:line="763" w:lineRule="exact"/>
        <w:ind w:left="1564"/>
      </w:pPr>
      <w:r>
        <w:rPr>
          <w:b/>
          <w:bCs/>
          <w:spacing w:val="-2"/>
          <w:position w:val="35"/>
        </w:rPr>
        <w:t>图8</w:t>
      </w:r>
      <w:r>
        <w:rPr>
          <w:spacing w:val="-2"/>
          <w:position w:val="35"/>
        </w:rPr>
        <w:t xml:space="preserve"> </w:t>
      </w:r>
      <w:r>
        <w:rPr>
          <w:b/>
          <w:bCs/>
          <w:spacing w:val="-2"/>
          <w:position w:val="35"/>
        </w:rPr>
        <w:t>海洋生物体中金刚烷胺基质效应情况</w:t>
      </w:r>
    </w:p>
    <w:p>
      <w:pPr>
        <w:spacing w:before="1" w:line="220" w:lineRule="auto"/>
        <w:ind w:left="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5"/>
          <w:sz w:val="30"/>
          <w:szCs w:val="30"/>
        </w:rPr>
        <w:t>7.</w:t>
      </w:r>
      <w:r>
        <w:rPr>
          <w:rFonts w:ascii="SimHei" w:eastAsia="SimHei" w:hAnsi="SimHei" w:cs="SimHei"/>
          <w:spacing w:val="-87"/>
          <w:sz w:val="30"/>
          <w:szCs w:val="30"/>
        </w:rPr>
        <w:t xml:space="preserve"> </w:t>
      </w:r>
      <w:r>
        <w:rPr>
          <w:rFonts w:ascii="SimHei" w:eastAsia="SimHei" w:hAnsi="SimHei" w:cs="SimHei"/>
          <w:b/>
          <w:bCs/>
          <w:spacing w:val="5"/>
          <w:sz w:val="30"/>
          <w:szCs w:val="30"/>
        </w:rPr>
        <w:t>质谱条件的确定</w:t>
      </w:r>
    </w:p>
    <w:p>
      <w:pPr>
        <w:spacing w:line="318" w:lineRule="auto"/>
        <w:rPr>
          <w:rFonts w:ascii="Arial"/>
          <w:sz w:val="21"/>
        </w:rPr>
      </w:pPr>
    </w:p>
    <w:p>
      <w:pPr>
        <w:pStyle w:val="BodyText"/>
        <w:spacing w:before="98" w:line="351" w:lineRule="auto"/>
        <w:ind w:right="428" w:firstLine="689"/>
        <w:jc w:val="both"/>
      </w:pPr>
      <w:r>
        <w:rPr>
          <w:spacing w:val="16"/>
        </w:rPr>
        <w:t>本研究采用直接进样的方式进行质谱条件的摸索和优</w:t>
      </w:r>
      <w:r>
        <w:rPr>
          <w:spacing w:val="7"/>
        </w:rPr>
        <w:t xml:space="preserve"> </w:t>
      </w:r>
      <w:r>
        <w:rPr>
          <w:spacing w:val="9"/>
        </w:rPr>
        <w:t>化。将金刚烷胺配制成1μ</w:t>
      </w:r>
      <w:r>
        <w:rPr>
          <w:rFonts w:ascii="Times New Roman" w:eastAsia="Times New Roman" w:hAnsi="Times New Roman" w:cs="Times New Roman"/>
          <w:spacing w:val="9"/>
        </w:rPr>
        <w:t>g/</w:t>
      </w:r>
      <w:r>
        <w:rPr>
          <w:rFonts w:ascii="Times New Roman" w:eastAsia="Times New Roman" w:hAnsi="Times New Roman" w:cs="Times New Roman"/>
        </w:rPr>
        <w:t>mL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spacing w:val="9"/>
        </w:rPr>
        <w:t>的甲醇溶液，在</w:t>
      </w:r>
      <w:r>
        <w:rPr>
          <w:rFonts w:ascii="Times New Roman" w:eastAsia="Times New Roman" w:hAnsi="Times New Roman" w:cs="Times New Roman"/>
        </w:rPr>
        <w:t>ESI</w:t>
      </w:r>
      <w:r>
        <w:rPr>
          <w:rFonts w:ascii="Times New Roman" w:eastAsia="Times New Roman" w:hAnsi="Times New Roman" w:cs="Times New Roman"/>
          <w:spacing w:val="9"/>
        </w:rPr>
        <w:t>+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spacing w:val="8"/>
        </w:rPr>
        <w:t>模式</w:t>
      </w:r>
      <w:r>
        <w:t xml:space="preserve"> </w:t>
      </w:r>
      <w:r>
        <w:rPr>
          <w:spacing w:val="4"/>
        </w:rPr>
        <w:t>下进行全扫描，以选择合适的母离子和子离子。实验结果表</w:t>
      </w:r>
      <w:r>
        <w:rPr>
          <w:spacing w:val="9"/>
        </w:rPr>
        <w:t xml:space="preserve"> </w:t>
      </w:r>
      <w:r>
        <w:rPr>
          <w:spacing w:val="4"/>
        </w:rPr>
        <w:t>明：金刚烷胺在</w:t>
      </w:r>
      <w:r>
        <w:rPr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ESI</w:t>
      </w:r>
      <w:r>
        <w:rPr>
          <w:rFonts w:ascii="Times New Roman" w:eastAsia="Times New Roman" w:hAnsi="Times New Roman" w:cs="Times New Roman"/>
          <w:spacing w:val="4"/>
        </w:rPr>
        <w:t>+</w:t>
      </w:r>
      <w:r>
        <w:rPr>
          <w:rFonts w:ascii="Times New Roman" w:eastAsia="Times New Roman" w:hAnsi="Times New Roman" w:cs="Times New Roman"/>
          <w:spacing w:val="64"/>
        </w:rPr>
        <w:t xml:space="preserve"> </w:t>
      </w:r>
      <w:r>
        <w:rPr>
          <w:spacing w:val="4"/>
        </w:rPr>
        <w:t>模式下能获得较高丰度的分子母离子</w:t>
      </w:r>
      <w:r>
        <w:t xml:space="preserve"> </w:t>
      </w:r>
      <w:r>
        <w:rPr>
          <w:rFonts w:ascii="SimSun" w:eastAsia="SimSun" w:hAnsi="SimSun" w:cs="SimSun"/>
          <w:spacing w:val="-4"/>
        </w:rPr>
        <w:t>[M+H]+。</w:t>
      </w:r>
      <w:r>
        <w:rPr>
          <w:rFonts w:ascii="SimSun" w:eastAsia="SimSun" w:hAnsi="SimSun" w:cs="SimSun"/>
          <w:spacing w:val="26"/>
        </w:rPr>
        <w:t xml:space="preserve">   </w:t>
      </w:r>
      <w:r>
        <w:rPr>
          <w:spacing w:val="-4"/>
        </w:rPr>
        <w:t>然后分别进行二级质谱分析，找出二级质谱中两</w:t>
      </w:r>
      <w:r>
        <w:rPr>
          <w:spacing w:val="1"/>
        </w:rPr>
        <w:t xml:space="preserve"> </w:t>
      </w:r>
      <w:r>
        <w:rPr>
          <w:spacing w:val="5"/>
        </w:rPr>
        <w:t>个信号较强的碎片离子，用信号最强的做定量离子，另一个</w:t>
      </w:r>
      <w:r>
        <w:rPr>
          <w:spacing w:val="10"/>
        </w:rPr>
        <w:t xml:space="preserve"> </w:t>
      </w:r>
      <w:r>
        <w:rPr>
          <w:spacing w:val="4"/>
        </w:rPr>
        <w:t>作辅助定性离子，并对离子传输管温度、鞘气压力、喷雾电</w:t>
      </w:r>
      <w:r>
        <w:rPr>
          <w:spacing w:val="6"/>
        </w:rPr>
        <w:t xml:space="preserve"> </w:t>
      </w:r>
      <w:r>
        <w:rPr>
          <w:spacing w:val="4"/>
        </w:rPr>
        <w:t>压等参数进行优化，得到完整的质谱条件，用选择反应模式</w:t>
      </w:r>
    </w:p>
    <w:p>
      <w:pPr>
        <w:pStyle w:val="BodyText"/>
        <w:spacing w:before="1" w:line="219" w:lineRule="auto"/>
      </w:pPr>
      <w:r>
        <w:rPr>
          <w:spacing w:val="-2"/>
        </w:rPr>
        <w:t>的方式对样品进行定性和定量分析。</w:t>
      </w:r>
    </w:p>
    <w:p>
      <w:pPr>
        <w:spacing w:line="219" w:lineRule="auto"/>
        <w:sectPr>
          <w:pgSz w:w="11900" w:h="16830"/>
          <w:pgMar w:top="1430" w:right="1785" w:bottom="0" w:left="1720" w:header="0" w:footer="0" w:gutter="0"/>
          <w:pgNumType w:start="17"/>
          <w:cols w:space="708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98" w:line="355" w:lineRule="auto"/>
        <w:ind w:left="64" w:right="506" w:firstLine="810"/>
      </w:pPr>
      <w:r>
        <w:rPr>
          <w:spacing w:val="2"/>
        </w:rPr>
        <w:t>通过对金刚烷胺标准溶液的质谱方法优化，确定了质谱</w:t>
      </w:r>
      <w:r>
        <w:rPr>
          <w:spacing w:val="9"/>
        </w:rPr>
        <w:t xml:space="preserve"> </w:t>
      </w:r>
      <w:r>
        <w:rPr>
          <w:spacing w:val="4"/>
        </w:rPr>
        <w:t>条件：正离子</w:t>
      </w:r>
      <w:r>
        <w:rPr>
          <w:rFonts w:ascii="Times New Roman" w:eastAsia="Times New Roman" w:hAnsi="Times New Roman" w:cs="Times New Roman"/>
          <w:spacing w:val="4"/>
        </w:rPr>
        <w:t>(</w:t>
      </w:r>
      <w:r>
        <w:rPr>
          <w:rFonts w:ascii="Times New Roman" w:eastAsia="Times New Roman" w:hAnsi="Times New Roman" w:cs="Times New Roman"/>
        </w:rPr>
        <w:t>ESI</w:t>
      </w:r>
      <w:r>
        <w:rPr>
          <w:rFonts w:ascii="Times New Roman" w:eastAsia="Times New Roman" w:hAnsi="Times New Roman" w:cs="Times New Roman"/>
          <w:spacing w:val="4"/>
        </w:rPr>
        <w:t>+)</w:t>
      </w:r>
      <w:r>
        <w:rPr>
          <w:spacing w:val="4"/>
        </w:rPr>
        <w:t>模式；电离电压为2.5</w:t>
      </w:r>
      <w:r>
        <w:rPr>
          <w:spacing w:val="3"/>
        </w:rPr>
        <w:t>0</w:t>
      </w:r>
      <w:r>
        <w:rPr>
          <w:rFonts w:ascii="Times New Roman" w:eastAsia="Times New Roman" w:hAnsi="Times New Roman" w:cs="Times New Roman"/>
        </w:rPr>
        <w:t>kV</w:t>
      </w:r>
      <w:r>
        <w:rPr>
          <w:rFonts w:ascii="Times New Roman" w:eastAsia="Times New Roman" w:hAnsi="Times New Roman" w:cs="Times New Roman"/>
          <w:spacing w:val="3"/>
        </w:rPr>
        <w:t>;</w:t>
      </w:r>
      <w:r>
        <w:rPr>
          <w:rFonts w:ascii="Times New Roman" w:eastAsia="Times New Roman" w:hAnsi="Times New Roman" w:cs="Times New Roman"/>
          <w:spacing w:val="36"/>
        </w:rPr>
        <w:t xml:space="preserve">  </w:t>
      </w:r>
      <w:r>
        <w:rPr>
          <w:spacing w:val="3"/>
        </w:rPr>
        <w:t>锥孔电压为</w:t>
      </w:r>
      <w:r>
        <w:t xml:space="preserve">  </w:t>
      </w:r>
      <w:r>
        <w:rPr>
          <w:spacing w:val="11"/>
        </w:rPr>
        <w:t>25</w:t>
      </w:r>
      <w:r>
        <w:rPr>
          <w:spacing w:val="142"/>
        </w:rPr>
        <w:t xml:space="preserve"> </w:t>
      </w:r>
      <w:r>
        <w:rPr>
          <w:spacing w:val="11"/>
        </w:rPr>
        <w:t>V;</w:t>
      </w:r>
      <w:r>
        <w:rPr>
          <w:spacing w:val="-74"/>
        </w:rPr>
        <w:t xml:space="preserve"> </w:t>
      </w:r>
      <w:r>
        <w:rPr>
          <w:spacing w:val="11"/>
        </w:rPr>
        <w:t>离子源温度为140℃;锥孔反吹气流速为50</w:t>
      </w:r>
      <w:r>
        <w:rPr>
          <w:spacing w:val="11"/>
        </w:rPr>
        <w:t xml:space="preserve"> </w:t>
      </w:r>
      <w:r>
        <w:rPr>
          <w:rFonts w:ascii="SimSun" w:eastAsia="SimSun" w:hAnsi="SimSun" w:cs="SimSun"/>
          <w:spacing w:val="11"/>
        </w:rPr>
        <w:t>L/h;</w:t>
      </w:r>
      <w:r>
        <w:rPr>
          <w:rFonts w:ascii="SimSun" w:eastAsia="SimSun" w:hAnsi="SimSun" w:cs="SimSun"/>
          <w:spacing w:val="-40"/>
        </w:rPr>
        <w:t xml:space="preserve"> </w:t>
      </w:r>
      <w:r>
        <w:rPr>
          <w:spacing w:val="11"/>
        </w:rPr>
        <w:t>脱</w:t>
      </w:r>
      <w:r>
        <w:t xml:space="preserve">  </w:t>
      </w:r>
      <w:r>
        <w:rPr>
          <w:spacing w:val="13"/>
        </w:rPr>
        <w:t>溶剂气温度为400℃;脱溶剂气流速为700</w:t>
      </w:r>
      <w:r>
        <w:rPr>
          <w:rFonts w:ascii="SimSun" w:eastAsia="SimSun" w:hAnsi="SimSun" w:cs="SimSun"/>
          <w:spacing w:val="12"/>
        </w:rPr>
        <w:t xml:space="preserve">L/h; </w:t>
      </w:r>
      <w:r>
        <w:rPr>
          <w:spacing w:val="12"/>
        </w:rPr>
        <w:t>氩气流速为</w:t>
      </w:r>
      <w:r>
        <w:t xml:space="preserve">  </w:t>
      </w:r>
      <w:r>
        <w:rPr>
          <w:rFonts w:ascii="Times New Roman" w:eastAsia="Times New Roman" w:hAnsi="Times New Roman" w:cs="Times New Roman"/>
          <w:spacing w:val="6"/>
        </w:rPr>
        <w:t>0.12</w:t>
      </w:r>
      <w:r>
        <w:rPr>
          <w:rFonts w:ascii="Times New Roman" w:eastAsia="Times New Roman" w:hAnsi="Times New Roman" w:cs="Times New Roman"/>
          <w:spacing w:val="32"/>
          <w:w w:val="101"/>
        </w:rPr>
        <w:t xml:space="preserve">  </w:t>
      </w:r>
      <w:r>
        <w:rPr>
          <w:rFonts w:ascii="Times New Roman" w:eastAsia="Times New Roman" w:hAnsi="Times New Roman" w:cs="Times New Roman"/>
        </w:rPr>
        <w:t>mL</w:t>
      </w:r>
      <w:r>
        <w:rPr>
          <w:rFonts w:ascii="Times New Roman" w:eastAsia="Times New Roman" w:hAnsi="Times New Roman" w:cs="Times New Roman"/>
          <w:spacing w:val="6"/>
        </w:rPr>
        <w:t>/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Times New Roman" w:eastAsia="Times New Roman" w:hAnsi="Times New Roman" w:cs="Times New Roman"/>
          <w:spacing w:val="6"/>
        </w:rPr>
        <w:t>;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spacing w:val="6"/>
        </w:rPr>
        <w:t>其他参数见表4。采用多反应监测方式对样品</w:t>
      </w:r>
      <w:r>
        <w:t xml:space="preserve">  </w:t>
      </w:r>
      <w:r>
        <w:rPr>
          <w:spacing w:val="4"/>
        </w:rPr>
        <w:t>进行定性和定量分析。三重四级杆串联质谱仪中，第一个四</w:t>
      </w:r>
      <w:r>
        <w:rPr>
          <w:spacing w:val="7"/>
        </w:rPr>
        <w:t xml:space="preserve">  </w:t>
      </w:r>
      <w:r>
        <w:rPr>
          <w:spacing w:val="3"/>
        </w:rPr>
        <w:t>级杆</w:t>
      </w:r>
      <w:r>
        <w:rPr>
          <w:spacing w:val="-8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(Q1)   </w:t>
      </w:r>
      <w:r>
        <w:rPr>
          <w:spacing w:val="3"/>
        </w:rPr>
        <w:t>选择母离子，经过在第二个四级杆</w:t>
      </w:r>
      <w:r>
        <w:rPr>
          <w:spacing w:val="-6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(Q2)</w:t>
      </w:r>
      <w:r>
        <w:rPr>
          <w:rFonts w:ascii="Times New Roman" w:eastAsia="Times New Roman" w:hAnsi="Times New Roman" w:cs="Times New Roman"/>
          <w:spacing w:val="2"/>
        </w:rPr>
        <w:t xml:space="preserve">    </w:t>
      </w:r>
      <w:r>
        <w:rPr>
          <w:spacing w:val="2"/>
        </w:rPr>
        <w:t>中碰撞</w:t>
      </w:r>
      <w:r>
        <w:t xml:space="preserve">  </w:t>
      </w:r>
      <w:r>
        <w:rPr>
          <w:spacing w:val="3"/>
        </w:rPr>
        <w:t>解离，到达第三个四级杆</w:t>
      </w:r>
      <w:r>
        <w:rPr>
          <w:rFonts w:ascii="SimSun" w:eastAsia="SimSun" w:hAnsi="SimSun" w:cs="SimSun"/>
          <w:spacing w:val="3"/>
        </w:rPr>
        <w:t xml:space="preserve">(Q3)  </w:t>
      </w:r>
      <w:r>
        <w:rPr>
          <w:spacing w:val="3"/>
        </w:rPr>
        <w:t>进行选择离子检测，只有符</w:t>
      </w:r>
    </w:p>
    <w:p>
      <w:pPr>
        <w:pStyle w:val="BodyText"/>
        <w:spacing w:line="220" w:lineRule="auto"/>
        <w:ind w:left="64"/>
      </w:pPr>
      <w:r>
        <w:rPr>
          <w:spacing w:val="1"/>
        </w:rPr>
        <w:t>合特定条件的离子才能被检测到，该模式排除了本底干扰，</w:t>
      </w:r>
    </w:p>
    <w:p>
      <w:pPr>
        <w:pStyle w:val="BodyText"/>
        <w:spacing w:before="202" w:line="220" w:lineRule="auto"/>
        <w:ind w:left="64"/>
      </w:pPr>
      <w:r>
        <w:t>具有较高的选择性和信噪比，较低的检测限。</w:t>
      </w:r>
    </w:p>
    <w:p>
      <w:pPr>
        <w:pStyle w:val="BodyText"/>
        <w:spacing w:before="173" w:line="221" w:lineRule="auto"/>
        <w:ind w:left="2965"/>
      </w:pPr>
      <w:r>
        <w:rPr>
          <w:spacing w:val="1"/>
        </w:rPr>
        <w:t>表4</w:t>
      </w:r>
      <w:r>
        <w:rPr>
          <w:spacing w:val="1"/>
        </w:rPr>
        <w:t xml:space="preserve"> </w:t>
      </w:r>
      <w:r>
        <w:rPr>
          <w:spacing w:val="1"/>
        </w:rPr>
        <w:t>待测物监测离子</w:t>
      </w:r>
    </w:p>
    <w:p>
      <w:pPr>
        <w:spacing w:line="98" w:lineRule="exact"/>
      </w:pPr>
    </w:p>
    <w:tbl>
      <w:tblPr>
        <w:tblStyle w:val="TableNormal0"/>
        <w:tblW w:w="86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932"/>
        <w:gridCol w:w="1488"/>
        <w:gridCol w:w="1758"/>
        <w:gridCol w:w="1628"/>
        <w:gridCol w:w="1823"/>
      </w:tblGrid>
      <w:tr>
        <w:tblPrEx>
          <w:tblW w:w="86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32"/>
        </w:trPr>
        <w:tc>
          <w:tcPr>
            <w:tcW w:w="1932" w:type="dxa"/>
            <w:vAlign w:val="top"/>
          </w:tcPr>
          <w:p>
            <w:pPr>
              <w:pStyle w:val="TableText"/>
              <w:spacing w:before="224" w:line="221" w:lineRule="auto"/>
              <w:ind w:left="654"/>
            </w:pPr>
            <w:r>
              <w:rPr>
                <w:spacing w:val="-2"/>
              </w:rPr>
              <w:t>化合物</w:t>
            </w:r>
          </w:p>
        </w:tc>
        <w:tc>
          <w:tcPr>
            <w:tcW w:w="1488" w:type="dxa"/>
            <w:vAlign w:val="top"/>
          </w:tcPr>
          <w:p>
            <w:pPr>
              <w:pStyle w:val="TableText"/>
              <w:spacing w:before="223" w:line="220" w:lineRule="auto"/>
              <w:ind w:left="433"/>
            </w:pPr>
            <w:r>
              <w:rPr>
                <w:spacing w:val="-2"/>
              </w:rPr>
              <w:t>母离子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spacing w:before="223" w:line="220" w:lineRule="auto"/>
              <w:ind w:left="574"/>
            </w:pPr>
            <w:r>
              <w:rPr>
                <w:spacing w:val="-2"/>
              </w:rPr>
              <w:t>子离子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spacing w:before="223" w:line="220" w:lineRule="auto"/>
              <w:ind w:left="406"/>
            </w:pPr>
            <w:r>
              <w:rPr>
                <w:spacing w:val="-2"/>
              </w:rPr>
              <w:t>锥孔电压</w:t>
            </w:r>
          </w:p>
        </w:tc>
        <w:tc>
          <w:tcPr>
            <w:tcW w:w="1823" w:type="dxa"/>
            <w:vAlign w:val="top"/>
          </w:tcPr>
          <w:p>
            <w:pPr>
              <w:pStyle w:val="TableText"/>
              <w:spacing w:before="224" w:line="221" w:lineRule="auto"/>
              <w:ind w:left="508"/>
            </w:pPr>
            <w:r>
              <w:rPr>
                <w:spacing w:val="-2"/>
              </w:rPr>
              <w:t>碰撞能量</w:t>
            </w:r>
          </w:p>
        </w:tc>
      </w:tr>
      <w:tr>
        <w:tblPrEx>
          <w:tblW w:w="8629" w:type="dxa"/>
          <w:tblInd w:w="5" w:type="dxa"/>
          <w:tblLayout w:type="fixed"/>
        </w:tblPrEx>
        <w:trPr>
          <w:trHeight w:val="467"/>
        </w:trPr>
        <w:tc>
          <w:tcPr>
            <w:tcW w:w="1932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554"/>
            </w:pPr>
            <w:r>
              <w:rPr>
                <w:spacing w:val="-2"/>
              </w:rPr>
              <w:t>金刚烷胺</w:t>
            </w:r>
          </w:p>
        </w:tc>
        <w:tc>
          <w:tcPr>
            <w:tcW w:w="1488" w:type="dxa"/>
            <w:vMerge w:val="restart"/>
            <w:tcBorders>
              <w:bottom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4" w:lineRule="auto"/>
              <w:ind w:left="582"/>
            </w:pPr>
            <w:r>
              <w:rPr>
                <w:spacing w:val="-6"/>
              </w:rPr>
              <w:t>152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spacing w:before="192" w:line="183" w:lineRule="auto"/>
              <w:ind w:left="774"/>
            </w:pPr>
            <w:r>
              <w:rPr>
                <w:spacing w:val="-3"/>
              </w:rPr>
              <w:t>93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spacing w:before="192" w:line="183" w:lineRule="auto"/>
              <w:ind w:left="706"/>
            </w:pPr>
            <w:r>
              <w:rPr>
                <w:spacing w:val="-3"/>
              </w:rPr>
              <w:t>25</w:t>
            </w:r>
          </w:p>
        </w:tc>
        <w:tc>
          <w:tcPr>
            <w:tcW w:w="1823" w:type="dxa"/>
            <w:vAlign w:val="top"/>
          </w:tcPr>
          <w:p>
            <w:pPr>
              <w:pStyle w:val="TableText"/>
              <w:spacing w:before="192" w:line="183" w:lineRule="auto"/>
              <w:ind w:left="808"/>
            </w:pPr>
            <w:r>
              <w:rPr>
                <w:spacing w:val="-3"/>
              </w:rPr>
              <w:t>30</w:t>
            </w:r>
          </w:p>
        </w:tc>
      </w:tr>
      <w:tr>
        <w:tblPrEx>
          <w:tblW w:w="8629" w:type="dxa"/>
          <w:tblInd w:w="5" w:type="dxa"/>
          <w:tblLayout w:type="fixed"/>
        </w:tblPrEx>
        <w:trPr>
          <w:trHeight w:val="438"/>
        </w:trPr>
        <w:tc>
          <w:tcPr>
            <w:tcW w:w="19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58" w:type="dxa"/>
            <w:vAlign w:val="top"/>
          </w:tcPr>
          <w:p>
            <w:pPr>
              <w:pStyle w:val="TableText"/>
              <w:spacing w:before="174" w:line="184" w:lineRule="auto"/>
              <w:ind w:left="884"/>
            </w:pPr>
            <w:r>
              <w:rPr>
                <w:spacing w:val="-5"/>
              </w:rPr>
              <w:t>135*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spacing w:before="175" w:line="183" w:lineRule="auto"/>
              <w:ind w:left="706"/>
            </w:pPr>
            <w:r>
              <w:rPr>
                <w:spacing w:val="-3"/>
              </w:rPr>
              <w:t>25</w:t>
            </w:r>
          </w:p>
        </w:tc>
        <w:tc>
          <w:tcPr>
            <w:tcW w:w="1823" w:type="dxa"/>
            <w:vAlign w:val="top"/>
          </w:tcPr>
          <w:p>
            <w:pPr>
              <w:pStyle w:val="TableText"/>
              <w:spacing w:before="174" w:line="184" w:lineRule="auto"/>
              <w:ind w:left="808"/>
            </w:pPr>
            <w:r>
              <w:rPr>
                <w:spacing w:val="-6"/>
              </w:rPr>
              <w:t>17</w:t>
            </w:r>
          </w:p>
        </w:tc>
      </w:tr>
      <w:tr>
        <w:tblPrEx>
          <w:tblW w:w="8629" w:type="dxa"/>
          <w:tblInd w:w="5" w:type="dxa"/>
          <w:tblLayout w:type="fixed"/>
        </w:tblPrEx>
        <w:trPr>
          <w:trHeight w:val="452"/>
        </w:trPr>
        <w:tc>
          <w:tcPr>
            <w:tcW w:w="1932" w:type="dxa"/>
            <w:vAlign w:val="top"/>
          </w:tcPr>
          <w:p>
            <w:pPr>
              <w:pStyle w:val="TableText"/>
              <w:spacing w:before="136" w:line="219" w:lineRule="auto"/>
              <w:ind w:left="354"/>
            </w:pPr>
            <w:r>
              <w:rPr>
                <w:spacing w:val="-2"/>
              </w:rPr>
              <w:t>金刚烷胺内标</w:t>
            </w:r>
          </w:p>
        </w:tc>
        <w:tc>
          <w:tcPr>
            <w:tcW w:w="1488" w:type="dxa"/>
            <w:vAlign w:val="top"/>
          </w:tcPr>
          <w:p>
            <w:pPr>
              <w:pStyle w:val="TableText"/>
              <w:spacing w:before="186" w:line="184" w:lineRule="auto"/>
              <w:ind w:left="582"/>
            </w:pPr>
            <w:r>
              <w:rPr>
                <w:spacing w:val="-6"/>
              </w:rPr>
              <w:t>167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spacing w:before="186" w:line="184" w:lineRule="auto"/>
              <w:ind w:left="674"/>
            </w:pPr>
            <w:r>
              <w:rPr>
                <w:spacing w:val="-5"/>
              </w:rPr>
              <w:t>141*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spacing w:before="187" w:line="183" w:lineRule="auto"/>
              <w:ind w:left="706"/>
            </w:pPr>
            <w:r>
              <w:rPr>
                <w:spacing w:val="-3"/>
              </w:rPr>
              <w:t>25</w:t>
            </w:r>
          </w:p>
        </w:tc>
        <w:tc>
          <w:tcPr>
            <w:tcW w:w="1823" w:type="dxa"/>
            <w:vAlign w:val="top"/>
          </w:tcPr>
          <w:p>
            <w:pPr>
              <w:pStyle w:val="TableText"/>
              <w:spacing w:before="186" w:line="184" w:lineRule="auto"/>
              <w:ind w:left="808"/>
            </w:pPr>
            <w:r>
              <w:rPr>
                <w:spacing w:val="-6"/>
              </w:rPr>
              <w:t>17</w:t>
            </w:r>
          </w:p>
        </w:tc>
      </w:tr>
    </w:tbl>
    <w:p>
      <w:pPr>
        <w:spacing w:before="125" w:line="220" w:lineRule="auto"/>
        <w:ind w:left="564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"/>
          <w:sz w:val="23"/>
          <w:szCs w:val="23"/>
        </w:rPr>
        <w:t>注：*表示为定量离子</w:t>
      </w:r>
    </w:p>
    <w:p>
      <w:pPr>
        <w:spacing w:before="249" w:line="219" w:lineRule="auto"/>
        <w:ind w:left="69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9"/>
          <w:sz w:val="30"/>
          <w:szCs w:val="30"/>
        </w:rPr>
        <w:t>8.标准曲线的绘制</w:t>
      </w:r>
    </w:p>
    <w:p>
      <w:pPr>
        <w:pStyle w:val="BodyText"/>
        <w:spacing w:before="277" w:line="352" w:lineRule="auto"/>
        <w:ind w:left="64" w:right="525" w:firstLine="679"/>
      </w:pPr>
      <w:r>
        <w:rPr>
          <w:spacing w:val="-8"/>
        </w:rPr>
        <w:t>取1.0</w:t>
      </w:r>
      <w:r>
        <w:rPr>
          <w:rFonts w:ascii="SimSun" w:eastAsia="SimSun" w:hAnsi="SimSun" w:cs="SimSun"/>
          <w:spacing w:val="-8"/>
        </w:rPr>
        <w:t xml:space="preserve">mg/L </w:t>
      </w:r>
      <w:r>
        <w:rPr>
          <w:spacing w:val="-8"/>
        </w:rPr>
        <w:t>金刚烷胺标准使用溶液10μL、</w:t>
      </w:r>
      <w:r>
        <w:rPr>
          <w:spacing w:val="-9"/>
        </w:rPr>
        <w:t>20μL、40μL、</w:t>
      </w:r>
      <w:r>
        <w:t xml:space="preserve"> </w:t>
      </w:r>
      <w:r>
        <w:rPr>
          <w:spacing w:val="1"/>
        </w:rPr>
        <w:t>50μL、100μL于样品瓶中，分别添加100μ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69"/>
          <w:w w:val="101"/>
        </w:rPr>
        <w:t xml:space="preserve"> </w:t>
      </w:r>
      <w:r>
        <w:rPr>
          <w:spacing w:val="1"/>
        </w:rPr>
        <w:t>内标工作液，</w:t>
      </w:r>
      <w:r>
        <w:t xml:space="preserve">  </w:t>
      </w:r>
      <w:r>
        <w:rPr>
          <w:spacing w:val="4"/>
        </w:rPr>
        <w:t>定容至1.00</w:t>
      </w:r>
      <w:r>
        <w:rPr>
          <w:rFonts w:ascii="Times New Roman" w:eastAsia="Times New Roman" w:hAnsi="Times New Roman" w:cs="Times New Roman"/>
        </w:rPr>
        <w:t>mL</w:t>
      </w:r>
      <w:r>
        <w:rPr>
          <w:rFonts w:ascii="Times New Roman" w:eastAsia="Times New Roman" w:hAnsi="Times New Roman" w:cs="Times New Roman"/>
          <w:spacing w:val="4"/>
        </w:rPr>
        <w:t xml:space="preserve">,   </w:t>
      </w:r>
      <w:r>
        <w:rPr>
          <w:spacing w:val="4"/>
        </w:rPr>
        <w:t>配制成金刚烷胺浓度为10μ</w:t>
      </w:r>
      <w:r>
        <w:rPr>
          <w:rFonts w:ascii="Times New Roman" w:eastAsia="Times New Roman" w:hAnsi="Times New Roman" w:cs="Times New Roman"/>
          <w:spacing w:val="3"/>
        </w:rPr>
        <w:t>g/L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rPr>
          <w:rFonts w:ascii="SimSun" w:eastAsia="SimSun" w:hAnsi="SimSun" w:cs="SimSun"/>
          <w:spacing w:val="3"/>
        </w:rPr>
        <w:t>、</w:t>
      </w:r>
      <w:r>
        <w:rPr>
          <w:rFonts w:ascii="Times New Roman" w:eastAsia="Times New Roman" w:hAnsi="Times New Roman" w:cs="Times New Roman"/>
          <w:spacing w:val="3"/>
        </w:rPr>
        <w:t>20μg/L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rPr>
          <w:rFonts w:ascii="SimSun" w:eastAsia="SimSun" w:hAnsi="SimSun" w:cs="SimSun"/>
          <w:spacing w:val="3"/>
        </w:rPr>
        <w:t>、</w:t>
      </w:r>
      <w:r>
        <w:rPr>
          <w:rFonts w:ascii="SimSun" w:eastAsia="SimSun" w:hAnsi="SimSun" w:cs="SimSun"/>
        </w:rPr>
        <w:t xml:space="preserve">  </w:t>
      </w:r>
      <w:r>
        <w:rPr>
          <w:spacing w:val="-6"/>
        </w:rPr>
        <w:t>40μg/L、50μg/L、100μg/L的</w:t>
      </w:r>
      <w:r>
        <w:rPr>
          <w:spacing w:val="-7"/>
        </w:rPr>
        <w:t>系列标准溶液，10μ</w:t>
      </w:r>
      <w:r>
        <w:rPr>
          <w:rFonts w:ascii="Times New Roman" w:eastAsia="Times New Roman" w:hAnsi="Times New Roman" w:cs="Times New Roman"/>
          <w:spacing w:val="-7"/>
        </w:rPr>
        <w:t>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spacing w:val="-7"/>
        </w:rPr>
        <w:t>进样。</w:t>
      </w:r>
      <w:r>
        <w:t xml:space="preserve">  </w:t>
      </w:r>
      <w:r>
        <w:rPr>
          <w:spacing w:val="4"/>
        </w:rPr>
        <w:t>以各标准溶液峰面积与内标峰面积的比值为</w:t>
      </w:r>
      <w:r>
        <w:rPr>
          <w:spacing w:val="3"/>
        </w:rPr>
        <w:t>纵坐标，以各标</w:t>
      </w:r>
    </w:p>
    <w:p>
      <w:pPr>
        <w:pStyle w:val="BodyText"/>
        <w:spacing w:line="220" w:lineRule="auto"/>
        <w:ind w:left="64"/>
      </w:pPr>
      <w:r>
        <w:rPr>
          <w:spacing w:val="4"/>
        </w:rPr>
        <w:t>准工作液浓度为横坐标，绘制标准曲线。所得典型标准曲线</w:t>
      </w:r>
    </w:p>
    <w:p>
      <w:pPr>
        <w:spacing w:line="220" w:lineRule="auto"/>
        <w:sectPr>
          <w:pgSz w:w="11900" w:h="16830"/>
          <w:pgMar w:top="1430" w:right="1604" w:bottom="0" w:left="1655" w:header="0" w:footer="0" w:gutter="0"/>
          <w:pgNumType w:start="18"/>
          <w:cols w:space="708"/>
        </w:sectPr>
      </w:pPr>
    </w:p>
    <w:p>
      <w:pPr>
        <w:pStyle w:val="BodyText"/>
        <w:spacing w:before="288" w:line="360" w:lineRule="auto"/>
        <w:ind w:right="458"/>
        <w:jc w:val="both"/>
      </w:pPr>
      <w:r>
        <w:rPr>
          <w:spacing w:val="6"/>
        </w:rPr>
        <w:t>方程为</w:t>
      </w:r>
      <w:r>
        <w:rPr>
          <w:spacing w:val="-14"/>
        </w:rPr>
        <w:t xml:space="preserve"> </w:t>
      </w:r>
      <w:r>
        <w:rPr>
          <w:spacing w:val="6"/>
        </w:rPr>
        <w:t>Y=0.06601X+0.67559,</w:t>
      </w:r>
      <w:r>
        <w:rPr>
          <w:spacing w:val="6"/>
        </w:rPr>
        <w:t xml:space="preserve">  </w:t>
      </w:r>
      <w:r>
        <w:rPr>
          <w:spacing w:val="6"/>
        </w:rPr>
        <w:t>相关系数</w:t>
      </w:r>
      <w:r>
        <w:rPr>
          <w:spacing w:val="-79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 xml:space="preserve">r  </w:t>
      </w:r>
      <w:r>
        <w:rPr>
          <w:spacing w:val="6"/>
        </w:rPr>
        <w:t>为0.9995,大于</w:t>
      </w:r>
      <w:r>
        <w:t xml:space="preserve"> </w:t>
      </w:r>
      <w:r>
        <w:rPr>
          <w:spacing w:val="10"/>
        </w:rPr>
        <w:t>0.99,线性关系良好，适用于海洋生物体中金刚烷胺的定量</w:t>
      </w:r>
    </w:p>
    <w:p>
      <w:pPr>
        <w:pStyle w:val="BodyText"/>
        <w:spacing w:line="221" w:lineRule="auto"/>
      </w:pPr>
      <w:r>
        <w:rPr>
          <w:spacing w:val="-15"/>
        </w:rPr>
        <w:t>分析。</w:t>
      </w:r>
    </w:p>
    <w:p>
      <w:pPr>
        <w:spacing w:before="180" w:line="224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7"/>
          <w:sz w:val="30"/>
          <w:szCs w:val="30"/>
        </w:rPr>
        <w:t>9.</w:t>
      </w:r>
      <w:r>
        <w:rPr>
          <w:rFonts w:ascii="SimHei" w:eastAsia="SimHei" w:hAnsi="SimHei" w:cs="SimHei"/>
          <w:spacing w:val="-85"/>
          <w:sz w:val="30"/>
          <w:szCs w:val="30"/>
        </w:rPr>
        <w:t xml:space="preserve"> </w:t>
      </w:r>
      <w:r>
        <w:rPr>
          <w:rFonts w:ascii="SimHei" w:eastAsia="SimHei" w:hAnsi="SimHei" w:cs="SimHei"/>
          <w:b/>
          <w:bCs/>
          <w:spacing w:val="7"/>
          <w:sz w:val="30"/>
          <w:szCs w:val="30"/>
        </w:rPr>
        <w:t>样品测定</w:t>
      </w:r>
    </w:p>
    <w:p>
      <w:pPr>
        <w:pStyle w:val="BodyText"/>
        <w:spacing w:before="249" w:line="354" w:lineRule="auto"/>
        <w:ind w:right="408" w:firstLine="709"/>
        <w:jc w:val="both"/>
      </w:pPr>
      <w:r>
        <w:rPr>
          <w:spacing w:val="2"/>
        </w:rPr>
        <w:t>样品峰与标准物质的保留时间之差不大于0.10</w:t>
      </w:r>
      <w:r>
        <w:rPr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Times New Roman" w:eastAsia="Times New Roman" w:hAnsi="Times New Roman" w:cs="Times New Roman"/>
          <w:spacing w:val="2"/>
        </w:rPr>
        <w:t xml:space="preserve">,   </w:t>
      </w:r>
      <w:r>
        <w:rPr>
          <w:spacing w:val="2"/>
        </w:rPr>
        <w:t>并</w:t>
      </w:r>
      <w:r>
        <w:rPr>
          <w:spacing w:val="2"/>
        </w:rPr>
        <w:t xml:space="preserve"> </w:t>
      </w:r>
      <w:r>
        <w:rPr>
          <w:spacing w:val="4"/>
        </w:rPr>
        <w:t>且在扣除背景后的样品质谱图中，所选择的特征离子均应出</w:t>
      </w:r>
      <w:r>
        <w:rPr>
          <w:spacing w:val="18"/>
        </w:rPr>
        <w:t xml:space="preserve"> </w:t>
      </w:r>
      <w:r>
        <w:rPr>
          <w:spacing w:val="4"/>
        </w:rPr>
        <w:t>现，要求样品峰的各选择离子相对强度与标</w:t>
      </w:r>
      <w:r>
        <w:rPr>
          <w:spacing w:val="3"/>
        </w:rPr>
        <w:t>准物质相应选择</w:t>
      </w:r>
    </w:p>
    <w:p>
      <w:pPr>
        <w:pStyle w:val="BodyText"/>
        <w:spacing w:before="1" w:line="221" w:lineRule="auto"/>
      </w:pPr>
      <w:r>
        <w:rPr>
          <w:spacing w:val="-1"/>
        </w:rPr>
        <w:t>离子的相对强度之差不超过表5规定的范围。</w:t>
      </w:r>
    </w:p>
    <w:p>
      <w:pPr>
        <w:pStyle w:val="BodyText"/>
        <w:spacing w:before="196" w:line="595" w:lineRule="exact"/>
        <w:ind w:left="599"/>
      </w:pPr>
      <w:r>
        <w:rPr>
          <w:spacing w:val="4"/>
          <w:position w:val="22"/>
        </w:rPr>
        <w:t>表5</w:t>
      </w:r>
      <w:r>
        <w:rPr>
          <w:spacing w:val="4"/>
          <w:position w:val="22"/>
        </w:rPr>
        <w:t xml:space="preserve"> </w:t>
      </w:r>
      <w:r>
        <w:rPr>
          <w:spacing w:val="4"/>
          <w:position w:val="22"/>
        </w:rPr>
        <w:t>试样相对离子丰度与标准物质相对离子丰度的最大</w:t>
      </w:r>
    </w:p>
    <w:p>
      <w:pPr>
        <w:pStyle w:val="BodyText"/>
        <w:spacing w:line="222" w:lineRule="auto"/>
        <w:ind w:left="3409"/>
      </w:pPr>
      <w:r>
        <w:rPr>
          <w:spacing w:val="1"/>
        </w:rPr>
        <w:t>允许偏差</w:t>
      </w:r>
    </w:p>
    <w:p>
      <w:pPr>
        <w:spacing w:line="84" w:lineRule="exact"/>
      </w:pPr>
    </w:p>
    <w:tbl>
      <w:tblPr>
        <w:tblStyle w:val="TableNormal1"/>
        <w:tblW w:w="665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9"/>
        <w:gridCol w:w="3250"/>
      </w:tblGrid>
      <w:tr>
        <w:tblPrEx>
          <w:tblW w:w="6659" w:type="dxa"/>
          <w:tblInd w:w="66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522"/>
        </w:trPr>
        <w:tc>
          <w:tcPr>
            <w:tcW w:w="3409" w:type="dxa"/>
            <w:vAlign w:val="top"/>
          </w:tcPr>
          <w:p>
            <w:pPr>
              <w:pStyle w:val="TableText"/>
              <w:spacing w:before="164" w:line="220" w:lineRule="auto"/>
              <w:ind w:left="85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相对离子丰度/(%)</w:t>
            </w:r>
          </w:p>
        </w:tc>
        <w:tc>
          <w:tcPr>
            <w:tcW w:w="3250" w:type="dxa"/>
            <w:vAlign w:val="top"/>
          </w:tcPr>
          <w:p>
            <w:pPr>
              <w:pStyle w:val="TableText"/>
              <w:spacing w:before="163" w:line="219" w:lineRule="auto"/>
              <w:ind w:left="986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允许偏差/(%)</w:t>
            </w:r>
          </w:p>
        </w:tc>
      </w:tr>
      <w:tr>
        <w:tblPrEx>
          <w:tblW w:w="6659" w:type="dxa"/>
          <w:tblInd w:w="669" w:type="dxa"/>
          <w:tblLayout w:type="fixed"/>
        </w:tblPrEx>
        <w:trPr>
          <w:trHeight w:val="448"/>
        </w:trPr>
        <w:tc>
          <w:tcPr>
            <w:tcW w:w="3409" w:type="dxa"/>
            <w:vAlign w:val="top"/>
          </w:tcPr>
          <w:p>
            <w:pPr>
              <w:pStyle w:val="TableText"/>
              <w:spacing w:before="165"/>
              <w:ind w:left="157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&gt;50</w:t>
            </w:r>
          </w:p>
        </w:tc>
        <w:tc>
          <w:tcPr>
            <w:tcW w:w="3250" w:type="dxa"/>
            <w:vAlign w:val="top"/>
          </w:tcPr>
          <w:p>
            <w:pPr>
              <w:pStyle w:val="TableText"/>
              <w:spacing w:before="163" w:line="235" w:lineRule="auto"/>
              <w:ind w:left="1455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±20</w:t>
            </w:r>
          </w:p>
        </w:tc>
      </w:tr>
      <w:tr>
        <w:tblPrEx>
          <w:tblW w:w="6659" w:type="dxa"/>
          <w:tblInd w:w="669" w:type="dxa"/>
          <w:tblLayout w:type="fixed"/>
        </w:tblPrEx>
        <w:trPr>
          <w:trHeight w:val="448"/>
        </w:trPr>
        <w:tc>
          <w:tcPr>
            <w:tcW w:w="3409" w:type="dxa"/>
            <w:vAlign w:val="top"/>
          </w:tcPr>
          <w:p>
            <w:pPr>
              <w:pStyle w:val="TableText"/>
              <w:spacing w:before="167"/>
              <w:ind w:left="14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&gt;20～50</w:t>
            </w:r>
          </w:p>
        </w:tc>
        <w:tc>
          <w:tcPr>
            <w:tcW w:w="3250" w:type="dxa"/>
            <w:vAlign w:val="top"/>
          </w:tcPr>
          <w:p>
            <w:pPr>
              <w:pStyle w:val="TableText"/>
              <w:spacing w:before="165" w:line="235" w:lineRule="auto"/>
              <w:ind w:left="1455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±25</w:t>
            </w:r>
          </w:p>
        </w:tc>
      </w:tr>
      <w:tr>
        <w:tblPrEx>
          <w:tblW w:w="6659" w:type="dxa"/>
          <w:tblInd w:w="669" w:type="dxa"/>
          <w:tblLayout w:type="fixed"/>
        </w:tblPrEx>
        <w:trPr>
          <w:trHeight w:val="448"/>
        </w:trPr>
        <w:tc>
          <w:tcPr>
            <w:tcW w:w="3409" w:type="dxa"/>
            <w:vAlign w:val="top"/>
          </w:tcPr>
          <w:p>
            <w:pPr>
              <w:pStyle w:val="TableText"/>
              <w:spacing w:before="169"/>
              <w:ind w:left="14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&gt;10～20</w:t>
            </w:r>
          </w:p>
        </w:tc>
        <w:tc>
          <w:tcPr>
            <w:tcW w:w="3250" w:type="dxa"/>
            <w:vAlign w:val="top"/>
          </w:tcPr>
          <w:p>
            <w:pPr>
              <w:pStyle w:val="TableText"/>
              <w:spacing w:before="167" w:line="235" w:lineRule="auto"/>
              <w:ind w:left="1455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±30</w:t>
            </w:r>
          </w:p>
        </w:tc>
      </w:tr>
      <w:tr>
        <w:tblPrEx>
          <w:tblW w:w="6659" w:type="dxa"/>
          <w:tblInd w:w="669" w:type="dxa"/>
          <w:tblLayout w:type="fixed"/>
        </w:tblPrEx>
        <w:trPr>
          <w:trHeight w:val="453"/>
        </w:trPr>
        <w:tc>
          <w:tcPr>
            <w:tcW w:w="3409" w:type="dxa"/>
            <w:vAlign w:val="top"/>
          </w:tcPr>
          <w:p>
            <w:pPr>
              <w:pStyle w:val="TableText"/>
              <w:spacing w:before="169" w:line="236" w:lineRule="auto"/>
              <w:ind w:left="153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≤10</w:t>
            </w:r>
          </w:p>
        </w:tc>
        <w:tc>
          <w:tcPr>
            <w:tcW w:w="3250" w:type="dxa"/>
            <w:vAlign w:val="top"/>
          </w:tcPr>
          <w:p>
            <w:pPr>
              <w:pStyle w:val="TableText"/>
              <w:spacing w:before="169" w:line="235" w:lineRule="auto"/>
              <w:ind w:left="1455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±50</w:t>
            </w:r>
          </w:p>
        </w:tc>
      </w:tr>
    </w:tbl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98" w:line="221" w:lineRule="auto"/>
        <w:ind w:left="4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4"/>
          <w:sz w:val="30"/>
          <w:szCs w:val="30"/>
        </w:rPr>
        <w:t>10.方法的评价</w:t>
      </w:r>
    </w:p>
    <w:p>
      <w:pPr>
        <w:spacing w:before="251" w:line="221" w:lineRule="auto"/>
        <w:ind w:left="3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6"/>
          <w:sz w:val="30"/>
          <w:szCs w:val="30"/>
        </w:rPr>
        <w:t>10.1</w:t>
      </w:r>
      <w:r>
        <w:rPr>
          <w:rFonts w:ascii="SimHei" w:eastAsia="SimHei" w:hAnsi="SimHei" w:cs="SimHei"/>
          <w:spacing w:val="-6"/>
          <w:sz w:val="30"/>
          <w:szCs w:val="30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30"/>
          <w:szCs w:val="30"/>
        </w:rPr>
        <w:t>方法的正确度和精密度</w:t>
      </w:r>
    </w:p>
    <w:p>
      <w:pPr>
        <w:pStyle w:val="BodyText"/>
        <w:spacing w:before="263" w:line="355" w:lineRule="auto"/>
        <w:ind w:right="445" w:firstLine="649"/>
        <w:sectPr>
          <w:footerReference w:type="default" r:id="rId12"/>
          <w:pgSz w:w="11900" w:h="16830"/>
          <w:pgMar w:top="1430" w:right="1785" w:bottom="2330" w:left="1720" w:header="0" w:footer="1968" w:gutter="0"/>
          <w:pgNumType w:start="19"/>
          <w:cols w:space="708"/>
        </w:sectPr>
      </w:pPr>
      <w:r>
        <w:rPr>
          <w:spacing w:val="4"/>
        </w:rPr>
        <w:t>于空白大黄鱼、大菱鲜、刺参、海带、南美白对虾及四</w:t>
      </w:r>
      <w:r>
        <w:rPr>
          <w:spacing w:val="2"/>
        </w:rPr>
        <w:t xml:space="preserve"> </w:t>
      </w:r>
      <w:r>
        <w:rPr>
          <w:spacing w:val="5"/>
        </w:rPr>
        <w:t>角蛤蜊样品中加入金刚烷胺及其内标溶液，进行回收率</w:t>
      </w:r>
      <w:r>
        <w:rPr>
          <w:spacing w:val="4"/>
        </w:rPr>
        <w:t>和精</w:t>
      </w:r>
      <w:r>
        <w:t xml:space="preserve"> </w:t>
      </w:r>
    </w:p>
    <w:p>
      <w:pPr>
        <w:pStyle w:val="BodyText"/>
        <w:spacing w:before="263" w:line="355" w:lineRule="auto"/>
        <w:ind w:right="445" w:firstLine="649"/>
      </w:pPr>
      <w:r>
        <w:rPr>
          <w:spacing w:val="4"/>
        </w:rPr>
        <w:t>密度实验，每个浓度样品平行测定6次，测定3个批次，检测</w:t>
      </w:r>
      <w:r>
        <w:rPr>
          <w:spacing w:val="1"/>
        </w:rPr>
        <w:t xml:space="preserve"> </w:t>
      </w:r>
      <w:r>
        <w:rPr>
          <w:spacing w:val="4"/>
        </w:rPr>
        <w:t>结果见表6。以大菱鲜为例，金刚烷胺标准溶液、空白大菱</w:t>
      </w:r>
    </w:p>
    <w:p>
      <w:pPr>
        <w:pStyle w:val="BodyText"/>
        <w:spacing w:before="1" w:line="219" w:lineRule="auto"/>
      </w:pPr>
      <w:r>
        <w:rPr>
          <w:spacing w:val="3"/>
        </w:rPr>
        <w:t>鲜及空白大菱鲜样品中添加金刚烷胺总离子流图如图</w:t>
      </w:r>
      <w:r>
        <w:rPr>
          <w:spacing w:val="2"/>
        </w:rPr>
        <w:t>9、10、</w:t>
      </w:r>
    </w:p>
    <w:p>
      <w:pPr>
        <w:spacing w:line="219" w:lineRule="auto"/>
        <w:sectPr>
          <w:footerReference w:type="default" r:id="rId13"/>
          <w:type w:val="nextPage"/>
          <w:pgSz w:w="11900" w:h="16830"/>
          <w:pgMar w:top="1430" w:right="1785" w:bottom="2330" w:left="1720" w:header="0" w:footer="1968" w:gutter="0"/>
          <w:pgNumType w:start="20"/>
          <w:cols w:space="708"/>
          <w:titlePg w:val="0"/>
        </w:sectPr>
      </w:pPr>
    </w:p>
    <w:p>
      <w:pPr>
        <w:pStyle w:val="BodyText"/>
        <w:spacing w:before="312" w:line="575" w:lineRule="exact"/>
        <w:ind w:left="2045"/>
        <w:rPr>
          <w:rFonts w:ascii="SimSun" w:eastAsia="SimSun" w:hAnsi="SimSun" w:cs="SimSun"/>
        </w:rPr>
      </w:pPr>
      <w:r>
        <w:rPr>
          <w:spacing w:val="-15"/>
          <w:position w:val="20"/>
        </w:rPr>
        <w:t>结果分析如下：在鱼类中，金刚烷胺在10μ</w:t>
      </w:r>
      <w:r>
        <w:rPr>
          <w:rFonts w:ascii="SimSun" w:eastAsia="SimSun" w:hAnsi="SimSun" w:cs="SimSun"/>
          <w:spacing w:val="-15"/>
          <w:position w:val="20"/>
        </w:rPr>
        <w:t>g/kg、50μg/kg</w:t>
      </w:r>
    </w:p>
    <w:p>
      <w:pPr>
        <w:pStyle w:val="BodyText"/>
        <w:spacing w:line="212" w:lineRule="auto"/>
        <w:ind w:left="1315"/>
      </w:pPr>
      <w:r>
        <w:rPr>
          <w:spacing w:val="3"/>
        </w:rPr>
        <w:t>和100μ</w:t>
      </w:r>
      <w:r>
        <w:rPr>
          <w:rFonts w:ascii="Times New Roman" w:eastAsia="Times New Roman" w:hAnsi="Times New Roman" w:cs="Times New Roman"/>
          <w:spacing w:val="3"/>
        </w:rPr>
        <w:t>g/</w:t>
      </w:r>
      <w:r>
        <w:rPr>
          <w:rFonts w:ascii="Times New Roman" w:eastAsia="Times New Roman" w:hAnsi="Times New Roman" w:cs="Times New Roman"/>
        </w:rPr>
        <w:t>kg</w:t>
      </w:r>
      <w:r>
        <w:rPr>
          <w:spacing w:val="3"/>
        </w:rPr>
        <w:t>添加浓度下，平均回收率在91.5%-96.7%之间，</w:t>
      </w:r>
    </w:p>
    <w:p>
      <w:pPr>
        <w:pStyle w:val="BodyText"/>
        <w:spacing w:before="242" w:line="354" w:lineRule="auto"/>
        <w:ind w:left="1315" w:right="1256"/>
      </w:pPr>
      <w:r>
        <w:rPr>
          <w:spacing w:val="18"/>
        </w:rPr>
        <w:t>批内标准偏差在1.34%-4.07%之间，批间相对标准偏差在</w:t>
      </w:r>
      <w:r>
        <w:rPr>
          <w:spacing w:val="1"/>
        </w:rPr>
        <w:t xml:space="preserve"> </w:t>
      </w:r>
      <w:r>
        <w:rPr>
          <w:spacing w:val="-7"/>
        </w:rPr>
        <w:t>2.47%-3.50%之间；在刺参中，</w:t>
      </w:r>
      <w:r>
        <w:rPr>
          <w:spacing w:val="-8"/>
        </w:rPr>
        <w:t>金刚烷胺在10μ</w:t>
      </w:r>
      <w:r>
        <w:rPr>
          <w:rFonts w:ascii="SimSun" w:eastAsia="SimSun" w:hAnsi="SimSun" w:cs="SimSun"/>
          <w:spacing w:val="-8"/>
        </w:rPr>
        <w:t>g/kg、50μg/kg</w:t>
      </w:r>
      <w:r>
        <w:rPr>
          <w:rFonts w:ascii="SimSun" w:eastAsia="SimSun" w:hAnsi="SimSun" w:cs="SimSun"/>
        </w:rPr>
        <w:t xml:space="preserve"> </w:t>
      </w:r>
      <w:r>
        <w:rPr>
          <w:spacing w:val="4"/>
        </w:rPr>
        <w:t>和100μ</w:t>
      </w:r>
      <w:r>
        <w:rPr>
          <w:rFonts w:ascii="Times New Roman" w:eastAsia="Times New Roman" w:hAnsi="Times New Roman" w:cs="Times New Roman"/>
          <w:spacing w:val="4"/>
        </w:rPr>
        <w:t>g/</w:t>
      </w:r>
      <w:r>
        <w:rPr>
          <w:rFonts w:ascii="Times New Roman" w:eastAsia="Times New Roman" w:hAnsi="Times New Roman" w:cs="Times New Roman"/>
        </w:rPr>
        <w:t>kg</w:t>
      </w:r>
      <w:r>
        <w:rPr>
          <w:spacing w:val="4"/>
        </w:rPr>
        <w:t>添加浓度下，平均回收率在92.7%-9</w:t>
      </w:r>
      <w:r>
        <w:rPr>
          <w:spacing w:val="3"/>
        </w:rPr>
        <w:t>5.7%之间，</w:t>
      </w:r>
      <w:r>
        <w:t xml:space="preserve"> </w:t>
      </w:r>
      <w:r>
        <w:rPr>
          <w:spacing w:val="18"/>
        </w:rPr>
        <w:t>批内标准偏差在1.77%-4.19%之间，批间相对标准偏差在</w:t>
      </w:r>
      <w:r>
        <w:rPr>
          <w:spacing w:val="1"/>
        </w:rPr>
        <w:t xml:space="preserve"> </w:t>
      </w:r>
      <w:r>
        <w:rPr>
          <w:spacing w:val="-3"/>
        </w:rPr>
        <w:t>2.93%-3.40%之间；在海带中，金刚烷</w:t>
      </w:r>
      <w:r>
        <w:rPr>
          <w:spacing w:val="-4"/>
        </w:rPr>
        <w:t>胺在10μ</w:t>
      </w:r>
      <w:r>
        <w:rPr>
          <w:rFonts w:ascii="Times New Roman" w:eastAsia="Times New Roman" w:hAnsi="Times New Roman" w:cs="Times New Roman"/>
          <w:spacing w:val="-4"/>
        </w:rPr>
        <w:t>g/kg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rPr>
          <w:rFonts w:ascii="SimSun" w:eastAsia="SimSun" w:hAnsi="SimSun" w:cs="SimSun"/>
          <w:spacing w:val="-4"/>
        </w:rPr>
        <w:t>、</w:t>
      </w:r>
      <w:r>
        <w:rPr>
          <w:rFonts w:ascii="Times New Roman" w:eastAsia="Times New Roman" w:hAnsi="Times New Roman" w:cs="Times New Roman"/>
          <w:spacing w:val="-4"/>
        </w:rPr>
        <w:t>50μg/kg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spacing w:val="3"/>
        </w:rPr>
        <w:t>和100μ</w:t>
      </w:r>
      <w:r>
        <w:rPr>
          <w:rFonts w:ascii="Times New Roman" w:eastAsia="Times New Roman" w:hAnsi="Times New Roman" w:cs="Times New Roman"/>
          <w:spacing w:val="3"/>
        </w:rPr>
        <w:t>g/</w:t>
      </w:r>
      <w:r>
        <w:rPr>
          <w:rFonts w:ascii="Times New Roman" w:eastAsia="Times New Roman" w:hAnsi="Times New Roman" w:cs="Times New Roman"/>
        </w:rPr>
        <w:t>kg</w:t>
      </w:r>
      <w:r>
        <w:rPr>
          <w:spacing w:val="3"/>
        </w:rPr>
        <w:t>添加浓度下，平均回收率在92.4%-9</w:t>
      </w:r>
      <w:r>
        <w:rPr>
          <w:spacing w:val="2"/>
        </w:rPr>
        <w:t>6.2%之间，</w:t>
      </w:r>
      <w:r>
        <w:rPr>
          <w:spacing w:val="2"/>
        </w:rPr>
        <w:t xml:space="preserve"> </w:t>
      </w:r>
      <w:r>
        <w:rPr>
          <w:spacing w:val="18"/>
        </w:rPr>
        <w:t>批内标准偏差在1.67%-3.93%之间，批间相对标准偏差在</w:t>
      </w:r>
      <w:r>
        <w:rPr>
          <w:spacing w:val="1"/>
        </w:rPr>
        <w:t xml:space="preserve"> </w:t>
      </w:r>
      <w:r>
        <w:rPr>
          <w:spacing w:val="-7"/>
        </w:rPr>
        <w:t>2.15%-3.34%之间；在虾类中，</w:t>
      </w:r>
      <w:r>
        <w:rPr>
          <w:spacing w:val="-8"/>
        </w:rPr>
        <w:t>金刚烷胺在10μ</w:t>
      </w:r>
      <w:r>
        <w:rPr>
          <w:rFonts w:ascii="SimSun" w:eastAsia="SimSun" w:hAnsi="SimSun" w:cs="SimSun"/>
          <w:spacing w:val="-8"/>
        </w:rPr>
        <w:t>g/kg、50μg/kg</w:t>
      </w:r>
      <w:r>
        <w:rPr>
          <w:rFonts w:ascii="SimSun" w:eastAsia="SimSun" w:hAnsi="SimSun" w:cs="SimSun"/>
        </w:rPr>
        <w:t xml:space="preserve"> </w:t>
      </w:r>
      <w:r>
        <w:rPr>
          <w:spacing w:val="2"/>
        </w:rPr>
        <w:t>和100μ</w:t>
      </w:r>
      <w:r>
        <w:rPr>
          <w:rFonts w:ascii="SimSun" w:eastAsia="SimSun" w:hAnsi="SimSun" w:cs="SimSun"/>
          <w:spacing w:val="2"/>
        </w:rPr>
        <w:t>g/</w:t>
      </w:r>
      <w:r>
        <w:rPr>
          <w:rFonts w:ascii="SimSun" w:eastAsia="SimSun" w:hAnsi="SimSun" w:cs="SimSun"/>
        </w:rPr>
        <w:t>kg</w:t>
      </w:r>
      <w:r>
        <w:rPr>
          <w:spacing w:val="2"/>
        </w:rPr>
        <w:t>添加浓度下，平均回收率在93.3%-9</w:t>
      </w:r>
      <w:r>
        <w:rPr>
          <w:spacing w:val="1"/>
        </w:rPr>
        <w:t>5.4%之间，</w:t>
      </w:r>
      <w:r>
        <w:t xml:space="preserve"> </w:t>
      </w:r>
      <w:r>
        <w:rPr>
          <w:spacing w:val="18"/>
        </w:rPr>
        <w:t>批内标准偏差在2.23%-4.60%之间，批间相对标准偏差在</w:t>
      </w:r>
      <w:r>
        <w:rPr>
          <w:spacing w:val="1"/>
        </w:rPr>
        <w:t xml:space="preserve"> </w:t>
      </w:r>
      <w:r>
        <w:rPr>
          <w:spacing w:val="-3"/>
        </w:rPr>
        <w:t>2.71%-3.31%之间；在贝类中，金刚烷胺在10μ</w:t>
      </w:r>
      <w:r>
        <w:rPr>
          <w:rFonts w:ascii="Times New Roman" w:eastAsia="Times New Roman" w:hAnsi="Times New Roman" w:cs="Times New Roman"/>
          <w:spacing w:val="-3"/>
        </w:rPr>
        <w:t>g/kg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rPr>
          <w:rFonts w:ascii="SimSun" w:eastAsia="SimSun" w:hAnsi="SimSun" w:cs="SimSun"/>
          <w:spacing w:val="-3"/>
        </w:rPr>
        <w:t>、</w:t>
      </w:r>
      <w:r>
        <w:rPr>
          <w:rFonts w:ascii="Times New Roman" w:eastAsia="Times New Roman" w:hAnsi="Times New Roman" w:cs="Times New Roman"/>
          <w:spacing w:val="-4"/>
        </w:rPr>
        <w:t>50μg/kg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spacing w:val="4"/>
        </w:rPr>
        <w:t>和100μ</w:t>
      </w:r>
      <w:r>
        <w:rPr>
          <w:rFonts w:ascii="Times New Roman" w:eastAsia="Times New Roman" w:hAnsi="Times New Roman" w:cs="Times New Roman"/>
          <w:spacing w:val="4"/>
        </w:rPr>
        <w:t>g/</w:t>
      </w:r>
      <w:r>
        <w:rPr>
          <w:rFonts w:ascii="Times New Roman" w:eastAsia="Times New Roman" w:hAnsi="Times New Roman" w:cs="Times New Roman"/>
        </w:rPr>
        <w:t>kg</w:t>
      </w:r>
      <w:r>
        <w:rPr>
          <w:spacing w:val="4"/>
        </w:rPr>
        <w:t>添加浓度下，平均回收率在85.0%-9</w:t>
      </w:r>
      <w:r>
        <w:rPr>
          <w:spacing w:val="3"/>
        </w:rPr>
        <w:t>2.0%之间，</w:t>
      </w:r>
      <w:r>
        <w:t xml:space="preserve"> </w:t>
      </w:r>
      <w:r>
        <w:rPr>
          <w:spacing w:val="18"/>
        </w:rPr>
        <w:t>批内标准偏差在3.47%-7.25%之间，批间相对标准偏差在</w:t>
      </w:r>
      <w:r>
        <w:rPr>
          <w:spacing w:val="1"/>
        </w:rPr>
        <w:t xml:space="preserve"> </w:t>
      </w:r>
      <w:r>
        <w:rPr>
          <w:spacing w:val="8"/>
        </w:rPr>
        <w:t>4.25%-6.38%之间；金刚烷胺在上述海洋生物体中的回收率</w:t>
      </w:r>
      <w:r>
        <w:rPr>
          <w:spacing w:val="17"/>
        </w:rPr>
        <w:t xml:space="preserve"> </w:t>
      </w:r>
      <w:r>
        <w:rPr>
          <w:spacing w:val="19"/>
        </w:rPr>
        <w:t>均在70%-120%,批内相对标准偏差及批间相对标准偏差均</w:t>
      </w:r>
    </w:p>
    <w:p>
      <w:pPr>
        <w:pStyle w:val="BodyText"/>
        <w:spacing w:line="224" w:lineRule="auto"/>
        <w:ind w:left="1315"/>
      </w:pPr>
      <w:r>
        <w:rPr>
          <w:spacing w:val="11"/>
        </w:rPr>
        <w:t>小于15%。</w:t>
      </w:r>
    </w:p>
    <w:p>
      <w:pPr>
        <w:pStyle w:val="BodyText"/>
        <w:spacing w:before="209" w:line="221" w:lineRule="auto"/>
        <w:ind w:left="1925"/>
      </w:pPr>
      <w:r>
        <w:rPr>
          <w:spacing w:val="4"/>
        </w:rPr>
        <w:t>表6</w:t>
      </w:r>
      <w:r>
        <w:rPr>
          <w:spacing w:val="4"/>
        </w:rPr>
        <w:t xml:space="preserve"> </w:t>
      </w:r>
      <w:r>
        <w:rPr>
          <w:spacing w:val="4"/>
        </w:rPr>
        <w:t>海洋生物体中金刚烷胺回收率及精密度试验结果</w:t>
      </w:r>
    </w:p>
    <w:p>
      <w:pPr>
        <w:spacing w:line="88" w:lineRule="auto"/>
        <w:rPr>
          <w:rFonts w:ascii="Arial"/>
          <w:sz w:val="2"/>
        </w:rPr>
      </w:pPr>
    </w:p>
    <w:tbl>
      <w:tblPr>
        <w:tblStyle w:val="TableNormal2"/>
        <w:tblW w:w="105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425"/>
        <w:gridCol w:w="1089"/>
        <w:gridCol w:w="919"/>
        <w:gridCol w:w="889"/>
        <w:gridCol w:w="889"/>
        <w:gridCol w:w="880"/>
        <w:gridCol w:w="899"/>
        <w:gridCol w:w="889"/>
        <w:gridCol w:w="889"/>
        <w:gridCol w:w="919"/>
        <w:gridCol w:w="919"/>
        <w:gridCol w:w="914"/>
      </w:tblGrid>
      <w:tr>
        <w:tblPrEx>
          <w:tblW w:w="1052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901"/>
        </w:trPr>
        <w:tc>
          <w:tcPr>
            <w:tcW w:w="425" w:type="dxa"/>
            <w:textDirection w:val="tbRlV"/>
            <w:vAlign w:val="top"/>
          </w:tcPr>
          <w:p>
            <w:pPr>
              <w:pStyle w:val="TableText"/>
              <w:spacing w:before="99" w:line="217" w:lineRule="auto"/>
              <w:ind w:left="6"/>
            </w:pPr>
            <w:r>
              <w:t>目</w:t>
            </w:r>
            <w:r>
              <w:rPr>
                <w:spacing w:val="32"/>
              </w:rPr>
              <w:t xml:space="preserve"> </w:t>
            </w:r>
            <w:r>
              <w:t>标</w:t>
            </w:r>
            <w:r>
              <w:rPr>
                <w:spacing w:val="32"/>
              </w:rPr>
              <w:t xml:space="preserve"> </w:t>
            </w:r>
            <w:r>
              <w:t>物</w:t>
            </w:r>
          </w:p>
        </w:tc>
        <w:tc>
          <w:tcPr>
            <w:tcW w:w="108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330"/>
            </w:pPr>
            <w:r>
              <w:rPr>
                <w:spacing w:val="11"/>
              </w:rPr>
              <w:t>基质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65" w:line="221" w:lineRule="auto"/>
              <w:ind w:left="151"/>
            </w:pPr>
            <w:r>
              <w:rPr>
                <w:spacing w:val="-3"/>
              </w:rPr>
              <w:t>添加浓</w:t>
            </w:r>
          </w:p>
          <w:p>
            <w:pPr>
              <w:pStyle w:val="TableText"/>
              <w:spacing w:before="58" w:line="220" w:lineRule="auto"/>
              <w:ind w:left="351"/>
            </w:pPr>
            <w:r>
              <w:t>度</w:t>
            </w:r>
          </w:p>
          <w:p>
            <w:pPr>
              <w:pStyle w:val="TableText"/>
              <w:spacing w:before="83" w:line="189" w:lineRule="auto"/>
              <w:ind w:left="51"/>
            </w:pPr>
            <w:r>
              <w:rPr>
                <w:spacing w:val="-6"/>
              </w:rPr>
              <w:t>(μg/kg)</w:t>
            </w:r>
          </w:p>
        </w:tc>
        <w:tc>
          <w:tcPr>
            <w:tcW w:w="5335" w:type="dxa"/>
            <w:gridSpan w:val="6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2222"/>
            </w:pPr>
            <w:r>
              <w:rPr>
                <w:spacing w:val="7"/>
              </w:rPr>
              <w:t>回收率(%)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63" w:line="248" w:lineRule="auto"/>
              <w:ind w:left="107" w:right="130" w:firstLine="49"/>
            </w:pPr>
            <w:r>
              <w:rPr>
                <w:spacing w:val="7"/>
              </w:rPr>
              <w:t>平均回</w:t>
            </w:r>
            <w:r>
              <w:t xml:space="preserve"> </w:t>
            </w:r>
            <w:r>
              <w:rPr>
                <w:spacing w:val="4"/>
              </w:rPr>
              <w:t>收率</w:t>
            </w:r>
          </w:p>
          <w:p>
            <w:pPr>
              <w:pStyle w:val="TableText"/>
              <w:spacing w:before="45" w:line="222" w:lineRule="auto"/>
              <w:ind w:left="187"/>
            </w:pPr>
            <w:r>
              <w:rPr>
                <w:spacing w:val="-10"/>
              </w:rPr>
              <w:t>(%)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212" w:line="265" w:lineRule="auto"/>
              <w:ind w:left="158" w:right="157" w:firstLine="100"/>
            </w:pPr>
            <w:r>
              <w:rPr>
                <w:spacing w:val="13"/>
              </w:rPr>
              <w:t>批内</w:t>
            </w:r>
            <w:r>
              <w:t xml:space="preserve"> </w:t>
            </w:r>
            <w:r>
              <w:rPr>
                <w:spacing w:val="-2"/>
              </w:rPr>
              <w:t>RSD(%)</w:t>
            </w:r>
          </w:p>
        </w:tc>
        <w:tc>
          <w:tcPr>
            <w:tcW w:w="914" w:type="dxa"/>
            <w:vAlign w:val="top"/>
          </w:tcPr>
          <w:p>
            <w:pPr>
              <w:pStyle w:val="TableText"/>
              <w:spacing w:before="215" w:line="259" w:lineRule="auto"/>
              <w:ind w:left="149" w:right="161" w:firstLine="100"/>
            </w:pPr>
            <w:r>
              <w:rPr>
                <w:spacing w:val="9"/>
              </w:rPr>
              <w:t>批间</w:t>
            </w:r>
            <w:r>
              <w:t xml:space="preserve"> </w:t>
            </w:r>
            <w:r>
              <w:rPr>
                <w:spacing w:val="-2"/>
              </w:rPr>
              <w:t>RSD(%)</w:t>
            </w:r>
          </w:p>
        </w:tc>
      </w:tr>
      <w:tr>
        <w:tblPrEx>
          <w:tblW w:w="10520" w:type="dxa"/>
          <w:tblInd w:w="5" w:type="dxa"/>
          <w:tblLayout w:type="fixed"/>
        </w:tblPrEx>
        <w:trPr>
          <w:trHeight w:val="309"/>
        </w:trPr>
        <w:tc>
          <w:tcPr>
            <w:tcW w:w="42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09" w:line="217" w:lineRule="auto"/>
              <w:ind w:left="74"/>
            </w:pPr>
            <w:r>
              <w:rPr>
                <w:spacing w:val="1"/>
              </w:rPr>
              <w:t>金 刚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烷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胺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79"/>
            </w:pPr>
            <w:r>
              <w:rPr>
                <w:spacing w:val="5"/>
              </w:rPr>
              <w:t>大黄鱼1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2" w:line="172" w:lineRule="auto"/>
              <w:ind w:left="351"/>
            </w:pPr>
            <w:r>
              <w:rPr>
                <w:spacing w:val="-6"/>
              </w:rPr>
              <w:t>10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3" w:line="171" w:lineRule="auto"/>
              <w:ind w:left="232"/>
            </w:pPr>
            <w:r>
              <w:rPr>
                <w:spacing w:val="-2"/>
              </w:rPr>
              <w:t>89.8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3" w:line="171" w:lineRule="auto"/>
              <w:ind w:left="233"/>
            </w:pPr>
            <w:r>
              <w:rPr>
                <w:spacing w:val="-2"/>
              </w:rPr>
              <w:t>93.3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spacing w:before="113" w:line="171" w:lineRule="auto"/>
              <w:ind w:left="234"/>
            </w:pPr>
            <w:r>
              <w:rPr>
                <w:spacing w:val="-2"/>
              </w:rPr>
              <w:t>96.5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spacing w:before="112" w:line="172" w:lineRule="auto"/>
              <w:ind w:left="244"/>
            </w:pPr>
            <w:r>
              <w:rPr>
                <w:spacing w:val="-2"/>
              </w:rPr>
              <w:t>91.9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3" w:line="171" w:lineRule="auto"/>
              <w:ind w:left="235"/>
            </w:pPr>
            <w:r>
              <w:rPr>
                <w:spacing w:val="-2"/>
              </w:rPr>
              <w:t>98.0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2" w:line="172" w:lineRule="auto"/>
              <w:ind w:left="236"/>
            </w:pPr>
            <w:r>
              <w:rPr>
                <w:spacing w:val="-2"/>
              </w:rPr>
              <w:t>96.1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3" w:line="171" w:lineRule="auto"/>
              <w:ind w:left="256"/>
            </w:pPr>
            <w:r>
              <w:rPr>
                <w:spacing w:val="-2"/>
              </w:rPr>
              <w:t>94.3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2" w:line="172" w:lineRule="auto"/>
              <w:ind w:left="208"/>
            </w:pPr>
            <w:r>
              <w:rPr>
                <w:spacing w:val="-3"/>
              </w:rPr>
              <w:t>3.31%</w:t>
            </w:r>
          </w:p>
        </w:tc>
        <w:tc>
          <w:tcPr>
            <w:tcW w:w="914" w:type="dxa"/>
            <w:vMerge w:val="restart"/>
            <w:tcBorders>
              <w:bottom w:val="nil"/>
            </w:tcBorders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3" w:lineRule="auto"/>
              <w:ind w:left="199"/>
            </w:pPr>
            <w:r>
              <w:rPr>
                <w:spacing w:val="-3"/>
              </w:rPr>
              <w:t>3.50%</w:t>
            </w:r>
          </w:p>
        </w:tc>
      </w:tr>
      <w:tr>
        <w:tblPrEx>
          <w:tblW w:w="10520" w:type="dxa"/>
          <w:tblInd w:w="5" w:type="dxa"/>
          <w:tblLayout w:type="fixed"/>
        </w:tblPrEx>
        <w:trPr>
          <w:trHeight w:val="308"/>
        </w:trPr>
        <w:tc>
          <w:tcPr>
            <w:tcW w:w="42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3" w:line="170" w:lineRule="auto"/>
              <w:ind w:left="351"/>
            </w:pPr>
            <w:r>
              <w:rPr>
                <w:spacing w:val="-6"/>
              </w:rPr>
              <w:t>10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4" w:line="169" w:lineRule="auto"/>
              <w:ind w:left="232"/>
            </w:pPr>
            <w:r>
              <w:rPr>
                <w:spacing w:val="-2"/>
              </w:rPr>
              <w:t>98.5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4" w:line="169" w:lineRule="auto"/>
              <w:ind w:left="233"/>
            </w:pPr>
            <w:r>
              <w:rPr>
                <w:spacing w:val="-2"/>
              </w:rPr>
              <w:t>89.6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spacing w:before="114" w:line="169" w:lineRule="auto"/>
              <w:ind w:left="234"/>
            </w:pPr>
            <w:r>
              <w:rPr>
                <w:spacing w:val="-2"/>
              </w:rPr>
              <w:t>97.2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spacing w:before="113" w:line="170" w:lineRule="auto"/>
              <w:ind w:left="244"/>
            </w:pPr>
            <w:r>
              <w:rPr>
                <w:spacing w:val="-2"/>
              </w:rPr>
              <w:t>90.1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4" w:line="169" w:lineRule="auto"/>
              <w:ind w:left="235"/>
            </w:pPr>
            <w:r>
              <w:rPr>
                <w:spacing w:val="-2"/>
              </w:rPr>
              <w:t>95.9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3" w:line="170" w:lineRule="auto"/>
              <w:ind w:left="236"/>
            </w:pPr>
            <w:r>
              <w:rPr>
                <w:spacing w:val="-2"/>
              </w:rPr>
              <w:t>93.1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3" w:line="170" w:lineRule="auto"/>
              <w:ind w:left="256"/>
            </w:pPr>
            <w:r>
              <w:rPr>
                <w:spacing w:val="-2"/>
              </w:rPr>
              <w:t>94.1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4" w:line="169" w:lineRule="auto"/>
              <w:ind w:left="208"/>
            </w:pPr>
            <w:r>
              <w:rPr>
                <w:spacing w:val="-3"/>
              </w:rPr>
              <w:t>3.96%</w:t>
            </w:r>
          </w:p>
        </w:tc>
        <w:tc>
          <w:tcPr>
            <w:tcW w:w="91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0520" w:type="dxa"/>
          <w:tblInd w:w="5" w:type="dxa"/>
          <w:tblLayout w:type="fixed"/>
        </w:tblPrEx>
        <w:trPr>
          <w:trHeight w:val="308"/>
        </w:trPr>
        <w:tc>
          <w:tcPr>
            <w:tcW w:w="42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6" w:line="168" w:lineRule="auto"/>
              <w:ind w:left="351"/>
            </w:pPr>
            <w:r>
              <w:rPr>
                <w:spacing w:val="-6"/>
              </w:rPr>
              <w:t>10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6" w:line="168" w:lineRule="auto"/>
              <w:ind w:left="232"/>
            </w:pPr>
            <w:r>
              <w:rPr>
                <w:spacing w:val="-2"/>
              </w:rPr>
              <w:t>89.1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7" w:line="167" w:lineRule="auto"/>
              <w:ind w:left="233"/>
            </w:pPr>
            <w:r>
              <w:rPr>
                <w:spacing w:val="-2"/>
              </w:rPr>
              <w:t>96.6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spacing w:before="117" w:line="167" w:lineRule="auto"/>
              <w:ind w:left="234"/>
            </w:pPr>
            <w:r>
              <w:rPr>
                <w:spacing w:val="-2"/>
              </w:rPr>
              <w:t>98.7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spacing w:before="117" w:line="167" w:lineRule="auto"/>
              <w:ind w:left="244"/>
            </w:pPr>
            <w:r>
              <w:rPr>
                <w:spacing w:val="-2"/>
              </w:rPr>
              <w:t>98.3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7" w:line="167" w:lineRule="auto"/>
              <w:ind w:left="235"/>
            </w:pPr>
            <w:r>
              <w:rPr>
                <w:spacing w:val="-2"/>
              </w:rPr>
              <w:t>94.3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7" w:line="167" w:lineRule="auto"/>
              <w:ind w:left="236"/>
            </w:pPr>
            <w:r>
              <w:rPr>
                <w:spacing w:val="-2"/>
              </w:rPr>
              <w:t>95.3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7" w:line="167" w:lineRule="auto"/>
              <w:ind w:left="256"/>
            </w:pPr>
            <w:r>
              <w:rPr>
                <w:spacing w:val="-2"/>
              </w:rPr>
              <w:t>95.4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7" w:line="167" w:lineRule="auto"/>
              <w:ind w:left="208"/>
            </w:pPr>
            <w:r>
              <w:rPr>
                <w:spacing w:val="-3"/>
              </w:rPr>
              <w:t>3.68%</w:t>
            </w:r>
          </w:p>
        </w:tc>
        <w:tc>
          <w:tcPr>
            <w:tcW w:w="91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0520" w:type="dxa"/>
          <w:tblInd w:w="5" w:type="dxa"/>
          <w:tblLayout w:type="fixed"/>
        </w:tblPrEx>
        <w:trPr>
          <w:trHeight w:val="314"/>
        </w:trPr>
        <w:tc>
          <w:tcPr>
            <w:tcW w:w="425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>
            <w:pPr>
              <w:pStyle w:val="TableText"/>
              <w:spacing w:before="66" w:line="219" w:lineRule="auto"/>
              <w:ind w:left="179"/>
            </w:pPr>
            <w:r>
              <w:rPr>
                <w:spacing w:val="3"/>
              </w:rPr>
              <w:t>大黄鱼2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8" w:line="171" w:lineRule="auto"/>
              <w:ind w:left="351"/>
            </w:pPr>
            <w:r>
              <w:rPr>
                <w:spacing w:val="-3"/>
              </w:rPr>
              <w:t>50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7" w:line="172" w:lineRule="auto"/>
              <w:ind w:left="232"/>
            </w:pPr>
            <w:r>
              <w:rPr>
                <w:spacing w:val="-2"/>
              </w:rPr>
              <w:t>91.4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8" w:line="171" w:lineRule="auto"/>
              <w:ind w:left="233"/>
            </w:pPr>
            <w:r>
              <w:rPr>
                <w:spacing w:val="-2"/>
              </w:rPr>
              <w:t>92.7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spacing w:before="117" w:line="172" w:lineRule="auto"/>
              <w:ind w:left="234"/>
            </w:pPr>
            <w:r>
              <w:rPr>
                <w:spacing w:val="-2"/>
              </w:rPr>
              <w:t>91.7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spacing w:before="118" w:line="171" w:lineRule="auto"/>
              <w:ind w:left="244"/>
            </w:pPr>
            <w:r>
              <w:rPr>
                <w:spacing w:val="-2"/>
              </w:rPr>
              <w:t>89.6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8" w:line="171" w:lineRule="auto"/>
              <w:ind w:left="235"/>
            </w:pPr>
            <w:r>
              <w:rPr>
                <w:spacing w:val="-2"/>
              </w:rPr>
              <w:t>92.3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118" w:line="171" w:lineRule="auto"/>
              <w:ind w:left="236"/>
            </w:pPr>
            <w:r>
              <w:rPr>
                <w:spacing w:val="-2"/>
              </w:rPr>
              <w:t>93.0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7" w:line="172" w:lineRule="auto"/>
              <w:ind w:left="256"/>
            </w:pPr>
            <w:r>
              <w:rPr>
                <w:spacing w:val="-2"/>
              </w:rPr>
              <w:t>91.8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  <w:spacing w:before="117" w:line="172" w:lineRule="auto"/>
              <w:ind w:left="208"/>
            </w:pPr>
            <w:r>
              <w:rPr>
                <w:spacing w:val="-5"/>
              </w:rPr>
              <w:t>1.34%</w:t>
            </w:r>
          </w:p>
        </w:tc>
        <w:tc>
          <w:tcPr>
            <w:tcW w:w="914" w:type="dxa"/>
            <w:vAlign w:val="top"/>
          </w:tcPr>
          <w:p>
            <w:pPr>
              <w:pStyle w:val="TableText"/>
              <w:spacing w:before="118" w:line="171" w:lineRule="auto"/>
              <w:ind w:left="199"/>
            </w:pPr>
            <w:r>
              <w:rPr>
                <w:spacing w:val="-3"/>
              </w:rPr>
              <w:t>2.47%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https://d.book118.com/845001013141011040</w:t>
        </w:r>
      </w:hyperlink>
    </w:p>
    <w:p>
      <w:pPr>
        <w:rPr>
          <w:rFonts w:ascii="Arial" w:eastAsia="Arial" w:hAnsi="Arial" w:cs="Arial"/>
          <w:sz w:val="21"/>
          <w:szCs w:val="21"/>
        </w:rPr>
      </w:pPr>
    </w:p>
    <w:sectPr>
      <w:footerReference w:type="default" r:id="rId15"/>
      <w:pgSz w:w="11900" w:h="16830"/>
      <w:pgMar w:top="1430" w:right="944" w:bottom="400" w:left="424" w:header="0" w:footer="0" w:gutter="0"/>
      <w:pgNumType w:start="2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6" w:lineRule="auto"/>
    </w:pPr>
    <w:r>
      <w:rPr>
        <w:spacing w:val="-11"/>
      </w:rPr>
      <w:t>11所示。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6" w:lineRule="auto"/>
    </w:pPr>
    <w:r>
      <w:rPr>
        <w:spacing w:val="-11"/>
      </w:rPr>
      <w:t>11所示。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FangSong" w:eastAsia="FangSong" w:hAnsi="FangSong" w:cs="FangSong"/>
      <w:sz w:val="30"/>
      <w:szCs w:val="30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0"/>
      <w:szCs w:val="20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yperlink" Target="https://d.book118.com/845001013141011040" TargetMode="Externa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2024-01-08T14:48:06Z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2024-01-08T14:48:13Z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659b9a9c72a3fa001f129c04wl</vt:lpwstr>
  </property>
</Properties>
</file>