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210" w:firstLineChars="100"/>
      </w:pPr>
      <w:r>
        <w:t xml:space="preserve">  </w:t>
      </w:r>
    </w:p>
    <w:p>
      <w:pPr>
        <w:ind w:firstLine="1280" w:firstLineChars="400"/>
        <w:jc w:val="both"/>
        <w:rPr>
          <w:rFonts w:ascii="宋体" w:hAnsi="宋体"/>
          <w:b/>
          <w:color w:val="000000"/>
          <w:sz w:val="32"/>
          <w:szCs w:val="32"/>
        </w:rPr>
      </w:pPr>
      <w:r>
        <w:rPr>
          <w:rFonts w:ascii="宋体" w:hAnsi="宋体" w:hint="eastAsia"/>
          <w:b/>
          <w:color w:val="000000"/>
          <w:sz w:val="32"/>
          <w:szCs w:val="32"/>
        </w:rPr>
        <w:t>南通职业大学</w:t>
      </w:r>
      <w:r>
        <w:rPr>
          <w:rFonts w:ascii="宋体" w:hAnsi="宋体" w:hint="eastAsia"/>
          <w:b/>
          <w:color w:val="000000"/>
          <w:sz w:val="32"/>
          <w:szCs w:val="32"/>
          <w:lang w:eastAsia="zh-CN"/>
        </w:rPr>
        <w:t>工程类审计咨询公司备选库公开</w:t>
      </w:r>
      <w:r>
        <w:rPr>
          <w:rFonts w:ascii="宋体" w:hAnsi="宋体" w:hint="eastAsia"/>
          <w:b/>
          <w:color w:val="000000"/>
          <w:sz w:val="32"/>
          <w:szCs w:val="32"/>
        </w:rPr>
        <w:t>招标公告</w:t>
      </w:r>
    </w:p>
    <w:p>
      <w:pPr>
        <w:spacing w:line="440" w:lineRule="exact"/>
        <w:ind w:firstLine="617" w:firstLineChars="257"/>
        <w:rPr>
          <w:rFonts w:ascii="宋体" w:hAnsi="宋体" w:hint="eastAsia"/>
          <w:color w:val="000000"/>
          <w:sz w:val="24"/>
        </w:rPr>
      </w:pPr>
    </w:p>
    <w:p>
      <w:pPr>
        <w:spacing w:before="156" w:beforeLines="50" w:line="440" w:lineRule="exact"/>
        <w:rPr>
          <w:rFonts w:ascii="宋体" w:hAnsi="宋体" w:hint="eastAsia"/>
          <w:b/>
          <w:color w:val="000000"/>
          <w:sz w:val="24"/>
        </w:rPr>
      </w:pPr>
      <w:r>
        <w:rPr>
          <w:rFonts w:ascii="宋体" w:hAnsi="宋体" w:hint="eastAsia"/>
          <w:b/>
          <w:color w:val="000000"/>
          <w:sz w:val="24"/>
        </w:rPr>
        <w:t>南通职业大学以公开招标方式采购</w:t>
      </w:r>
      <w:r>
        <w:rPr>
          <w:rFonts w:ascii="宋体" w:hAnsi="宋体" w:hint="eastAsia"/>
          <w:b/>
          <w:color w:val="000000"/>
          <w:sz w:val="24"/>
          <w:lang w:eastAsia="zh-CN"/>
        </w:rPr>
        <w:t>工程类审计咨询公司备选库</w:t>
      </w:r>
      <w:r>
        <w:rPr>
          <w:rFonts w:ascii="宋体" w:hAnsi="宋体" w:hint="eastAsia"/>
          <w:b/>
          <w:color w:val="000000"/>
          <w:sz w:val="24"/>
        </w:rPr>
        <w:t>项目，现公告如下：</w:t>
      </w:r>
    </w:p>
    <w:p>
      <w:pPr>
        <w:spacing w:before="156" w:beforeLines="50" w:line="440" w:lineRule="exact"/>
        <w:rPr>
          <w:rFonts w:ascii="宋体" w:hAnsi="宋体" w:hint="eastAsia"/>
          <w:b/>
          <w:color w:val="000000"/>
          <w:sz w:val="24"/>
        </w:rPr>
      </w:pPr>
      <w:r>
        <w:rPr>
          <w:rFonts w:ascii="宋体" w:hAnsi="宋体" w:hint="eastAsia"/>
          <w:b/>
          <w:color w:val="000000"/>
          <w:sz w:val="24"/>
        </w:rPr>
        <w:t>一．项目名称：</w:t>
      </w:r>
      <w:r>
        <w:rPr>
          <w:rFonts w:ascii="宋体" w:hAnsi="宋体" w:hint="eastAsia"/>
          <w:b/>
          <w:color w:val="000000"/>
          <w:sz w:val="24"/>
          <w:lang w:eastAsia="zh-CN"/>
        </w:rPr>
        <w:t>工程类审计咨询公司备选库</w:t>
      </w:r>
      <w:r>
        <w:rPr>
          <w:rFonts w:ascii="宋体" w:hAnsi="宋体" w:hint="eastAsia"/>
          <w:b/>
          <w:color w:val="000000"/>
          <w:sz w:val="24"/>
        </w:rPr>
        <w:t>项目</w:t>
      </w:r>
    </w:p>
    <w:p>
      <w:pPr>
        <w:spacing w:before="156" w:beforeLines="50" w:line="440" w:lineRule="exact"/>
        <w:rPr>
          <w:rFonts w:ascii="宋体" w:hAnsi="宋体" w:hint="default"/>
          <w:b/>
          <w:color w:val="000000"/>
          <w:sz w:val="24"/>
        </w:rPr>
      </w:pPr>
      <w:r>
        <w:rPr>
          <w:rFonts w:ascii="宋体" w:hAnsi="宋体" w:hint="eastAsia"/>
          <w:b/>
          <w:color w:val="000000"/>
          <w:sz w:val="24"/>
        </w:rPr>
        <w:t>二．项目编号：NTZDCG20</w:t>
      </w:r>
      <w:r>
        <w:rPr>
          <w:rFonts w:ascii="宋体" w:hAnsi="宋体" w:hint="eastAsia"/>
          <w:b/>
          <w:color w:val="000000"/>
          <w:sz w:val="24"/>
          <w:lang w:val="en-US" w:eastAsia="zh-CN"/>
        </w:rPr>
        <w:t>20</w:t>
      </w:r>
      <w:r>
        <w:rPr>
          <w:rFonts w:ascii="宋体" w:hAnsi="宋体" w:hint="eastAsia"/>
          <w:b/>
          <w:color w:val="000000"/>
          <w:sz w:val="24"/>
        </w:rPr>
        <w:t>GK</w:t>
      </w:r>
      <w:r>
        <w:rPr>
          <w:rFonts w:ascii="宋体" w:hAnsi="宋体" w:hint="eastAsia"/>
          <w:b/>
          <w:color w:val="000000"/>
          <w:sz w:val="24"/>
          <w:lang w:val="en-US" w:eastAsia="zh-CN"/>
        </w:rPr>
        <w:t>025</w:t>
      </w:r>
    </w:p>
    <w:p>
      <w:pPr>
        <w:spacing w:before="156" w:beforeLines="50" w:line="440" w:lineRule="exact"/>
        <w:rPr>
          <w:rFonts w:ascii="宋体" w:hAnsi="宋体" w:hint="default"/>
          <w:b/>
          <w:color w:val="000000"/>
          <w:sz w:val="24"/>
        </w:rPr>
      </w:pPr>
      <w:r>
        <w:rPr>
          <w:rFonts w:ascii="宋体" w:hAnsi="宋体" w:hint="eastAsia"/>
          <w:b/>
          <w:color w:val="000000"/>
          <w:sz w:val="24"/>
          <w:lang w:val="en-US" w:eastAsia="zh-CN"/>
        </w:rPr>
        <w:t>三. 服务期限：2020年-2022年</w:t>
      </w:r>
    </w:p>
    <w:p>
      <w:pPr>
        <w:spacing w:before="156" w:beforeLines="50" w:line="440" w:lineRule="exact"/>
        <w:rPr>
          <w:rFonts w:ascii="宋体" w:hAnsi="宋体"/>
          <w:b/>
          <w:color w:val="000000"/>
          <w:sz w:val="24"/>
        </w:rPr>
      </w:pPr>
      <w:r>
        <w:rPr>
          <w:rFonts w:ascii="宋体" w:hAnsi="宋体" w:hint="eastAsia"/>
          <w:b/>
          <w:color w:val="000000"/>
          <w:sz w:val="24"/>
          <w:lang w:eastAsia="zh-CN"/>
        </w:rPr>
        <w:t>四</w:t>
      </w:r>
      <w:r>
        <w:rPr>
          <w:rFonts w:ascii="宋体" w:hAnsi="宋体" w:hint="eastAsia"/>
          <w:b/>
          <w:color w:val="000000"/>
          <w:sz w:val="24"/>
        </w:rPr>
        <w:t xml:space="preserve">．项目预算: </w:t>
      </w:r>
      <w:r>
        <w:rPr>
          <w:rFonts w:ascii="宋体" w:hAnsi="宋体" w:hint="eastAsia"/>
          <w:b/>
          <w:bCs/>
          <w:color w:val="000000"/>
          <w:sz w:val="24"/>
        </w:rPr>
        <w:t>根据最终</w:t>
      </w:r>
      <w:r>
        <w:rPr>
          <w:rFonts w:ascii="宋体" w:hAnsi="宋体" w:hint="eastAsia"/>
          <w:b/>
          <w:bCs/>
          <w:color w:val="000000"/>
          <w:sz w:val="24"/>
          <w:lang w:eastAsia="zh-CN"/>
        </w:rPr>
        <w:t>项目核算</w:t>
      </w:r>
    </w:p>
    <w:p>
      <w:pPr>
        <w:spacing w:before="156" w:beforeLines="50" w:line="440" w:lineRule="exact"/>
        <w:rPr>
          <w:rFonts w:ascii="宋体" w:hAnsi="宋体"/>
          <w:color w:val="000000"/>
          <w:sz w:val="24"/>
        </w:rPr>
      </w:pPr>
      <w:r>
        <w:rPr>
          <w:rFonts w:ascii="宋体" w:hAnsi="宋体" w:hint="eastAsia"/>
          <w:b/>
          <w:color w:val="000000"/>
          <w:sz w:val="24"/>
          <w:lang w:eastAsia="zh-CN"/>
        </w:rPr>
        <w:t>五</w:t>
      </w:r>
      <w:r>
        <w:rPr>
          <w:rFonts w:ascii="宋体" w:hAnsi="宋体" w:hint="eastAsia"/>
          <w:b/>
          <w:color w:val="000000"/>
          <w:sz w:val="24"/>
        </w:rPr>
        <w:t>．投标人资质要求</w:t>
      </w:r>
    </w:p>
    <w:p>
      <w:pPr>
        <w:widowControl/>
        <w:spacing w:line="480" w:lineRule="exact"/>
        <w:ind w:firstLine="240" w:firstLineChars="10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1.符合政府采购法第二十二条第一款规定的条件，并提供下列材料：</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（1）法人或者其他组织的营业执照等证明文件；</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（2）上一年度的财务状况报告（成立不满一年不需提供）；</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（3）依法缴纳税收和社会保障资金的相关材料；</w:t>
      </w:r>
    </w:p>
    <w:p>
      <w:pPr>
        <w:widowControl/>
        <w:spacing w:line="480" w:lineRule="exact"/>
        <w:ind w:firstLine="420"/>
        <w:jc w:val="left"/>
        <w:rPr>
          <w:rFonts w:ascii="宋体" w:hAnsi="宋体" w:hint="eastAsia"/>
          <w:color w:val="000000"/>
          <w:sz w:val="24"/>
          <w:lang w:val="zh-CN"/>
        </w:rPr>
      </w:pPr>
      <w:r>
        <w:rPr>
          <w:rFonts w:ascii="宋体" w:eastAsia="宋体" w:hAnsi="宋体" w:cs="Times New Roman" w:hint="eastAsia"/>
          <w:color w:val="000000"/>
          <w:kern w:val="2"/>
          <w:sz w:val="24"/>
          <w:szCs w:val="24"/>
          <w:lang w:val="en-US" w:eastAsia="zh-CN" w:bidi="ar-SA"/>
        </w:rPr>
        <w:t>（4）具备履行合同所必需的设备和专业技术能力的证明材料；</w:t>
      </w:r>
    </w:p>
    <w:p>
      <w:pPr>
        <w:widowControl/>
        <w:spacing w:line="480" w:lineRule="exact"/>
        <w:ind w:firstLine="420"/>
        <w:jc w:val="left"/>
        <w:rPr>
          <w:rFonts w:ascii="宋体" w:hAnsi="宋体" w:hint="eastAsia"/>
          <w:color w:val="000000"/>
          <w:sz w:val="24"/>
          <w:lang w:val="zh-CN"/>
        </w:rPr>
      </w:pPr>
      <w:r>
        <w:rPr>
          <w:rFonts w:ascii="宋体" w:eastAsia="宋体" w:hAnsi="宋体" w:cs="Times New Roman" w:hint="eastAsia"/>
          <w:color w:val="000000"/>
          <w:kern w:val="2"/>
          <w:sz w:val="24"/>
          <w:szCs w:val="24"/>
          <w:lang w:val="en-US" w:eastAsia="zh-CN" w:bidi="ar-SA"/>
        </w:rPr>
        <w:t>2.</w:t>
      </w:r>
      <w:r>
        <w:rPr>
          <w:rFonts w:ascii="宋体" w:eastAsia="宋体" w:hAnsi="宋体" w:cs="Times New Roman" w:hint="eastAsia"/>
          <w:color w:val="000000"/>
          <w:kern w:val="2"/>
          <w:sz w:val="24"/>
          <w:szCs w:val="24"/>
          <w:lang w:val="zh-CN" w:eastAsia="zh-CN" w:bidi="ar-SA"/>
        </w:rPr>
        <w:t>参与工程项目审计的投标人须具备建设部门颁发的造价工程咨询企业资质证书</w:t>
      </w:r>
      <w:r>
        <w:rPr>
          <w:rFonts w:ascii="宋体" w:hAnsi="宋体" w:cs="Times New Roman" w:hint="eastAsia"/>
          <w:color w:val="000000"/>
          <w:kern w:val="2"/>
          <w:sz w:val="24"/>
          <w:szCs w:val="24"/>
          <w:lang w:val="zh-CN" w:eastAsia="zh-CN" w:bidi="ar-SA"/>
        </w:rPr>
        <w:t>且在南通市审计局协审中介机构库名单中</w:t>
      </w:r>
      <w:r>
        <w:rPr>
          <w:rFonts w:ascii="宋体" w:eastAsia="宋体" w:hAnsi="宋体" w:cs="Times New Roman" w:hint="eastAsia"/>
          <w:color w:val="000000"/>
          <w:kern w:val="2"/>
          <w:sz w:val="24"/>
          <w:szCs w:val="24"/>
          <w:lang w:val="zh-CN" w:eastAsia="zh-CN" w:bidi="ar-SA"/>
        </w:rPr>
        <w:t>。</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3.参与投标人是法人委托人的，受委托人必须为投标单位正式员工。须提供用工合同、劳动等权威部门出具的单位为被委托人缴纳的养老保险记录（至开标日止连续六个月以上）。</w:t>
      </w:r>
    </w:p>
    <w:p>
      <w:pPr>
        <w:numPr>
          <w:ilvl w:val="0"/>
          <w:numId w:val="0"/>
        </w:numPr>
        <w:spacing w:line="440" w:lineRule="exact"/>
        <w:ind w:firstLine="480" w:firstLineChars="200"/>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 xml:space="preserve">请供应商认真对照资格要求，如不符合要求，无意或故意参与投标的，所产生的一切后果由供应商承担。 </w:t>
      </w:r>
    </w:p>
    <w:p>
      <w:pPr>
        <w:spacing w:before="156" w:beforeLines="50" w:line="440" w:lineRule="exact"/>
        <w:jc w:val="left"/>
        <w:rPr>
          <w:rFonts w:ascii="宋体" w:hAnsi="宋体"/>
          <w:b/>
          <w:color w:val="000000"/>
          <w:sz w:val="24"/>
        </w:rPr>
      </w:pPr>
      <w:r>
        <w:rPr>
          <w:rFonts w:ascii="宋体" w:hAnsi="宋体" w:hint="eastAsia"/>
          <w:b/>
          <w:color w:val="000000"/>
          <w:sz w:val="24"/>
          <w:lang w:eastAsia="zh-CN"/>
        </w:rPr>
        <w:t>六</w:t>
      </w:r>
      <w:r>
        <w:rPr>
          <w:rFonts w:ascii="宋体" w:hAnsi="宋体" w:hint="eastAsia"/>
          <w:b/>
          <w:color w:val="000000"/>
          <w:sz w:val="24"/>
        </w:rPr>
        <w:t>．投标时间及地点</w:t>
      </w:r>
    </w:p>
    <w:p>
      <w:pPr>
        <w:pStyle w:val="BodyText"/>
        <w:spacing w:before="0" w:beforeAutospacing="0" w:after="0" w:afterAutospacing="0" w:line="440" w:lineRule="exact"/>
        <w:ind w:firstLine="542"/>
        <w:rPr>
          <w:rFonts w:ascii="宋体" w:hAnsi="宋体"/>
          <w:color w:val="000000"/>
          <w:kern w:val="2"/>
        </w:rPr>
      </w:pPr>
      <w:r>
        <w:rPr>
          <w:rFonts w:ascii="宋体" w:hAnsi="宋体" w:hint="eastAsia"/>
          <w:color w:val="000000"/>
          <w:kern w:val="2"/>
        </w:rPr>
        <w:t>请投标人于</w:t>
      </w:r>
      <w:r>
        <w:rPr>
          <w:rFonts w:ascii="宋体" w:hAnsi="宋体" w:hint="eastAsia"/>
          <w:color w:val="FF0000"/>
          <w:kern w:val="2"/>
        </w:rPr>
        <w:t xml:space="preserve"> 20</w:t>
      </w:r>
      <w:r>
        <w:rPr>
          <w:rFonts w:ascii="宋体" w:hAnsi="宋体" w:hint="eastAsia"/>
          <w:color w:val="FF0000"/>
          <w:kern w:val="2"/>
          <w:lang w:val="en-US" w:eastAsia="zh-CN"/>
        </w:rPr>
        <w:t>20</w:t>
      </w:r>
      <w:r>
        <w:rPr>
          <w:rFonts w:ascii="宋体" w:hAnsi="宋体" w:hint="eastAsia"/>
          <w:color w:val="FF0000"/>
          <w:kern w:val="2"/>
        </w:rPr>
        <w:t>年</w:t>
      </w:r>
      <w:r>
        <w:rPr>
          <w:rFonts w:ascii="宋体" w:hAnsi="宋体" w:hint="eastAsia"/>
          <w:color w:val="FF0000"/>
          <w:kern w:val="2"/>
          <w:lang w:val="en-US" w:eastAsia="zh-CN"/>
        </w:rPr>
        <w:t>6</w:t>
      </w:r>
      <w:r>
        <w:rPr>
          <w:rFonts w:ascii="宋体" w:hAnsi="宋体" w:hint="eastAsia"/>
          <w:color w:val="FF0000"/>
          <w:kern w:val="2"/>
        </w:rPr>
        <w:t>月</w:t>
      </w:r>
      <w:r>
        <w:rPr>
          <w:rFonts w:ascii="宋体" w:hAnsi="宋体" w:hint="eastAsia"/>
          <w:color w:val="FF0000"/>
          <w:kern w:val="2"/>
          <w:lang w:val="en-US" w:eastAsia="zh-CN"/>
        </w:rPr>
        <w:t>29</w:t>
      </w:r>
      <w:r>
        <w:rPr>
          <w:rFonts w:ascii="宋体" w:hAnsi="宋体" w:hint="eastAsia"/>
          <w:color w:val="FF0000"/>
          <w:kern w:val="2"/>
        </w:rPr>
        <w:t>日</w:t>
      </w:r>
      <w:r>
        <w:rPr>
          <w:rFonts w:ascii="宋体" w:hAnsi="宋体" w:hint="eastAsia"/>
          <w:color w:val="FF0000"/>
          <w:kern w:val="2"/>
          <w:lang w:val="en-US" w:eastAsia="zh-CN"/>
        </w:rPr>
        <w:t>15</w:t>
      </w:r>
      <w:r>
        <w:rPr>
          <w:rFonts w:ascii="宋体" w:hAnsi="宋体" w:hint="eastAsia"/>
          <w:color w:val="FF0000"/>
          <w:kern w:val="2"/>
        </w:rPr>
        <w:t>:</w:t>
      </w:r>
      <w:r>
        <w:rPr>
          <w:rFonts w:ascii="宋体" w:hAnsi="宋体" w:hint="eastAsia"/>
          <w:color w:val="FF0000"/>
          <w:kern w:val="2"/>
          <w:lang w:val="en-US" w:eastAsia="zh-CN"/>
        </w:rPr>
        <w:t>0</w:t>
      </w:r>
      <w:r>
        <w:rPr>
          <w:rFonts w:ascii="宋体" w:hAnsi="宋体" w:hint="eastAsia"/>
          <w:color w:val="FF0000"/>
          <w:kern w:val="2"/>
        </w:rPr>
        <w:t>0-</w:t>
      </w:r>
      <w:r>
        <w:rPr>
          <w:rFonts w:ascii="宋体" w:hAnsi="宋体" w:hint="eastAsia"/>
          <w:color w:val="FF0000"/>
          <w:kern w:val="2"/>
          <w:lang w:val="en-US" w:eastAsia="zh-CN"/>
        </w:rPr>
        <w:t>15</w:t>
      </w:r>
      <w:r>
        <w:rPr>
          <w:rFonts w:ascii="宋体" w:hAnsi="宋体" w:hint="eastAsia"/>
          <w:color w:val="FF0000"/>
          <w:kern w:val="2"/>
        </w:rPr>
        <w:t>:</w:t>
      </w:r>
      <w:r>
        <w:rPr>
          <w:rFonts w:ascii="宋体" w:hAnsi="宋体" w:hint="eastAsia"/>
          <w:color w:val="FF0000"/>
          <w:kern w:val="2"/>
          <w:lang w:val="en-US" w:eastAsia="zh-CN"/>
        </w:rPr>
        <w:t>3</w:t>
      </w:r>
      <w:r>
        <w:rPr>
          <w:rFonts w:ascii="宋体" w:hAnsi="宋体" w:hint="eastAsia"/>
          <w:color w:val="FF0000"/>
          <w:kern w:val="2"/>
        </w:rPr>
        <w:t>0</w:t>
      </w:r>
      <w:r>
        <w:rPr>
          <w:rFonts w:ascii="宋体" w:hAnsi="宋体" w:hint="eastAsia"/>
          <w:color w:val="000000"/>
          <w:kern w:val="2"/>
        </w:rPr>
        <w:t>，将密封好的标书送至青年中路89号南通职业大学</w:t>
      </w:r>
      <w:r>
        <w:rPr>
          <w:rFonts w:ascii="宋体" w:hAnsi="宋体" w:hint="eastAsia"/>
          <w:b/>
          <w:color w:val="FF0000"/>
          <w:kern w:val="2"/>
        </w:rPr>
        <w:t>主楼</w:t>
      </w:r>
      <w:r>
        <w:rPr>
          <w:rFonts w:ascii="宋体" w:hAnsi="宋体"/>
          <w:b/>
          <w:color w:val="FF0000"/>
          <w:kern w:val="2"/>
        </w:rPr>
        <w:t>1</w:t>
      </w:r>
      <w:r>
        <w:rPr>
          <w:rFonts w:ascii="宋体" w:hAnsi="宋体" w:hint="eastAsia"/>
          <w:b/>
          <w:color w:val="FF0000"/>
          <w:kern w:val="2"/>
        </w:rPr>
        <w:t>401室</w:t>
      </w:r>
      <w:r>
        <w:rPr>
          <w:rFonts w:ascii="宋体" w:hAnsi="宋体" w:hint="eastAsia"/>
          <w:color w:val="000000"/>
          <w:kern w:val="2"/>
        </w:rPr>
        <w:t>。</w:t>
      </w:r>
    </w:p>
    <w:p>
      <w:pPr>
        <w:pStyle w:val="BodyText"/>
        <w:spacing w:before="0" w:beforeAutospacing="0" w:after="0" w:afterAutospacing="0" w:line="440" w:lineRule="exact"/>
        <w:ind w:firstLine="542"/>
        <w:rPr>
          <w:rFonts w:ascii="宋体" w:hAnsi="宋体"/>
          <w:color w:val="FF0000"/>
          <w:kern w:val="2"/>
        </w:rPr>
      </w:pPr>
      <w:r>
        <w:rPr>
          <w:rFonts w:ascii="宋体" w:hAnsi="宋体" w:hint="eastAsia"/>
          <w:b/>
          <w:color w:val="000000"/>
          <w:kern w:val="2"/>
        </w:rPr>
        <w:t>开标时间</w:t>
      </w:r>
      <w:r>
        <w:rPr>
          <w:rFonts w:ascii="宋体" w:hAnsi="宋体" w:hint="eastAsia"/>
          <w:color w:val="000000"/>
          <w:kern w:val="2"/>
        </w:rPr>
        <w:t>：</w:t>
      </w:r>
      <w:r>
        <w:rPr>
          <w:rFonts w:ascii="宋体" w:hAnsi="宋体" w:hint="eastAsia"/>
          <w:color w:val="FF0000"/>
          <w:kern w:val="2"/>
        </w:rPr>
        <w:t xml:space="preserve"> 20</w:t>
      </w:r>
      <w:r>
        <w:rPr>
          <w:rFonts w:ascii="宋体" w:hAnsi="宋体" w:hint="eastAsia"/>
          <w:color w:val="FF0000"/>
          <w:kern w:val="2"/>
          <w:lang w:val="en-US" w:eastAsia="zh-CN"/>
        </w:rPr>
        <w:t>20</w:t>
      </w:r>
      <w:r>
        <w:rPr>
          <w:rFonts w:ascii="宋体" w:hAnsi="宋体" w:hint="eastAsia"/>
          <w:color w:val="FF0000"/>
          <w:kern w:val="2"/>
        </w:rPr>
        <w:t>年</w:t>
      </w:r>
      <w:r>
        <w:rPr>
          <w:rFonts w:ascii="宋体" w:hAnsi="宋体" w:hint="eastAsia"/>
          <w:color w:val="FF0000"/>
          <w:kern w:val="2"/>
          <w:lang w:val="en-US" w:eastAsia="zh-CN"/>
        </w:rPr>
        <w:t>6</w:t>
      </w:r>
      <w:r>
        <w:rPr>
          <w:rFonts w:ascii="宋体" w:hAnsi="宋体" w:hint="eastAsia"/>
          <w:color w:val="FF0000"/>
          <w:kern w:val="2"/>
        </w:rPr>
        <w:t>月</w:t>
      </w:r>
      <w:r>
        <w:rPr>
          <w:rFonts w:ascii="宋体" w:hAnsi="宋体" w:hint="eastAsia"/>
          <w:color w:val="FF0000"/>
          <w:kern w:val="2"/>
          <w:lang w:val="en-US" w:eastAsia="zh-CN"/>
        </w:rPr>
        <w:t>29</w:t>
      </w:r>
      <w:r>
        <w:rPr>
          <w:rFonts w:ascii="宋体" w:hAnsi="宋体" w:hint="eastAsia"/>
          <w:color w:val="FF0000"/>
          <w:kern w:val="2"/>
        </w:rPr>
        <w:t>日</w:t>
      </w:r>
      <w:r>
        <w:rPr>
          <w:rFonts w:ascii="宋体" w:hAnsi="宋体" w:hint="eastAsia"/>
          <w:color w:val="FF0000"/>
          <w:kern w:val="2"/>
          <w:lang w:val="en-US" w:eastAsia="zh-CN"/>
        </w:rPr>
        <w:t>15</w:t>
      </w:r>
      <w:r>
        <w:rPr>
          <w:rFonts w:ascii="宋体" w:hAnsi="宋体" w:hint="eastAsia"/>
          <w:color w:val="FF0000"/>
          <w:kern w:val="2"/>
        </w:rPr>
        <w:t>:</w:t>
      </w:r>
      <w:r>
        <w:rPr>
          <w:rFonts w:ascii="宋体" w:hAnsi="宋体" w:hint="eastAsia"/>
          <w:color w:val="FF0000"/>
          <w:kern w:val="2"/>
          <w:lang w:val="en-US" w:eastAsia="zh-CN"/>
        </w:rPr>
        <w:t>3</w:t>
      </w:r>
      <w:r>
        <w:rPr>
          <w:rFonts w:ascii="宋体" w:hAnsi="宋体" w:hint="eastAsia"/>
          <w:color w:val="FF0000"/>
          <w:kern w:val="2"/>
        </w:rPr>
        <w:t xml:space="preserve">0 </w:t>
      </w:r>
      <w:bookmarkStart w:id="0" w:name="_GoBack"/>
      <w:bookmarkEnd w:id="0"/>
    </w:p>
    <w:p>
      <w:pPr>
        <w:pStyle w:val="BodyText"/>
        <w:spacing w:before="0" w:beforeAutospacing="0" w:after="0" w:afterAutospacing="0" w:line="440" w:lineRule="exact"/>
        <w:ind w:firstLine="542"/>
        <w:rPr>
          <w:rFonts w:ascii="宋体" w:hAnsi="宋体"/>
          <w:color w:val="000000"/>
          <w:kern w:val="2"/>
        </w:rPr>
      </w:pPr>
      <w:r>
        <w:rPr>
          <w:rFonts w:ascii="宋体" w:hAnsi="宋体" w:hint="eastAsia"/>
          <w:color w:val="000000"/>
          <w:kern w:val="2"/>
        </w:rPr>
        <w:t>招标</w:t>
      </w:r>
      <w:r>
        <w:rPr>
          <w:rFonts w:ascii="宋体" w:hAnsi="宋体"/>
          <w:color w:val="000000"/>
          <w:kern w:val="2"/>
        </w:rPr>
        <w:t>文件获取</w:t>
      </w:r>
      <w:r>
        <w:rPr>
          <w:rFonts w:ascii="宋体" w:hAnsi="宋体" w:hint="eastAsia"/>
          <w:color w:val="000000"/>
          <w:kern w:val="2"/>
        </w:rPr>
        <w:t>：</w:t>
      </w:r>
      <w:r>
        <w:rPr>
          <w:rFonts w:ascii="宋体" w:hAnsi="宋体"/>
          <w:color w:val="000000"/>
          <w:kern w:val="2"/>
        </w:rPr>
        <w:t>投标人自行下载</w:t>
      </w:r>
      <w:r>
        <w:rPr>
          <w:rFonts w:ascii="宋体" w:hAnsi="宋体" w:hint="eastAsia"/>
          <w:color w:val="000000"/>
          <w:kern w:val="2"/>
        </w:rPr>
        <w:t>。</w:t>
      </w:r>
    </w:p>
    <w:p>
      <w:pPr>
        <w:pStyle w:val="BodyText"/>
        <w:spacing w:before="0" w:beforeAutospacing="0" w:after="0" w:afterAutospacing="0" w:line="440" w:lineRule="exact"/>
        <w:ind w:firstLine="542"/>
        <w:rPr>
          <w:rFonts w:ascii="宋体" w:hAnsi="宋体"/>
          <w:color w:val="000000"/>
          <w:kern w:val="2"/>
        </w:rPr>
        <w:sectPr>
          <w:headerReference w:type="default" r:id="rId5"/>
          <w:pgSz w:w="11906" w:h="16838"/>
          <w:pgMar w:top="720" w:right="720" w:bottom="720" w:left="720" w:header="851" w:footer="992" w:gutter="0"/>
          <w:cols w:num="1" w:space="720"/>
          <w:docGrid w:type="linesAndChars" w:linePitch="312" w:charSpace="0"/>
        </w:sectPr>
      </w:pPr>
      <w:r>
        <w:rPr>
          <w:rFonts w:ascii="宋体" w:hAnsi="宋体"/>
          <w:color w:val="000000"/>
          <w:kern w:val="2"/>
        </w:rPr>
        <w:t>与本次</w:t>
      </w:r>
      <w:r>
        <w:rPr>
          <w:rFonts w:ascii="宋体" w:hAnsi="宋体" w:hint="eastAsia"/>
          <w:color w:val="000000"/>
          <w:kern w:val="2"/>
        </w:rPr>
        <w:t>招标</w:t>
      </w:r>
      <w:r>
        <w:rPr>
          <w:rFonts w:ascii="宋体" w:hAnsi="宋体"/>
          <w:color w:val="000000"/>
          <w:kern w:val="2"/>
        </w:rPr>
        <w:t>有关事宜请按下列方式联系</w:t>
      </w:r>
      <w:r>
        <w:rPr>
          <w:rFonts w:ascii="宋体" w:hAnsi="宋体" w:hint="eastAsia"/>
          <w:color w:val="000000"/>
          <w:kern w:val="2"/>
        </w:rPr>
        <w:t>：</w:t>
      </w:r>
    </w:p>
    <w:p>
      <w:pPr>
        <w:pStyle w:val="BodyText"/>
        <w:spacing w:before="0" w:beforeAutospacing="0" w:after="0" w:afterAutospacing="0" w:line="440" w:lineRule="exact"/>
        <w:ind w:firstLine="542"/>
        <w:rPr>
          <w:rFonts w:ascii="宋体" w:hAnsi="宋体"/>
          <w:color w:val="000000"/>
          <w:kern w:val="2"/>
        </w:rPr>
      </w:pPr>
      <w:r>
        <w:rPr>
          <w:rFonts w:ascii="宋体" w:hAnsi="宋体"/>
          <w:color w:val="000000"/>
          <w:kern w:val="2"/>
        </w:rPr>
        <w:t>单位部门</w:t>
      </w:r>
      <w:r>
        <w:rPr>
          <w:rFonts w:ascii="宋体" w:hAnsi="宋体" w:hint="eastAsia"/>
          <w:color w:val="000000"/>
          <w:kern w:val="2"/>
        </w:rPr>
        <w:t>：</w:t>
      </w:r>
      <w:r>
        <w:rPr>
          <w:rFonts w:ascii="宋体" w:hAnsi="宋体"/>
          <w:color w:val="000000"/>
          <w:kern w:val="2"/>
        </w:rPr>
        <w:t>南通职业大学招投标管理办公室</w:t>
      </w:r>
      <w:r>
        <w:rPr>
          <w:rFonts w:ascii="宋体" w:hAnsi="宋体" w:hint="eastAsia"/>
          <w:color w:val="000000"/>
          <w:kern w:val="2"/>
        </w:rPr>
        <w:t>；</w:t>
      </w:r>
    </w:p>
    <w:p>
      <w:pPr>
        <w:pStyle w:val="BodyText"/>
        <w:spacing w:before="0" w:beforeAutospacing="0" w:after="0" w:afterAutospacing="0" w:line="440" w:lineRule="exact"/>
        <w:ind w:firstLine="542"/>
        <w:rPr>
          <w:rFonts w:ascii="宋体" w:hAnsi="宋体"/>
          <w:color w:val="000000"/>
          <w:kern w:val="2"/>
        </w:rPr>
      </w:pPr>
      <w:r>
        <w:rPr>
          <w:rFonts w:ascii="宋体" w:hAnsi="宋体"/>
          <w:color w:val="000000"/>
          <w:kern w:val="2"/>
        </w:rPr>
        <w:t>联系地址</w:t>
      </w:r>
      <w:r>
        <w:rPr>
          <w:rFonts w:ascii="宋体" w:hAnsi="宋体" w:hint="eastAsia"/>
          <w:color w:val="000000"/>
          <w:kern w:val="2"/>
        </w:rPr>
        <w:t>：青年中路89号南通职业大学主楼</w:t>
      </w:r>
      <w:r>
        <w:rPr>
          <w:rFonts w:ascii="宋体" w:hAnsi="宋体"/>
          <w:color w:val="000000"/>
          <w:kern w:val="2"/>
        </w:rPr>
        <w:t>11</w:t>
      </w:r>
      <w:r>
        <w:rPr>
          <w:rFonts w:ascii="宋体" w:hAnsi="宋体" w:hint="eastAsia"/>
          <w:color w:val="000000"/>
          <w:kern w:val="2"/>
          <w:lang w:val="en-US" w:eastAsia="zh-CN"/>
        </w:rPr>
        <w:t>07</w:t>
      </w:r>
      <w:r>
        <w:rPr>
          <w:rFonts w:ascii="宋体" w:hAnsi="宋体" w:hint="eastAsia"/>
          <w:color w:val="000000"/>
          <w:kern w:val="2"/>
        </w:rPr>
        <w:t>室，邮编：226007；</w:t>
      </w:r>
    </w:p>
    <w:p>
      <w:pPr>
        <w:pStyle w:val="BodyText"/>
        <w:spacing w:before="0" w:beforeAutospacing="0" w:after="0" w:afterAutospacing="0" w:line="440" w:lineRule="exact"/>
        <w:ind w:firstLine="542"/>
        <w:rPr>
          <w:color w:val="000000"/>
        </w:rPr>
      </w:pPr>
      <w:r>
        <w:rPr>
          <w:rFonts w:ascii="宋体" w:hAnsi="宋体" w:hint="eastAsia"/>
          <w:color w:val="000000"/>
          <w:kern w:val="2"/>
        </w:rPr>
        <w:t>联系人：</w:t>
      </w:r>
      <w:r>
        <w:rPr>
          <w:rFonts w:ascii="宋体" w:hAnsi="宋体" w:hint="eastAsia"/>
          <w:color w:val="000000"/>
          <w:kern w:val="2"/>
          <w:lang w:eastAsia="zh-CN"/>
        </w:rPr>
        <w:t>陈</w:t>
      </w:r>
      <w:r>
        <w:rPr>
          <w:rFonts w:ascii="宋体" w:hAnsi="宋体" w:hint="eastAsia"/>
          <w:color w:val="000000"/>
          <w:kern w:val="2"/>
        </w:rPr>
        <w:t>老师</w:t>
      </w:r>
      <w:r>
        <w:rPr>
          <w:rFonts w:ascii="宋体" w:hAnsi="宋体" w:hint="eastAsia"/>
          <w:color w:val="000000"/>
          <w:kern w:val="2"/>
          <w:lang w:val="en-US" w:eastAsia="zh-CN"/>
        </w:rPr>
        <w:t xml:space="preserve">        </w:t>
      </w:r>
      <w:r>
        <w:rPr>
          <w:rFonts w:hint="eastAsia"/>
          <w:color w:val="000000"/>
        </w:rPr>
        <w:t>联系电话：0513-81050792；</w:t>
      </w:r>
    </w:p>
    <w:p>
      <w:pPr>
        <w:snapToGrid w:val="0"/>
        <w:ind w:firstLine="480" w:firstLineChars="200"/>
        <w:jc w:val="both"/>
        <w:rPr>
          <w:rFonts w:ascii="仿宋" w:hAnsi="仿宋" w:cs="仿宋" w:hint="default"/>
          <w:sz w:val="30"/>
          <w:szCs w:val="30"/>
        </w:rPr>
      </w:pPr>
      <w:r>
        <w:rPr>
          <w:rFonts w:ascii="宋体" w:hAnsi="宋体" w:hint="eastAsia"/>
          <w:color w:val="000000"/>
          <w:sz w:val="24"/>
        </w:rPr>
        <w:t>技术咨询：</w:t>
      </w:r>
      <w:r>
        <w:rPr>
          <w:rFonts w:ascii="宋体" w:hAnsi="宋体" w:hint="eastAsia"/>
          <w:color w:val="000000"/>
          <w:sz w:val="24"/>
          <w:lang w:eastAsia="zh-CN"/>
        </w:rPr>
        <w:t>王老师</w:t>
      </w:r>
      <w:r>
        <w:rPr>
          <w:rFonts w:ascii="宋体" w:hAnsi="宋体" w:hint="eastAsia"/>
          <w:color w:val="000000"/>
          <w:sz w:val="24"/>
        </w:rPr>
        <w:t xml:space="preserve">   </w:t>
      </w:r>
      <w:r>
        <w:rPr>
          <w:rFonts w:ascii="宋体" w:hAnsi="宋体" w:hint="eastAsia"/>
          <w:color w:val="000000"/>
          <w:sz w:val="24"/>
          <w:lang w:val="en-US" w:eastAsia="zh-CN"/>
        </w:rPr>
        <w:t xml:space="preserve">  </w:t>
      </w:r>
      <w:r>
        <w:rPr>
          <w:rFonts w:ascii="宋体" w:hAnsi="宋体" w:hint="eastAsia"/>
          <w:color w:val="000000"/>
          <w:sz w:val="24"/>
        </w:rPr>
        <w:t>联系电话：</w:t>
      </w:r>
      <w:r>
        <w:rPr>
          <w:rFonts w:cs="Times New Roman" w:hint="eastAsia"/>
          <w:color w:val="000000"/>
          <w:kern w:val="0"/>
          <w:sz w:val="24"/>
          <w:szCs w:val="24"/>
          <w:lang w:val="en-US" w:eastAsia="zh-CN" w:bidi="ar-SA"/>
        </w:rPr>
        <w:t>13939876590</w:t>
      </w:r>
    </w:p>
    <w:p>
      <w:pPr>
        <w:ind w:firstLine="480" w:firstLineChars="200"/>
        <w:rPr>
          <w:rFonts w:ascii="宋体" w:hAnsi="宋体"/>
          <w:color w:val="000000"/>
          <w:sz w:val="24"/>
        </w:rPr>
      </w:pPr>
    </w:p>
    <w:p>
      <w:pPr>
        <w:spacing w:after="312" w:afterLines="100" w:line="440" w:lineRule="exact"/>
        <w:jc w:val="right"/>
        <w:rPr>
          <w:rFonts w:ascii="宋体" w:hAnsi="宋体" w:hint="eastAsia"/>
          <w:b/>
          <w:color w:val="000000"/>
          <w:sz w:val="24"/>
        </w:rPr>
      </w:pPr>
      <w:r>
        <w:rPr>
          <w:rFonts w:ascii="宋体" w:hAnsi="宋体" w:hint="eastAsia"/>
          <w:b/>
          <w:color w:val="000000"/>
          <w:sz w:val="24"/>
          <w:lang w:val="en-US" w:eastAsia="zh-CN"/>
        </w:rPr>
        <w:t xml:space="preserve"> </w:t>
      </w:r>
      <w:r>
        <w:rPr>
          <w:rFonts w:ascii="宋体" w:hAnsi="宋体" w:hint="eastAsia"/>
          <w:b/>
          <w:color w:val="000000"/>
          <w:sz w:val="24"/>
        </w:rPr>
        <w:t>南通职业大学招标办</w:t>
      </w:r>
    </w:p>
    <w:p>
      <w:pPr>
        <w:spacing w:after="312" w:afterLines="100" w:line="440" w:lineRule="exact"/>
        <w:jc w:val="right"/>
        <w:rPr>
          <w:rFonts w:ascii="宋体" w:hAnsi="宋体"/>
          <w:b/>
          <w:sz w:val="24"/>
        </w:rPr>
      </w:pPr>
      <w:r>
        <w:rPr>
          <w:rFonts w:ascii="宋体" w:hAnsi="宋体"/>
          <w:b/>
          <w:sz w:val="24"/>
        </w:rPr>
        <w:t>20</w:t>
      </w:r>
      <w:r>
        <w:rPr>
          <w:rFonts w:ascii="宋体" w:hAnsi="宋体" w:hint="eastAsia"/>
          <w:b/>
          <w:sz w:val="24"/>
          <w:lang w:val="en-US" w:eastAsia="zh-CN"/>
        </w:rPr>
        <w:t>20</w:t>
      </w:r>
      <w:r>
        <w:rPr>
          <w:rFonts w:ascii="宋体" w:hAnsi="宋体" w:hint="eastAsia"/>
          <w:b/>
          <w:sz w:val="24"/>
        </w:rPr>
        <w:t>年</w:t>
      </w:r>
      <w:r>
        <w:rPr>
          <w:rFonts w:ascii="宋体" w:hAnsi="宋体" w:hint="eastAsia"/>
          <w:b/>
          <w:sz w:val="24"/>
          <w:lang w:val="en-US" w:eastAsia="zh-CN"/>
        </w:rPr>
        <w:t>6</w:t>
      </w:r>
      <w:r>
        <w:rPr>
          <w:rFonts w:ascii="宋体" w:hAnsi="宋体" w:hint="eastAsia"/>
          <w:b/>
          <w:sz w:val="24"/>
        </w:rPr>
        <w:t>月</w:t>
      </w:r>
      <w:r>
        <w:rPr>
          <w:rFonts w:ascii="宋体" w:hAnsi="宋体" w:hint="eastAsia"/>
          <w:b/>
          <w:sz w:val="24"/>
          <w:lang w:val="en-US" w:eastAsia="zh-CN"/>
        </w:rPr>
        <w:t>17</w:t>
      </w:r>
      <w:r>
        <w:rPr>
          <w:rFonts w:ascii="宋体" w:hAnsi="宋体" w:hint="eastAsia"/>
          <w:b/>
          <w:sz w:val="24"/>
        </w:rPr>
        <w:t>日</w:t>
      </w:r>
    </w:p>
    <w:p>
      <w:pPr>
        <w:spacing w:after="312" w:afterLines="100" w:line="440" w:lineRule="exact"/>
        <w:jc w:val="right"/>
        <w:rPr>
          <w:rFonts w:ascii="宋体" w:hAnsi="宋体"/>
          <w:b/>
          <w:color w:val="000000"/>
          <w:sz w:val="24"/>
        </w:rPr>
      </w:pPr>
    </w:p>
    <w:p>
      <w:pPr>
        <w:spacing w:after="312" w:afterLines="100" w:line="440" w:lineRule="exact"/>
        <w:jc w:val="right"/>
        <w:rPr>
          <w:rFonts w:ascii="宋体" w:hAnsi="宋体"/>
          <w:b/>
          <w:color w:val="000000"/>
          <w:sz w:val="24"/>
        </w:rPr>
      </w:pPr>
    </w:p>
    <w:p>
      <w:pPr>
        <w:spacing w:line="500" w:lineRule="exact"/>
        <w:jc w:val="center"/>
        <w:rPr>
          <w:rFonts w:ascii="宋体" w:hAnsi="宋体"/>
          <w:b/>
          <w:color w:val="000000"/>
          <w:sz w:val="24"/>
        </w:rPr>
      </w:pPr>
      <w:r>
        <w:rPr>
          <w:rFonts w:ascii="宋体" w:hAnsi="宋体" w:hint="eastAsia"/>
          <w:b/>
          <w:color w:val="000000"/>
          <w:sz w:val="24"/>
        </w:rPr>
        <w:t>友情提醒</w:t>
      </w:r>
    </w:p>
    <w:p>
      <w:pPr>
        <w:spacing w:line="500" w:lineRule="exact"/>
        <w:ind w:firstLine="480" w:firstLineChars="200"/>
        <w:rPr>
          <w:rFonts w:ascii="宋体" w:hAnsi="宋体"/>
          <w:color w:val="000000"/>
          <w:sz w:val="24"/>
        </w:rPr>
      </w:pPr>
      <w:r>
        <w:rPr>
          <w:rFonts w:ascii="宋体" w:hAnsi="宋体" w:hint="eastAsia"/>
          <w:color w:val="000000"/>
          <w:sz w:val="24"/>
        </w:rPr>
        <w:t>投标人下载招标文件后应仔细阅读招标文件的所有内容，如认为有内容残缺，或在资格要求、项目需求、技术参数等方面含有排它性表述的，应在投标截止时间三日前以书面形式提出询问或疑问，送达并签收。未在规定时间内提出询问或疑问的，视同投标人理解并接受本招标文件所有内容。投标人不得在招标结束后针对招标文件所有内容提出质疑事项。</w:t>
      </w:r>
    </w:p>
    <w:p>
      <w:pPr>
        <w:spacing w:line="500" w:lineRule="exact"/>
        <w:ind w:firstLine="480" w:firstLineChars="200"/>
        <w:rPr>
          <w:rFonts w:ascii="宋体" w:hAnsi="宋体"/>
          <w:color w:val="000000"/>
          <w:sz w:val="24"/>
        </w:rPr>
      </w:pPr>
      <w:r>
        <w:rPr>
          <w:rFonts w:ascii="宋体" w:hAnsi="宋体" w:hint="eastAsia"/>
          <w:color w:val="000000"/>
          <w:sz w:val="24"/>
        </w:rPr>
        <w:t>投标人对本次招标有质疑的，须由投标单位法定代表人或委托代理人以书面形式送达并签收。不能提供佐证材料的、涉及商业秘密的、非书面形式的、匿名的质疑将不予受理。</w:t>
      </w:r>
    </w:p>
    <w:p>
      <w:pPr>
        <w:spacing w:line="500" w:lineRule="exact"/>
        <w:ind w:firstLine="480" w:firstLineChars="200"/>
        <w:rPr>
          <w:rFonts w:ascii="宋体" w:hAnsi="宋体"/>
          <w:color w:val="000000"/>
          <w:sz w:val="24"/>
        </w:rPr>
      </w:pPr>
      <w:r>
        <w:rPr>
          <w:rFonts w:ascii="宋体" w:hAnsi="宋体" w:hint="eastAsia"/>
          <w:color w:val="000000"/>
          <w:sz w:val="24"/>
        </w:rPr>
        <w:t>凡质疑不成立，投标单位将被列入有不良行为记录名单。同时承担使用虚假材料或恶意方式质疑的法律责任。</w:t>
      </w:r>
    </w:p>
    <w:p>
      <w:pPr>
        <w:spacing w:after="312" w:afterLines="100" w:line="500" w:lineRule="exact"/>
        <w:jc w:val="center"/>
        <w:rPr>
          <w:rFonts w:ascii="宋体" w:hAnsi="宋体"/>
          <w:b/>
          <w:color w:val="000000"/>
          <w:sz w:val="24"/>
        </w:rPr>
      </w:pPr>
    </w:p>
    <w:p>
      <w:pPr>
        <w:spacing w:after="312" w:afterLines="100" w:line="500" w:lineRule="exact"/>
        <w:jc w:val="center"/>
        <w:rPr>
          <w:rFonts w:ascii="宋体" w:hAnsi="宋体"/>
          <w:b/>
          <w:color w:val="000000"/>
          <w:sz w:val="24"/>
        </w:rPr>
        <w:sectPr>
          <w:headerReference w:type="default" r:id="rId6"/>
          <w:type w:val="nextPage"/>
          <w:pgSz w:w="11906" w:h="16838"/>
          <w:pgMar w:top="720" w:right="720" w:bottom="720" w:left="720" w:header="851" w:footer="992" w:gutter="0"/>
          <w:pgNumType w:start="2"/>
          <w:cols w:num="1" w:space="720"/>
          <w:titlePg w:val="0"/>
          <w:docGrid w:type="linesAndChars" w:linePitch="312" w:charSpace="0"/>
        </w:sectPr>
      </w:pPr>
    </w:p>
    <w:p>
      <w:pPr>
        <w:topLinePunct/>
        <w:snapToGrid w:val="0"/>
        <w:spacing w:line="500" w:lineRule="exact"/>
        <w:ind w:firstLine="1920" w:firstLineChars="800"/>
        <w:rPr>
          <w:rFonts w:ascii="宋体" w:hAnsi="宋体"/>
          <w:b/>
          <w:color w:val="000000"/>
          <w:sz w:val="24"/>
        </w:rPr>
      </w:pPr>
      <w:r>
        <w:rPr>
          <w:rFonts w:ascii="宋体" w:hAnsi="宋体" w:hint="eastAsia"/>
          <w:b/>
          <w:color w:val="000000"/>
          <w:sz w:val="24"/>
        </w:rPr>
        <w:t>南通职业大学</w:t>
      </w:r>
      <w:r>
        <w:rPr>
          <w:rFonts w:ascii="宋体" w:hAnsi="宋体" w:hint="eastAsia"/>
          <w:b/>
          <w:color w:val="000000"/>
          <w:sz w:val="24"/>
          <w:lang w:eastAsia="zh-CN"/>
        </w:rPr>
        <w:t>工程类审计咨询公司备选库</w:t>
      </w:r>
      <w:r>
        <w:rPr>
          <w:rFonts w:ascii="宋体" w:hAnsi="宋体" w:hint="eastAsia"/>
          <w:b/>
          <w:color w:val="000000"/>
          <w:sz w:val="24"/>
        </w:rPr>
        <w:t>项目招标文件</w:t>
      </w:r>
    </w:p>
    <w:p>
      <w:pPr>
        <w:topLinePunct/>
        <w:snapToGrid w:val="0"/>
        <w:spacing w:line="500" w:lineRule="exact"/>
        <w:ind w:firstLine="480" w:firstLineChars="200"/>
        <w:rPr>
          <w:rFonts w:ascii="宋体" w:hAnsi="宋体"/>
          <w:b/>
          <w:color w:val="000000"/>
          <w:sz w:val="24"/>
        </w:rPr>
      </w:pPr>
      <w:r>
        <w:rPr>
          <w:rFonts w:ascii="宋体" w:hAnsi="宋体" w:hint="eastAsia"/>
          <w:b/>
          <w:color w:val="000000"/>
          <w:sz w:val="24"/>
        </w:rPr>
        <w:t>一、项目名称</w:t>
      </w:r>
      <w:r>
        <w:rPr>
          <w:rFonts w:ascii="宋体" w:hAnsi="宋体" w:hint="eastAsia"/>
          <w:b/>
          <w:color w:val="000000"/>
          <w:sz w:val="24"/>
          <w:lang w:eastAsia="zh-CN"/>
        </w:rPr>
        <w:t>：南通职业大学工程类审计咨询公司备选库公开招标项目</w:t>
      </w:r>
    </w:p>
    <w:p>
      <w:pPr>
        <w:topLinePunct/>
        <w:snapToGrid w:val="0"/>
        <w:spacing w:line="500" w:lineRule="exact"/>
        <w:ind w:firstLine="480" w:firstLineChars="200"/>
        <w:rPr>
          <w:rFonts w:ascii="宋体" w:hAnsi="宋体" w:hint="default"/>
          <w:b/>
          <w:color w:val="FF0000"/>
          <w:sz w:val="24"/>
        </w:rPr>
      </w:pPr>
      <w:r>
        <w:rPr>
          <w:rFonts w:ascii="宋体" w:hAnsi="宋体" w:hint="eastAsia"/>
          <w:b/>
          <w:color w:val="000000"/>
          <w:sz w:val="24"/>
        </w:rPr>
        <w:t>二、项目编号：NTZDCG20</w:t>
      </w:r>
      <w:r>
        <w:rPr>
          <w:rFonts w:ascii="宋体" w:hAnsi="宋体" w:hint="eastAsia"/>
          <w:b/>
          <w:color w:val="000000"/>
          <w:sz w:val="24"/>
          <w:lang w:val="en-US" w:eastAsia="zh-CN"/>
        </w:rPr>
        <w:t>20</w:t>
      </w:r>
      <w:r>
        <w:rPr>
          <w:rFonts w:ascii="宋体" w:hAnsi="宋体" w:hint="eastAsia"/>
          <w:b/>
          <w:color w:val="000000"/>
          <w:sz w:val="24"/>
        </w:rPr>
        <w:t>GK</w:t>
      </w:r>
      <w:r>
        <w:rPr>
          <w:rFonts w:ascii="宋体" w:hAnsi="宋体" w:hint="eastAsia"/>
          <w:b/>
          <w:color w:val="000000"/>
          <w:sz w:val="24"/>
          <w:lang w:val="en-US" w:eastAsia="zh-CN"/>
        </w:rPr>
        <w:t>025</w:t>
      </w:r>
    </w:p>
    <w:p>
      <w:pPr>
        <w:topLinePunct/>
        <w:snapToGrid w:val="0"/>
        <w:spacing w:line="500" w:lineRule="exact"/>
        <w:ind w:firstLine="480" w:firstLineChars="200"/>
        <w:rPr>
          <w:rFonts w:ascii="宋体" w:hAnsi="宋体" w:hint="eastAsia"/>
          <w:b/>
          <w:color w:val="000000"/>
          <w:sz w:val="24"/>
        </w:rPr>
      </w:pPr>
      <w:r>
        <w:rPr>
          <w:rFonts w:ascii="宋体" w:hAnsi="宋体" w:hint="eastAsia"/>
          <w:b/>
          <w:color w:val="000000"/>
          <w:sz w:val="24"/>
        </w:rPr>
        <w:t>三、</w:t>
      </w:r>
      <w:r>
        <w:rPr>
          <w:rFonts w:ascii="宋体" w:hAnsi="宋体" w:hint="eastAsia"/>
          <w:b/>
          <w:color w:val="000000"/>
          <w:sz w:val="24"/>
          <w:lang w:eastAsia="zh-CN"/>
        </w:rPr>
        <w:t>服务期限：</w:t>
      </w:r>
      <w:r>
        <w:rPr>
          <w:rFonts w:ascii="宋体" w:hAnsi="宋体" w:hint="eastAsia"/>
          <w:b/>
          <w:color w:val="000000"/>
          <w:sz w:val="24"/>
          <w:lang w:val="en-US" w:eastAsia="zh-CN"/>
        </w:rPr>
        <w:t>2020年-2022年</w:t>
      </w:r>
    </w:p>
    <w:p>
      <w:pPr>
        <w:topLinePunct/>
        <w:snapToGrid w:val="0"/>
        <w:spacing w:line="500" w:lineRule="exact"/>
        <w:ind w:firstLine="480" w:firstLineChars="200"/>
        <w:rPr>
          <w:rFonts w:ascii="宋体" w:hAnsi="宋体" w:hint="eastAsia"/>
          <w:b/>
          <w:color w:val="000000"/>
          <w:sz w:val="24"/>
        </w:rPr>
      </w:pPr>
      <w:r>
        <w:rPr>
          <w:rFonts w:ascii="宋体" w:hAnsi="宋体" w:hint="eastAsia"/>
          <w:b/>
          <w:color w:val="000000"/>
          <w:sz w:val="24"/>
          <w:lang w:eastAsia="zh-CN"/>
        </w:rPr>
        <w:t>四、</w:t>
      </w:r>
      <w:r>
        <w:rPr>
          <w:rFonts w:ascii="宋体" w:hAnsi="宋体" w:hint="eastAsia"/>
          <w:b/>
          <w:color w:val="000000"/>
          <w:sz w:val="24"/>
        </w:rPr>
        <w:t>项目预算:</w:t>
      </w:r>
      <w:r>
        <w:rPr>
          <w:rFonts w:ascii="宋体" w:hAnsi="宋体"/>
          <w:b/>
          <w:color w:val="000000"/>
          <w:sz w:val="24"/>
        </w:rPr>
        <w:t xml:space="preserve"> </w:t>
      </w:r>
      <w:r>
        <w:rPr>
          <w:rFonts w:ascii="宋体" w:hAnsi="宋体" w:hint="eastAsia"/>
          <w:b/>
          <w:bCs/>
          <w:color w:val="000000"/>
          <w:sz w:val="24"/>
        </w:rPr>
        <w:t>根据最终</w:t>
      </w:r>
      <w:r>
        <w:rPr>
          <w:rFonts w:ascii="宋体" w:hAnsi="宋体" w:hint="eastAsia"/>
          <w:b/>
          <w:bCs/>
          <w:color w:val="000000"/>
          <w:sz w:val="24"/>
          <w:lang w:eastAsia="zh-CN"/>
        </w:rPr>
        <w:t>项目核算</w:t>
      </w:r>
    </w:p>
    <w:p>
      <w:pPr>
        <w:topLinePunct/>
        <w:snapToGrid w:val="0"/>
        <w:spacing w:line="500" w:lineRule="exact"/>
        <w:ind w:firstLine="480" w:firstLineChars="200"/>
        <w:rPr>
          <w:rFonts w:ascii="宋体" w:hAnsi="宋体"/>
          <w:b/>
          <w:color w:val="000000"/>
          <w:sz w:val="24"/>
        </w:rPr>
      </w:pPr>
      <w:r>
        <w:rPr>
          <w:rFonts w:ascii="宋体" w:hAnsi="宋体" w:hint="eastAsia"/>
          <w:b/>
          <w:color w:val="000000"/>
          <w:sz w:val="24"/>
          <w:lang w:eastAsia="zh-CN"/>
        </w:rPr>
        <w:t>五</w:t>
      </w:r>
      <w:r>
        <w:rPr>
          <w:rFonts w:ascii="宋体" w:hAnsi="宋体" w:hint="eastAsia"/>
          <w:b/>
          <w:color w:val="000000"/>
          <w:sz w:val="24"/>
        </w:rPr>
        <w:t>、投标人必备资格要求</w:t>
      </w:r>
    </w:p>
    <w:p>
      <w:pPr>
        <w:topLinePunct/>
        <w:snapToGrid w:val="0"/>
        <w:spacing w:line="500" w:lineRule="exact"/>
        <w:ind w:left="449" w:leftChars="214"/>
        <w:rPr>
          <w:rFonts w:ascii="宋体" w:hAnsi="宋体"/>
          <w:b/>
          <w:color w:val="000000"/>
          <w:sz w:val="24"/>
        </w:rPr>
      </w:pPr>
      <w:r>
        <w:rPr>
          <w:rFonts w:ascii="宋体" w:hAnsi="宋体" w:hint="eastAsia"/>
          <w:b/>
          <w:color w:val="000000"/>
          <w:sz w:val="24"/>
        </w:rPr>
        <w:t>（一）投标人参加投标应当具备的条件</w:t>
      </w:r>
    </w:p>
    <w:p>
      <w:pPr>
        <w:widowControl/>
        <w:spacing w:line="480" w:lineRule="exact"/>
        <w:ind w:firstLine="240" w:firstLineChars="10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1.符合政府采购法第二十二条第一款规定的条件，并提供下列材料：</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（1）法人或者其他组织的营业执照等证明文件；</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（2）上一年度的财务状况报告（成立不满一年不需提供）；</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（3）依法缴纳税收和社会保障资金的相关材料；</w:t>
      </w:r>
    </w:p>
    <w:p>
      <w:pPr>
        <w:widowControl/>
        <w:spacing w:line="480" w:lineRule="exact"/>
        <w:ind w:firstLine="420"/>
        <w:jc w:val="left"/>
        <w:rPr>
          <w:rFonts w:ascii="宋体" w:hAnsi="宋体" w:hint="eastAsia"/>
          <w:color w:val="000000"/>
          <w:sz w:val="24"/>
          <w:lang w:val="zh-CN"/>
        </w:rPr>
      </w:pPr>
      <w:r>
        <w:rPr>
          <w:rFonts w:ascii="宋体" w:eastAsia="宋体" w:hAnsi="宋体" w:cs="Times New Roman" w:hint="eastAsia"/>
          <w:color w:val="000000"/>
          <w:kern w:val="2"/>
          <w:sz w:val="24"/>
          <w:szCs w:val="24"/>
          <w:lang w:val="en-US" w:eastAsia="zh-CN" w:bidi="ar-SA"/>
        </w:rPr>
        <w:t>（4）具备履行合同所必需的设备和专业技术能力的证明材料；</w:t>
      </w:r>
    </w:p>
    <w:p>
      <w:pPr>
        <w:widowControl/>
        <w:spacing w:line="480" w:lineRule="exact"/>
        <w:ind w:firstLine="420"/>
        <w:jc w:val="left"/>
        <w:rPr>
          <w:rFonts w:ascii="宋体" w:hAnsi="宋体" w:hint="eastAsia"/>
          <w:color w:val="000000"/>
          <w:sz w:val="24"/>
          <w:lang w:val="zh-CN"/>
        </w:rPr>
      </w:pPr>
      <w:r>
        <w:rPr>
          <w:rFonts w:ascii="宋体" w:eastAsia="宋体" w:hAnsi="宋体" w:cs="Times New Roman" w:hint="eastAsia"/>
          <w:color w:val="000000"/>
          <w:kern w:val="2"/>
          <w:sz w:val="24"/>
          <w:szCs w:val="24"/>
          <w:lang w:val="en-US" w:eastAsia="zh-CN" w:bidi="ar-SA"/>
        </w:rPr>
        <w:t>2.</w:t>
      </w:r>
      <w:r>
        <w:rPr>
          <w:rFonts w:ascii="宋体" w:eastAsia="宋体" w:hAnsi="宋体" w:cs="Times New Roman" w:hint="eastAsia"/>
          <w:color w:val="000000"/>
          <w:kern w:val="2"/>
          <w:sz w:val="24"/>
          <w:szCs w:val="24"/>
          <w:lang w:val="zh-CN" w:eastAsia="zh-CN" w:bidi="ar-SA"/>
        </w:rPr>
        <w:t>参与工程项目审计的投标人须具备建设部门颁发的造价工程咨询企业资质证书</w:t>
      </w:r>
      <w:r>
        <w:rPr>
          <w:rFonts w:ascii="宋体" w:hAnsi="宋体" w:cs="Times New Roman" w:hint="eastAsia"/>
          <w:color w:val="000000"/>
          <w:kern w:val="2"/>
          <w:sz w:val="24"/>
          <w:szCs w:val="24"/>
          <w:lang w:val="zh-CN" w:eastAsia="zh-CN" w:bidi="ar-SA"/>
        </w:rPr>
        <w:t>且在南通市审计局协审中介机构库名单中</w:t>
      </w:r>
      <w:r>
        <w:rPr>
          <w:rFonts w:ascii="宋体" w:eastAsia="宋体" w:hAnsi="宋体" w:cs="Times New Roman" w:hint="eastAsia"/>
          <w:color w:val="000000"/>
          <w:kern w:val="2"/>
          <w:sz w:val="24"/>
          <w:szCs w:val="24"/>
          <w:lang w:val="zh-CN" w:eastAsia="zh-CN" w:bidi="ar-SA"/>
        </w:rPr>
        <w:t>。</w:t>
      </w:r>
    </w:p>
    <w:p>
      <w:pPr>
        <w:widowControl/>
        <w:spacing w:line="480" w:lineRule="exact"/>
        <w:ind w:firstLine="420"/>
        <w:jc w:val="left"/>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3.参与投标人是法人委托人的，受委托人必须为投标单位正式员工。须提供用工合同、劳动等权威部门出具的单位为被委托人缴纳的养老保险记录（至开标日止连续六个月以上）。</w:t>
      </w:r>
    </w:p>
    <w:p>
      <w:pPr>
        <w:numPr>
          <w:ilvl w:val="0"/>
          <w:numId w:val="0"/>
        </w:numPr>
        <w:spacing w:line="440" w:lineRule="exact"/>
        <w:ind w:firstLine="480" w:firstLineChars="200"/>
        <w:rPr>
          <w:rFonts w:ascii="宋体" w:hAnsi="宋体" w:hint="eastAsia"/>
          <w:color w:val="000000"/>
          <w:sz w:val="24"/>
        </w:rPr>
      </w:pPr>
      <w:r>
        <w:rPr>
          <w:rFonts w:ascii="宋体" w:eastAsia="宋体" w:hAnsi="宋体" w:cs="Times New Roman" w:hint="eastAsia"/>
          <w:color w:val="000000"/>
          <w:kern w:val="2"/>
          <w:sz w:val="24"/>
          <w:szCs w:val="24"/>
          <w:lang w:val="en-US" w:eastAsia="zh-CN" w:bidi="ar-SA"/>
        </w:rPr>
        <w:t xml:space="preserve">请供应商认真对照资格要求，如不符合要求，无意或故意参与投标的，所产生的一切后果由供应商承担。 </w:t>
      </w:r>
    </w:p>
    <w:p>
      <w:pPr>
        <w:topLinePunct/>
        <w:snapToGrid w:val="0"/>
        <w:spacing w:line="500" w:lineRule="exact"/>
        <w:ind w:firstLine="480" w:firstLineChars="200"/>
        <w:rPr>
          <w:rFonts w:ascii="宋体" w:hAnsi="宋体"/>
          <w:b/>
          <w:color w:val="000000"/>
          <w:sz w:val="24"/>
        </w:rPr>
      </w:pPr>
      <w:r>
        <w:rPr>
          <w:rFonts w:ascii="宋体" w:hAnsi="宋体" w:hint="eastAsia"/>
          <w:b/>
          <w:color w:val="000000"/>
          <w:sz w:val="24"/>
        </w:rPr>
        <w:t>（二）不接受的情形</w:t>
      </w:r>
    </w:p>
    <w:p>
      <w:pPr>
        <w:topLinePunct/>
        <w:snapToGrid w:val="0"/>
        <w:spacing w:line="500" w:lineRule="exact"/>
        <w:ind w:left="659" w:leftChars="314"/>
        <w:rPr>
          <w:rFonts w:ascii="宋体" w:hAnsi="宋体"/>
          <w:color w:val="000000"/>
          <w:sz w:val="24"/>
        </w:rPr>
      </w:pPr>
      <w:r>
        <w:rPr>
          <w:rFonts w:ascii="宋体" w:hAnsi="宋体" w:hint="eastAsia"/>
          <w:color w:val="000000"/>
          <w:sz w:val="24"/>
        </w:rPr>
        <w:t>1.不接受联合体参与投标；</w:t>
      </w:r>
    </w:p>
    <w:p>
      <w:pPr>
        <w:topLinePunct/>
        <w:snapToGrid w:val="0"/>
        <w:spacing w:line="500" w:lineRule="exact"/>
        <w:ind w:left="659" w:leftChars="314"/>
        <w:rPr>
          <w:rFonts w:ascii="宋体" w:hAnsi="宋体"/>
          <w:color w:val="000000"/>
          <w:sz w:val="24"/>
        </w:rPr>
        <w:sectPr>
          <w:headerReference w:type="default" r:id="rId7"/>
          <w:pgSz w:w="11906" w:h="16838"/>
          <w:pgMar w:top="1587" w:right="1417" w:bottom="1440" w:left="1417" w:header="851" w:footer="992" w:gutter="0"/>
          <w:pgNumType w:start="3"/>
          <w:cols w:num="1" w:space="720"/>
          <w:docGrid w:type="linesAndChars" w:linePitch="312" w:charSpace="0"/>
        </w:sectPr>
      </w:pPr>
      <w:r>
        <w:rPr>
          <w:rFonts w:ascii="宋体" w:hAnsi="宋体" w:hint="eastAsia"/>
          <w:color w:val="000000"/>
          <w:sz w:val="24"/>
        </w:rPr>
        <w:t>2.不接受</w:t>
      </w:r>
      <w:r>
        <w:rPr>
          <w:rFonts w:ascii="宋体" w:hAnsi="宋体"/>
          <w:color w:val="000000"/>
          <w:sz w:val="24"/>
        </w:rPr>
        <w:t>单位负责人为同一人或者存在控股、管理关系的不同单位</w:t>
      </w:r>
    </w:p>
    <w:p>
      <w:pPr>
        <w:topLinePunct/>
        <w:snapToGrid w:val="0"/>
        <w:spacing w:line="500" w:lineRule="exact"/>
        <w:ind w:left="659" w:leftChars="314"/>
        <w:rPr>
          <w:rFonts w:ascii="宋体" w:hAnsi="宋体"/>
          <w:color w:val="000000"/>
          <w:sz w:val="24"/>
        </w:rPr>
      </w:pPr>
      <w:r>
        <w:rPr>
          <w:rFonts w:ascii="宋体" w:hAnsi="宋体" w:hint="eastAsia"/>
          <w:color w:val="000000"/>
          <w:sz w:val="24"/>
        </w:rPr>
        <w:t>参与投标。为采购项目提供整体设计、规范编制或者项目管理、监理、检测等服务的供应商，不得再参加该采购项目的其他采购活动；</w:t>
      </w:r>
    </w:p>
    <w:p>
      <w:pPr>
        <w:topLinePunct/>
        <w:snapToGrid w:val="0"/>
        <w:spacing w:line="500" w:lineRule="exact"/>
        <w:ind w:left="659" w:leftChars="314"/>
        <w:rPr>
          <w:rFonts w:ascii="宋体" w:hAnsi="宋体"/>
          <w:color w:val="000000"/>
          <w:sz w:val="24"/>
        </w:rPr>
      </w:pPr>
      <w:r>
        <w:rPr>
          <w:rFonts w:ascii="宋体" w:hAnsi="宋体" w:hint="eastAsia"/>
          <w:color w:val="000000"/>
          <w:sz w:val="24"/>
        </w:rPr>
        <w:t>3.不接受兼有直系亲属及配偶以不同实体形式参与本次投标；</w:t>
      </w:r>
    </w:p>
    <w:p>
      <w:pPr>
        <w:topLinePunct/>
        <w:snapToGrid w:val="0"/>
        <w:spacing w:line="500" w:lineRule="exact"/>
        <w:ind w:left="659" w:leftChars="314"/>
        <w:rPr>
          <w:rFonts w:ascii="宋体" w:hAnsi="宋体"/>
          <w:color w:val="000000"/>
          <w:sz w:val="24"/>
        </w:rPr>
      </w:pPr>
      <w:r>
        <w:rPr>
          <w:rFonts w:ascii="宋体" w:hAnsi="宋体" w:hint="eastAsia"/>
          <w:color w:val="000000"/>
          <w:sz w:val="24"/>
        </w:rPr>
        <w:t>4.不接受以他人名义参与投标。</w:t>
      </w:r>
    </w:p>
    <w:p>
      <w:pPr>
        <w:topLinePunct/>
        <w:snapToGrid w:val="0"/>
        <w:spacing w:line="500" w:lineRule="exact"/>
        <w:ind w:left="659" w:leftChars="314"/>
        <w:rPr>
          <w:rFonts w:ascii="宋体" w:hAnsi="宋体"/>
          <w:color w:val="000000"/>
          <w:sz w:val="24"/>
        </w:rPr>
      </w:pPr>
      <w:r>
        <w:rPr>
          <w:rFonts w:ascii="宋体" w:hAnsi="宋体" w:hint="eastAsia"/>
          <w:color w:val="000000"/>
          <w:sz w:val="24"/>
        </w:rPr>
        <w:t>请各投标人认真对照资格条件，以上有关资质证明均需在投标文件中提供，原件带至现场备查。如不符合要求的，无意或故意参与报名、投标所产生的一切后果由投标人自行承担。</w:t>
      </w:r>
    </w:p>
    <w:p>
      <w:pPr>
        <w:topLinePunct/>
        <w:snapToGrid w:val="0"/>
        <w:spacing w:line="500" w:lineRule="exact"/>
        <w:ind w:firstLine="480" w:firstLineChars="200"/>
        <w:rPr>
          <w:rFonts w:ascii="宋体" w:hAnsi="宋体"/>
          <w:b/>
          <w:color w:val="000000"/>
          <w:sz w:val="24"/>
        </w:rPr>
      </w:pPr>
      <w:r>
        <w:rPr>
          <w:rFonts w:ascii="宋体" w:hAnsi="宋体" w:hint="eastAsia"/>
          <w:b/>
          <w:color w:val="000000"/>
          <w:sz w:val="24"/>
          <w:lang w:eastAsia="zh-CN"/>
        </w:rPr>
        <w:t>六</w:t>
      </w:r>
      <w:r>
        <w:rPr>
          <w:rFonts w:ascii="宋体" w:hAnsi="宋体" w:hint="eastAsia"/>
          <w:b/>
          <w:color w:val="000000"/>
          <w:sz w:val="24"/>
        </w:rPr>
        <w:t>、</w:t>
      </w:r>
      <w:r>
        <w:rPr>
          <w:rFonts w:ascii="宋体" w:hAnsi="宋体"/>
          <w:b/>
          <w:color w:val="000000"/>
          <w:sz w:val="24"/>
        </w:rPr>
        <w:t>无排它性要求说明</w:t>
      </w:r>
    </w:p>
    <w:p>
      <w:pPr>
        <w:topLinePunct/>
        <w:snapToGrid w:val="0"/>
        <w:spacing w:line="500" w:lineRule="exact"/>
        <w:ind w:left="659" w:leftChars="314"/>
        <w:rPr>
          <w:rFonts w:ascii="宋体" w:hAnsi="宋体"/>
          <w:color w:val="000000"/>
          <w:sz w:val="24"/>
        </w:rPr>
      </w:pPr>
      <w:r>
        <w:rPr>
          <w:rFonts w:ascii="宋体" w:hAnsi="宋体"/>
          <w:color w:val="000000"/>
          <w:sz w:val="24"/>
        </w:rPr>
        <w:t>1.本项目需求清单所列产品，如有品牌（或型号）仅为参考,投标人可以提供其它等于或优于此品牌（或型号）的产品，但必须提供权威证明，采购人只接受产品技术正偏离，不接受负偏离产品，投标人的自我阐述及宣传彩页等不作采信依据。</w:t>
      </w:r>
      <w:r>
        <w:rPr>
          <w:rFonts w:ascii="宋体" w:hAnsi="宋体"/>
          <w:color w:val="000000"/>
          <w:sz w:val="24"/>
        </w:rPr>
        <w:br/>
      </w:r>
      <w:r>
        <w:rPr>
          <w:rFonts w:ascii="宋体" w:hAnsi="宋体"/>
          <w:color w:val="000000"/>
          <w:sz w:val="24"/>
        </w:rPr>
        <w:t>2.本项目中，采购人提供的产品规格型号（含技术参数）要求如有排它性指标，则该指标不作强制性要求，投标人可以自行调整，但必须保证正偏离，同时还必须提供以下材料：</w:t>
      </w:r>
      <w:r>
        <w:rPr>
          <w:rFonts w:ascii="宋体" w:hAnsi="宋体"/>
          <w:color w:val="000000"/>
          <w:sz w:val="24"/>
        </w:rPr>
        <w:br/>
      </w:r>
      <w:r>
        <w:rPr>
          <w:rFonts w:ascii="宋体" w:hAnsi="宋体"/>
          <w:color w:val="000000"/>
          <w:sz w:val="24"/>
        </w:rPr>
        <w:t>（1）指标排它性的证明材料；</w:t>
      </w:r>
      <w:r>
        <w:rPr>
          <w:rFonts w:ascii="宋体" w:hAnsi="宋体"/>
          <w:color w:val="000000"/>
          <w:sz w:val="24"/>
        </w:rPr>
        <w:br/>
      </w:r>
      <w:r>
        <w:rPr>
          <w:rFonts w:ascii="宋体" w:hAnsi="宋体"/>
          <w:color w:val="000000"/>
          <w:sz w:val="24"/>
        </w:rPr>
        <w:t>（2）产品调整对比表；</w:t>
      </w:r>
      <w:r>
        <w:rPr>
          <w:rFonts w:ascii="宋体" w:hAnsi="宋体"/>
          <w:color w:val="000000"/>
          <w:sz w:val="24"/>
        </w:rPr>
        <w:br/>
      </w:r>
      <w:r>
        <w:rPr>
          <w:rFonts w:ascii="宋体" w:hAnsi="宋体"/>
          <w:color w:val="000000"/>
          <w:sz w:val="24"/>
        </w:rPr>
        <w:t>（3）调整后产品的详细技术参数；</w:t>
      </w:r>
      <w:r>
        <w:rPr>
          <w:rFonts w:ascii="宋体" w:hAnsi="宋体"/>
          <w:color w:val="000000"/>
          <w:sz w:val="24"/>
        </w:rPr>
        <w:br/>
      </w:r>
      <w:r>
        <w:rPr>
          <w:rFonts w:ascii="宋体" w:hAnsi="宋体"/>
          <w:color w:val="000000"/>
          <w:sz w:val="24"/>
        </w:rPr>
        <w:t>3．若某项产品为某厂家独家生产，投标人无法从该厂家获得产品，且无相应替代产品，经核实的，该项产品在报价中剔除，另行采购。</w:t>
      </w:r>
    </w:p>
    <w:p>
      <w:pPr>
        <w:topLinePunct/>
        <w:snapToGrid w:val="0"/>
        <w:spacing w:line="500" w:lineRule="exact"/>
        <w:ind w:firstLine="480" w:firstLineChars="200"/>
        <w:rPr>
          <w:rFonts w:ascii="宋体" w:hAnsi="宋体" w:hint="eastAsia"/>
          <w:b/>
          <w:color w:val="000000"/>
          <w:sz w:val="24"/>
        </w:rPr>
      </w:pPr>
      <w:r>
        <w:rPr>
          <w:rFonts w:ascii="宋体" w:hAnsi="宋体" w:hint="eastAsia"/>
          <w:b/>
          <w:color w:val="000000"/>
          <w:sz w:val="24"/>
          <w:lang w:eastAsia="zh-CN"/>
        </w:rPr>
        <w:t>七</w:t>
      </w:r>
      <w:r>
        <w:rPr>
          <w:rFonts w:ascii="宋体" w:hAnsi="宋体" w:hint="eastAsia"/>
          <w:b/>
          <w:color w:val="000000"/>
          <w:sz w:val="24"/>
        </w:rPr>
        <w:t>、项目需求</w:t>
      </w:r>
      <w:r>
        <w:rPr>
          <w:rFonts w:ascii="宋体" w:hAnsi="宋体" w:hint="eastAsia"/>
          <w:b/>
          <w:color w:val="000000"/>
          <w:sz w:val="24"/>
          <w:lang w:eastAsia="zh-CN"/>
        </w:rPr>
        <w:t>说明</w:t>
      </w:r>
    </w:p>
    <w:p>
      <w:pPr>
        <w:spacing w:line="500" w:lineRule="exact"/>
        <w:ind w:firstLine="480" w:firstLineChars="200"/>
        <w:rPr>
          <w:rFonts w:ascii="宋体" w:hAnsi="宋体" w:hint="eastAsia"/>
          <w:b/>
          <w:bCs/>
          <w:sz w:val="24"/>
          <w:szCs w:val="22"/>
          <w:lang w:val="zh-CN"/>
        </w:rPr>
      </w:pPr>
      <w:r>
        <w:rPr>
          <w:rFonts w:ascii="宋体" w:hAnsi="宋体" w:hint="eastAsia"/>
          <w:b/>
          <w:bCs/>
          <w:sz w:val="24"/>
          <w:szCs w:val="22"/>
          <w:lang w:val="en-US" w:eastAsia="zh-CN"/>
        </w:rPr>
        <w:t>（一）</w:t>
      </w:r>
      <w:r>
        <w:rPr>
          <w:rFonts w:ascii="宋体" w:hAnsi="宋体" w:hint="eastAsia"/>
          <w:b/>
          <w:bCs/>
          <w:sz w:val="24"/>
          <w:szCs w:val="22"/>
          <w:lang w:val="zh-CN"/>
        </w:rPr>
        <w:t>招标内容</w:t>
      </w:r>
    </w:p>
    <w:p>
      <w:pPr>
        <w:spacing w:line="500" w:lineRule="exact"/>
        <w:ind w:firstLine="480" w:firstLineChars="200"/>
        <w:rPr>
          <w:rFonts w:ascii="宋体" w:hAnsi="宋体" w:hint="eastAsia"/>
          <w:sz w:val="24"/>
          <w:szCs w:val="22"/>
        </w:rPr>
        <w:sectPr>
          <w:headerReference w:type="default" r:id="rId8"/>
          <w:type w:val="nextPage"/>
          <w:pgSz w:w="11906" w:h="16838"/>
          <w:pgMar w:top="1587" w:right="1417" w:bottom="1440" w:left="1417" w:header="851" w:footer="992" w:gutter="0"/>
          <w:pgNumType w:start="4"/>
          <w:cols w:num="1" w:space="720"/>
          <w:titlePg w:val="0"/>
          <w:docGrid w:type="linesAndChars" w:linePitch="312" w:charSpace="0"/>
        </w:sectPr>
      </w:pPr>
      <w:r>
        <w:rPr>
          <w:rFonts w:ascii="宋体" w:hAnsi="宋体" w:hint="eastAsia"/>
          <w:sz w:val="24"/>
          <w:szCs w:val="22"/>
          <w:lang w:val="zh-CN"/>
        </w:rPr>
        <w:t>通过公开招标建立</w:t>
      </w:r>
      <w:r>
        <w:rPr>
          <w:rFonts w:ascii="宋体" w:hAnsi="宋体" w:hint="eastAsia"/>
          <w:sz w:val="24"/>
          <w:szCs w:val="22"/>
        </w:rPr>
        <w:t>2020-2022年</w:t>
      </w:r>
      <w:r>
        <w:rPr>
          <w:rFonts w:ascii="宋体" w:hAnsi="宋体" w:hint="eastAsia"/>
          <w:sz w:val="24"/>
          <w:szCs w:val="22"/>
          <w:lang w:val="en-US" w:eastAsia="zh-CN"/>
        </w:rPr>
        <w:t>工程咨询公司</w:t>
      </w:r>
      <w:r>
        <w:rPr>
          <w:rFonts w:ascii="宋体" w:hAnsi="宋体" w:hint="eastAsia"/>
          <w:sz w:val="24"/>
          <w:szCs w:val="22"/>
          <w:lang w:val="zh-CN"/>
        </w:rPr>
        <w:t>备选库，以便能够更好更快地完成</w:t>
      </w:r>
      <w:r>
        <w:rPr>
          <w:rFonts w:ascii="宋体" w:hAnsi="宋体" w:hint="eastAsia"/>
          <w:sz w:val="24"/>
          <w:szCs w:val="22"/>
          <w:lang w:val="en-US" w:eastAsia="zh-CN"/>
        </w:rPr>
        <w:t xml:space="preserve"> </w:t>
      </w:r>
      <w:r>
        <w:rPr>
          <w:rFonts w:ascii="宋体" w:hAnsi="宋体" w:hint="eastAsia"/>
          <w:sz w:val="24"/>
          <w:szCs w:val="22"/>
          <w:lang w:val="zh-CN"/>
        </w:rPr>
        <w:t>学校各工程审计工作</w:t>
      </w:r>
      <w:r>
        <w:rPr>
          <w:rFonts w:ascii="宋体" w:hAnsi="宋体" w:hint="eastAsia"/>
          <w:sz w:val="24"/>
          <w:szCs w:val="22"/>
        </w:rPr>
        <w:t>。</w:t>
      </w:r>
      <w:r>
        <w:rPr>
          <w:rFonts w:ascii="宋体" w:hAnsi="宋体" w:hint="eastAsia"/>
          <w:sz w:val="24"/>
          <w:szCs w:val="22"/>
          <w:lang w:eastAsia="zh-CN"/>
        </w:rPr>
        <w:t>本次招标招</w:t>
      </w:r>
      <w:r>
        <w:rPr>
          <w:rFonts w:ascii="宋体" w:hAnsi="宋体" w:hint="eastAsia"/>
          <w:sz w:val="24"/>
          <w:szCs w:val="22"/>
          <w:lang w:val="en-US" w:eastAsia="zh-CN"/>
        </w:rPr>
        <w:t>3家审计公司，</w:t>
      </w:r>
      <w:r>
        <w:rPr>
          <w:rFonts w:ascii="宋体" w:hAnsi="宋体" w:hint="eastAsia"/>
          <w:sz w:val="24"/>
          <w:szCs w:val="22"/>
        </w:rPr>
        <w:t>通过资格后审的投标人为7家及以上的，选取得分排名前三的投标人为中标候选人</w:t>
      </w:r>
      <w:r>
        <w:rPr>
          <w:rFonts w:ascii="宋体" w:hAnsi="宋体" w:hint="eastAsia"/>
          <w:sz w:val="24"/>
          <w:szCs w:val="22"/>
          <w:lang w:eastAsia="zh-CN"/>
        </w:rPr>
        <w:t>，低于</w:t>
      </w:r>
      <w:r>
        <w:rPr>
          <w:rFonts w:ascii="宋体" w:hAnsi="宋体" w:hint="eastAsia"/>
          <w:sz w:val="24"/>
          <w:szCs w:val="22"/>
          <w:lang w:val="en-US" w:eastAsia="zh-CN"/>
        </w:rPr>
        <w:t>7家的将做流标处理</w:t>
      </w:r>
      <w:r>
        <w:rPr>
          <w:rFonts w:ascii="宋体" w:hAnsi="宋体" w:hint="eastAsia"/>
          <w:sz w:val="24"/>
          <w:szCs w:val="22"/>
        </w:rPr>
        <w:t>。</w:t>
      </w:r>
    </w:p>
    <w:p>
      <w:pPr>
        <w:spacing w:line="500" w:lineRule="exact"/>
        <w:ind w:firstLine="480" w:firstLineChars="200"/>
        <w:rPr>
          <w:rFonts w:ascii="宋体" w:hAnsi="宋体" w:hint="eastAsia"/>
          <w:b/>
          <w:bCs/>
          <w:sz w:val="24"/>
          <w:szCs w:val="22"/>
          <w:lang w:val="zh-CN"/>
        </w:rPr>
      </w:pPr>
      <w:r>
        <w:rPr>
          <w:rFonts w:ascii="宋体" w:hAnsi="宋体" w:hint="eastAsia"/>
          <w:b/>
          <w:bCs/>
          <w:sz w:val="24"/>
          <w:szCs w:val="22"/>
          <w:lang w:val="zh-CN"/>
        </w:rPr>
        <w:t>（二）考核办法</w:t>
      </w:r>
    </w:p>
    <w:p>
      <w:pPr>
        <w:spacing w:line="500" w:lineRule="exact"/>
        <w:ind w:firstLine="480" w:firstLineChars="200"/>
        <w:rPr>
          <w:rFonts w:ascii="宋体" w:hAnsi="宋体" w:hint="eastAsia"/>
          <w:sz w:val="24"/>
          <w:szCs w:val="22"/>
        </w:rPr>
      </w:pPr>
      <w:r>
        <w:rPr>
          <w:rFonts w:ascii="宋体" w:hAnsi="宋体" w:hint="eastAsia"/>
          <w:sz w:val="24"/>
          <w:szCs w:val="22"/>
          <w:lang w:eastAsia="zh-CN"/>
        </w:rPr>
        <w:t>（</w:t>
      </w:r>
      <w:r>
        <w:rPr>
          <w:rFonts w:ascii="宋体" w:hAnsi="宋体" w:hint="eastAsia"/>
          <w:sz w:val="24"/>
          <w:szCs w:val="22"/>
          <w:lang w:val="en-US" w:eastAsia="zh-CN"/>
        </w:rPr>
        <w:t>1</w:t>
      </w:r>
      <w:r>
        <w:rPr>
          <w:rFonts w:ascii="宋体" w:hAnsi="宋体" w:hint="eastAsia"/>
          <w:sz w:val="24"/>
          <w:szCs w:val="22"/>
          <w:lang w:eastAsia="zh-CN"/>
        </w:rPr>
        <w:t>）</w:t>
      </w:r>
      <w:r>
        <w:rPr>
          <w:rFonts w:ascii="宋体" w:hAnsi="宋体" w:hint="eastAsia"/>
          <w:sz w:val="24"/>
          <w:szCs w:val="22"/>
        </w:rPr>
        <w:t>为进一步加强对我校项目的审计监督，规范社会中介机构参与委托审计的执业行为，保证审计质量，对于所有中标单位将定期进行年度考核，年度考核的标准由南通职业</w:t>
      </w:r>
      <w:r>
        <w:rPr>
          <w:rFonts w:ascii="宋体" w:hAnsi="宋体" w:hint="eastAsia"/>
          <w:sz w:val="24"/>
          <w:szCs w:val="22"/>
          <w:lang w:eastAsia="zh-CN"/>
        </w:rPr>
        <w:t>大学</w:t>
      </w:r>
      <w:r>
        <w:rPr>
          <w:rFonts w:ascii="宋体" w:hAnsi="宋体" w:hint="eastAsia"/>
          <w:sz w:val="24"/>
          <w:szCs w:val="22"/>
        </w:rPr>
        <w:t>统一制定。考核主要从审计过程、审计质量、审计效率、工作纪律、资料整理五个方面进行。对于年度考核不合格的咨询公司将取消其资格，不再与其发生相关业务，而且在下一轮招标中取消其参加投标资格。</w:t>
      </w:r>
    </w:p>
    <w:p>
      <w:pPr>
        <w:spacing w:line="500" w:lineRule="exact"/>
        <w:ind w:firstLine="480" w:firstLineChars="200"/>
        <w:rPr>
          <w:rFonts w:ascii="宋体" w:hAnsi="宋体" w:hint="eastAsia"/>
          <w:sz w:val="24"/>
          <w:szCs w:val="22"/>
        </w:rPr>
      </w:pPr>
      <w:r>
        <w:rPr>
          <w:rFonts w:ascii="宋体" w:hAnsi="宋体" w:hint="eastAsia"/>
          <w:sz w:val="24"/>
          <w:szCs w:val="22"/>
          <w:lang w:eastAsia="zh-CN"/>
        </w:rPr>
        <w:t>（</w:t>
      </w:r>
      <w:r>
        <w:rPr>
          <w:rFonts w:ascii="宋体" w:hAnsi="宋体" w:hint="eastAsia"/>
          <w:sz w:val="24"/>
          <w:szCs w:val="22"/>
          <w:lang w:val="en-US" w:eastAsia="zh-CN"/>
        </w:rPr>
        <w:t>2</w:t>
      </w:r>
      <w:r>
        <w:rPr>
          <w:rFonts w:ascii="宋体" w:hAnsi="宋体" w:hint="eastAsia"/>
          <w:sz w:val="24"/>
          <w:szCs w:val="22"/>
          <w:lang w:eastAsia="zh-CN"/>
        </w:rPr>
        <w:t>）</w:t>
      </w:r>
      <w:r>
        <w:rPr>
          <w:rFonts w:ascii="宋体" w:hAnsi="宋体" w:hint="eastAsia"/>
          <w:sz w:val="24"/>
          <w:szCs w:val="22"/>
        </w:rPr>
        <w:t>对于项目负责人和项目主要人员在审计工作的整个过程中无特殊原因不得随意进行更换，影响审计工作的绩效性和及时性。如若发生随意更换行为，则影响年度考核的成绩。</w:t>
      </w:r>
    </w:p>
    <w:p>
      <w:pPr>
        <w:tabs>
          <w:tab w:val="left" w:pos="5325"/>
        </w:tabs>
        <w:snapToGrid w:val="0"/>
        <w:spacing w:line="500" w:lineRule="exact"/>
        <w:ind w:firstLine="480" w:firstLineChars="200"/>
        <w:contextualSpacing/>
        <w:rPr>
          <w:rFonts w:ascii="宋体" w:hAnsi="宋体" w:hint="eastAsia"/>
          <w:b/>
          <w:sz w:val="24"/>
          <w:szCs w:val="22"/>
        </w:rPr>
      </w:pPr>
      <w:r>
        <w:rPr>
          <w:rFonts w:ascii="宋体" w:hAnsi="宋体" w:hint="eastAsia"/>
          <w:b/>
          <w:sz w:val="24"/>
          <w:szCs w:val="22"/>
          <w:lang w:eastAsia="zh-CN"/>
        </w:rPr>
        <w:t>（三）其他要求</w:t>
      </w:r>
    </w:p>
    <w:p>
      <w:pPr>
        <w:tabs>
          <w:tab w:val="left" w:pos="5325"/>
        </w:tabs>
        <w:snapToGrid w:val="0"/>
        <w:spacing w:line="500" w:lineRule="exact"/>
        <w:ind w:firstLine="480" w:firstLineChars="200"/>
        <w:contextualSpacing/>
        <w:rPr>
          <w:rFonts w:ascii="宋体" w:hAnsi="宋体"/>
          <w:b/>
          <w:sz w:val="24"/>
          <w:szCs w:val="22"/>
        </w:rPr>
      </w:pPr>
      <w:r>
        <w:rPr>
          <w:rFonts w:ascii="宋体" w:hAnsi="宋体" w:hint="eastAsia"/>
          <w:b/>
          <w:sz w:val="24"/>
          <w:szCs w:val="22"/>
          <w:lang w:val="en-US" w:eastAsia="zh-CN"/>
        </w:rPr>
        <w:t>（1）</w:t>
      </w:r>
      <w:r>
        <w:rPr>
          <w:rFonts w:ascii="宋体" w:hAnsi="宋体"/>
          <w:b/>
          <w:sz w:val="24"/>
          <w:szCs w:val="22"/>
        </w:rPr>
        <w:t>验收要求</w:t>
      </w:r>
    </w:p>
    <w:p>
      <w:pPr>
        <w:tabs>
          <w:tab w:val="left" w:pos="5325"/>
        </w:tabs>
        <w:snapToGrid w:val="0"/>
        <w:spacing w:line="500" w:lineRule="exact"/>
        <w:ind w:firstLine="480" w:firstLineChars="200"/>
        <w:contextualSpacing/>
        <w:rPr>
          <w:rFonts w:ascii="宋体" w:hAnsi="宋体"/>
          <w:sz w:val="24"/>
          <w:szCs w:val="22"/>
        </w:rPr>
      </w:pPr>
      <w:r>
        <w:rPr>
          <w:rFonts w:ascii="宋体" w:hAnsi="宋体"/>
          <w:sz w:val="24"/>
          <w:szCs w:val="22"/>
        </w:rPr>
        <w:t>由我单位组织相关专业技术人员</w:t>
      </w:r>
      <w:r>
        <w:rPr>
          <w:rFonts w:ascii="宋体" w:hAnsi="宋体" w:hint="eastAsia"/>
          <w:sz w:val="24"/>
          <w:szCs w:val="22"/>
        </w:rPr>
        <w:t>，必要时邀请</w:t>
      </w:r>
      <w:r>
        <w:rPr>
          <w:rFonts w:ascii="宋体" w:hAnsi="宋体"/>
          <w:sz w:val="24"/>
          <w:szCs w:val="22"/>
        </w:rPr>
        <w:t>质检等部门共同参与验收，出具验收报告，作为支付货款的依据。由于验收而产生的所有费用由中标方负责。</w:t>
      </w:r>
    </w:p>
    <w:p>
      <w:pPr>
        <w:tabs>
          <w:tab w:val="left" w:pos="5325"/>
        </w:tabs>
        <w:snapToGrid w:val="0"/>
        <w:spacing w:line="500" w:lineRule="exact"/>
        <w:ind w:firstLine="480" w:firstLineChars="200"/>
        <w:contextualSpacing/>
        <w:rPr>
          <w:rFonts w:ascii="宋体" w:hAnsi="宋体"/>
          <w:b/>
          <w:sz w:val="24"/>
          <w:szCs w:val="22"/>
        </w:rPr>
      </w:pPr>
      <w:r>
        <w:rPr>
          <w:rFonts w:ascii="宋体" w:hAnsi="宋体" w:hint="eastAsia"/>
          <w:b/>
          <w:sz w:val="24"/>
          <w:szCs w:val="22"/>
          <w:lang w:eastAsia="zh-CN"/>
        </w:rPr>
        <w:t>（</w:t>
      </w:r>
      <w:r>
        <w:rPr>
          <w:rFonts w:ascii="宋体" w:hAnsi="宋体" w:hint="eastAsia"/>
          <w:b/>
          <w:sz w:val="24"/>
          <w:szCs w:val="22"/>
          <w:lang w:val="en-US" w:eastAsia="zh-CN"/>
        </w:rPr>
        <w:t>2</w:t>
      </w:r>
      <w:r>
        <w:rPr>
          <w:rFonts w:ascii="宋体" w:hAnsi="宋体" w:hint="eastAsia"/>
          <w:b/>
          <w:sz w:val="24"/>
          <w:szCs w:val="22"/>
          <w:lang w:eastAsia="zh-CN"/>
        </w:rPr>
        <w:t>）</w:t>
      </w:r>
      <w:r>
        <w:rPr>
          <w:rFonts w:ascii="宋体" w:hAnsi="宋体"/>
          <w:b/>
          <w:sz w:val="24"/>
          <w:szCs w:val="22"/>
        </w:rPr>
        <w:t>项目交货期需求</w:t>
      </w:r>
    </w:p>
    <w:p>
      <w:pPr>
        <w:widowControl/>
        <w:shd w:val="clear" w:color="auto" w:fill="FFFFFF"/>
        <w:snapToGrid w:val="0"/>
        <w:spacing w:line="500" w:lineRule="exact"/>
        <w:ind w:firstLine="480" w:firstLineChars="200"/>
        <w:contextualSpacing/>
        <w:rPr>
          <w:rFonts w:ascii="宋体" w:hAnsi="宋体"/>
          <w:sz w:val="24"/>
          <w:szCs w:val="22"/>
        </w:rPr>
      </w:pPr>
      <w:r>
        <w:rPr>
          <w:rFonts w:ascii="宋体" w:hAnsi="宋体" w:hint="eastAsia"/>
          <w:sz w:val="24"/>
          <w:szCs w:val="22"/>
        </w:rPr>
        <w:t>⑴</w:t>
      </w:r>
      <w:r>
        <w:rPr>
          <w:rFonts w:ascii="宋体" w:hAnsi="宋体"/>
          <w:sz w:val="24"/>
          <w:szCs w:val="22"/>
        </w:rPr>
        <w:t>签定合同日期：自中标（成交）通知书发出之日起</w:t>
      </w:r>
      <w:r>
        <w:rPr>
          <w:rFonts w:ascii="宋体" w:hAnsi="宋体"/>
          <w:sz w:val="24"/>
          <w:szCs w:val="22"/>
          <w:u w:val="single"/>
        </w:rPr>
        <w:t xml:space="preserve">  </w:t>
      </w:r>
      <w:r>
        <w:rPr>
          <w:rFonts w:ascii="宋体" w:hAnsi="宋体" w:hint="eastAsia"/>
          <w:sz w:val="24"/>
          <w:szCs w:val="22"/>
          <w:u w:val="single"/>
        </w:rPr>
        <w:t>15</w:t>
      </w:r>
      <w:r>
        <w:rPr>
          <w:rFonts w:ascii="宋体" w:hAnsi="宋体"/>
          <w:sz w:val="24"/>
          <w:szCs w:val="22"/>
          <w:u w:val="single"/>
        </w:rPr>
        <w:t xml:space="preserve"> </w:t>
      </w:r>
      <w:r>
        <w:rPr>
          <w:rFonts w:ascii="宋体" w:hAnsi="宋体"/>
          <w:sz w:val="24"/>
          <w:szCs w:val="22"/>
        </w:rPr>
        <w:t>个工作日内按时签约。</w:t>
      </w:r>
    </w:p>
    <w:p>
      <w:pPr>
        <w:widowControl/>
        <w:shd w:val="clear" w:color="auto" w:fill="FFFFFF"/>
        <w:snapToGrid w:val="0"/>
        <w:spacing w:line="500" w:lineRule="exact"/>
        <w:ind w:firstLine="480" w:firstLineChars="200"/>
        <w:contextualSpacing/>
        <w:rPr>
          <w:rFonts w:ascii="宋体" w:hAnsi="宋体"/>
          <w:sz w:val="24"/>
          <w:szCs w:val="22"/>
        </w:rPr>
      </w:pPr>
      <w:r>
        <w:rPr>
          <w:rFonts w:ascii="宋体" w:hAnsi="宋体" w:hint="eastAsia"/>
          <w:sz w:val="24"/>
          <w:szCs w:val="22"/>
        </w:rPr>
        <w:t>⑵</w:t>
      </w:r>
      <w:r>
        <w:rPr>
          <w:rFonts w:ascii="宋体" w:hAnsi="宋体"/>
          <w:sz w:val="24"/>
          <w:szCs w:val="22"/>
        </w:rPr>
        <w:t>交货期（服务时间）： 自合同签定之日起</w:t>
      </w:r>
      <w:r>
        <w:rPr>
          <w:rFonts w:ascii="宋体" w:hAnsi="宋体"/>
          <w:sz w:val="24"/>
          <w:szCs w:val="22"/>
          <w:u w:val="single"/>
        </w:rPr>
        <w:t xml:space="preserve"> </w:t>
      </w:r>
      <w:r>
        <w:rPr>
          <w:rFonts w:ascii="宋体" w:hAnsi="宋体" w:hint="eastAsia"/>
          <w:sz w:val="24"/>
          <w:szCs w:val="22"/>
          <w:u w:val="single"/>
        </w:rPr>
        <w:t>30</w:t>
      </w:r>
      <w:r>
        <w:rPr>
          <w:rFonts w:ascii="宋体" w:hAnsi="宋体"/>
          <w:sz w:val="24"/>
          <w:szCs w:val="22"/>
          <w:u w:val="single"/>
        </w:rPr>
        <w:t xml:space="preserve"> </w:t>
      </w:r>
      <w:r>
        <w:rPr>
          <w:rFonts w:ascii="宋体" w:hAnsi="宋体"/>
          <w:sz w:val="24"/>
          <w:szCs w:val="22"/>
        </w:rPr>
        <w:t>天内。</w:t>
      </w:r>
    </w:p>
    <w:p>
      <w:pPr>
        <w:tabs>
          <w:tab w:val="left" w:pos="5325"/>
        </w:tabs>
        <w:snapToGrid w:val="0"/>
        <w:spacing w:line="500" w:lineRule="exact"/>
        <w:ind w:firstLine="480" w:firstLineChars="200"/>
        <w:contextualSpacing/>
        <w:jc w:val="left"/>
        <w:rPr>
          <w:rFonts w:ascii="宋体" w:hAnsi="宋体"/>
          <w:b/>
          <w:sz w:val="24"/>
          <w:szCs w:val="22"/>
          <w:lang w:val="zh-CN"/>
        </w:rPr>
      </w:pPr>
      <w:r>
        <w:rPr>
          <w:rFonts w:ascii="宋体" w:hAnsi="宋体" w:hint="eastAsia"/>
          <w:b/>
          <w:sz w:val="24"/>
          <w:szCs w:val="22"/>
          <w:lang w:val="zh-CN"/>
        </w:rPr>
        <w:t>（</w:t>
      </w:r>
      <w:r>
        <w:rPr>
          <w:rFonts w:ascii="宋体" w:hAnsi="宋体" w:hint="eastAsia"/>
          <w:b/>
          <w:sz w:val="24"/>
          <w:szCs w:val="22"/>
          <w:lang w:val="en-US" w:eastAsia="zh-CN"/>
        </w:rPr>
        <w:t>3</w:t>
      </w:r>
      <w:r>
        <w:rPr>
          <w:rFonts w:ascii="宋体" w:hAnsi="宋体" w:hint="eastAsia"/>
          <w:b/>
          <w:sz w:val="24"/>
          <w:szCs w:val="22"/>
          <w:lang w:val="zh-CN"/>
        </w:rPr>
        <w:t>）</w:t>
      </w:r>
      <w:r>
        <w:rPr>
          <w:rFonts w:ascii="宋体" w:hAnsi="宋体"/>
          <w:b/>
          <w:sz w:val="24"/>
          <w:szCs w:val="22"/>
          <w:lang w:val="zh-CN"/>
        </w:rPr>
        <w:t>付款</w:t>
      </w:r>
    </w:p>
    <w:p>
      <w:pPr>
        <w:tabs>
          <w:tab w:val="left" w:pos="5325"/>
        </w:tabs>
        <w:snapToGrid w:val="0"/>
        <w:spacing w:line="500" w:lineRule="exact"/>
        <w:ind w:firstLine="480" w:firstLineChars="200"/>
        <w:contextualSpacing/>
        <w:jc w:val="left"/>
        <w:rPr>
          <w:rFonts w:ascii="宋体" w:hAnsi="宋体"/>
          <w:sz w:val="24"/>
        </w:rPr>
      </w:pPr>
      <w:r>
        <w:rPr>
          <w:rFonts w:ascii="宋体" w:hAnsi="宋体" w:hint="eastAsia"/>
          <w:bCs/>
          <w:sz w:val="24"/>
          <w:lang w:val="zh-CN"/>
        </w:rPr>
        <w:t>⑴</w:t>
      </w:r>
      <w:r>
        <w:rPr>
          <w:rFonts w:ascii="宋体" w:hAnsi="宋体"/>
          <w:sz w:val="24"/>
        </w:rPr>
        <w:t>申请部门应在项目验收合格后按合同约定办理结算手续。</w:t>
      </w:r>
    </w:p>
    <w:p>
      <w:pPr>
        <w:adjustRightInd w:val="0"/>
        <w:snapToGrid w:val="0"/>
        <w:spacing w:line="500" w:lineRule="exact"/>
        <w:ind w:left="420" w:firstLine="5" w:leftChars="200" w:firstLineChars="2"/>
        <w:rPr>
          <w:rFonts w:ascii="宋体" w:hAnsi="宋体"/>
          <w:sz w:val="24"/>
          <w:szCs w:val="22"/>
          <w:u w:val="single"/>
        </w:rPr>
      </w:pPr>
      <w:r>
        <w:rPr>
          <w:rFonts w:ascii="宋体" w:hAnsi="宋体" w:hint="eastAsia"/>
          <w:bCs/>
          <w:sz w:val="24"/>
          <w:lang w:val="zh-CN"/>
        </w:rPr>
        <w:t>⑵</w:t>
      </w:r>
      <w:r>
        <w:rPr>
          <w:rFonts w:ascii="Calibri" w:hAnsi="Calibri"/>
          <w:sz w:val="24"/>
        </w:rPr>
        <w:t>付款方式：</w:t>
      </w:r>
      <w:r>
        <w:rPr>
          <w:rFonts w:ascii="宋体" w:hAnsi="宋体" w:hint="eastAsia"/>
          <w:sz w:val="24"/>
        </w:rPr>
        <w:t>按照各项财务审计完成验收合格后一次性付款</w:t>
      </w:r>
      <w:r>
        <w:rPr>
          <w:rFonts w:ascii="Calibri" w:hAnsi="Calibri" w:hint="eastAsia"/>
          <w:sz w:val="24"/>
        </w:rPr>
        <w:t>。</w:t>
      </w:r>
    </w:p>
    <w:p>
      <w:pPr>
        <w:tabs>
          <w:tab w:val="left" w:pos="5325"/>
        </w:tabs>
        <w:snapToGrid w:val="0"/>
        <w:spacing w:line="500" w:lineRule="exact"/>
        <w:ind w:firstLine="480" w:firstLineChars="200"/>
        <w:contextualSpacing/>
        <w:jc w:val="left"/>
        <w:rPr>
          <w:rFonts w:ascii="宋体" w:hAnsi="宋体" w:hint="eastAsia"/>
          <w:b/>
          <w:bCs/>
          <w:sz w:val="24"/>
          <w:szCs w:val="22"/>
        </w:rPr>
      </w:pPr>
      <w:r>
        <w:rPr>
          <w:rFonts w:ascii="宋体" w:hAnsi="宋体" w:hint="eastAsia"/>
          <w:b/>
          <w:bCs/>
          <w:sz w:val="24"/>
          <w:szCs w:val="22"/>
          <w:lang w:val="en-US" w:eastAsia="zh-CN"/>
        </w:rPr>
        <w:t>（4）违约责任</w:t>
      </w:r>
    </w:p>
    <w:p>
      <w:pPr>
        <w:tabs>
          <w:tab w:val="left" w:pos="5325"/>
        </w:tabs>
        <w:snapToGrid w:val="0"/>
        <w:spacing w:line="500" w:lineRule="exact"/>
        <w:ind w:firstLine="480" w:firstLineChars="200"/>
        <w:contextualSpacing/>
        <w:jc w:val="left"/>
        <w:rPr>
          <w:rFonts w:ascii="宋体" w:hAnsi="宋体"/>
          <w:sz w:val="24"/>
        </w:rPr>
      </w:pPr>
      <w:r>
        <w:rPr>
          <w:rFonts w:ascii="宋体" w:hAnsi="宋体" w:hint="eastAsia"/>
          <w:sz w:val="24"/>
        </w:rPr>
        <w:t>⑴</w:t>
      </w:r>
      <w:r>
        <w:rPr>
          <w:rFonts w:ascii="宋体" w:hAnsi="宋体"/>
          <w:sz w:val="24"/>
        </w:rPr>
        <w:t>供方不能按期供货，供方付给需方违约金（违约金的计算：</w:t>
      </w:r>
      <w:r>
        <w:rPr>
          <w:rFonts w:ascii="宋体" w:hAnsi="宋体"/>
          <w:b/>
          <w:sz w:val="24"/>
        </w:rPr>
        <w:t>合同总额的</w:t>
      </w:r>
      <w:r>
        <w:rPr>
          <w:rFonts w:ascii="宋体" w:hAnsi="宋体"/>
          <w:b/>
          <w:sz w:val="24"/>
          <w:u w:val="single"/>
        </w:rPr>
        <w:t xml:space="preserve">  0.5  % /天 </w:t>
      </w:r>
      <w:r>
        <w:rPr>
          <w:rFonts w:ascii="宋体" w:hAnsi="宋体"/>
          <w:sz w:val="24"/>
        </w:rPr>
        <w:t xml:space="preserve"> ）。需方原因或不可抗力的因素影响除外。</w:t>
      </w:r>
    </w:p>
    <w:p>
      <w:pPr>
        <w:spacing w:line="500" w:lineRule="exact"/>
        <w:ind w:firstLine="480" w:firstLineChars="200"/>
        <w:rPr>
          <w:rFonts w:ascii="宋体" w:hAnsi="宋体"/>
          <w:sz w:val="24"/>
        </w:rPr>
      </w:pPr>
      <w:r>
        <w:rPr>
          <w:rFonts w:ascii="宋体" w:hAnsi="宋体" w:hint="eastAsia"/>
          <w:sz w:val="24"/>
        </w:rPr>
        <w:t>⑵</w:t>
      </w:r>
      <w:r>
        <w:rPr>
          <w:rFonts w:ascii="宋体" w:hAnsi="宋体"/>
          <w:sz w:val="24"/>
        </w:rPr>
        <w:t>供方低于合同配置、技术标准供货，供方负有下列第</w:t>
      </w:r>
      <w:r>
        <w:rPr>
          <w:rFonts w:ascii="宋体" w:hAnsi="宋体"/>
          <w:sz w:val="24"/>
          <w:u w:val="single"/>
        </w:rPr>
        <w:t xml:space="preserve"> </w:t>
      </w:r>
      <w:r>
        <w:rPr>
          <w:rFonts w:ascii="宋体" w:hAnsi="宋体"/>
          <w:b/>
          <w:sz w:val="24"/>
          <w:u w:val="single"/>
        </w:rPr>
        <w:t xml:space="preserve">   </w:t>
      </w:r>
      <w:r>
        <w:rPr>
          <w:rFonts w:ascii="宋体" w:hAnsi="宋体"/>
          <w:sz w:val="24"/>
        </w:rPr>
        <w:t>种责任：</w:t>
      </w:r>
    </w:p>
    <w:p>
      <w:pPr>
        <w:spacing w:line="500" w:lineRule="exact"/>
        <w:ind w:firstLine="480" w:firstLineChars="200"/>
        <w:rPr>
          <w:rFonts w:ascii="宋体" w:hAnsi="宋体"/>
          <w:sz w:val="24"/>
        </w:rPr>
        <w:sectPr>
          <w:headerReference w:type="default" r:id="rId9"/>
          <w:type w:val="nextPage"/>
          <w:pgSz w:w="11906" w:h="16838"/>
          <w:pgMar w:top="1587" w:right="1417" w:bottom="1440" w:left="1417" w:header="851" w:footer="992" w:gutter="0"/>
          <w:pgNumType w:start="5"/>
          <w:cols w:num="1" w:space="720"/>
          <w:titlePg w:val="0"/>
          <w:docGrid w:type="linesAndChars" w:linePitch="312" w:charSpace="0"/>
        </w:sectPr>
      </w:pPr>
      <w:r>
        <w:rPr>
          <w:rFonts w:ascii="宋体" w:hAnsi="宋体" w:hint="eastAsia"/>
          <w:sz w:val="24"/>
        </w:rPr>
        <w:t>①</w:t>
      </w:r>
      <w:r>
        <w:rPr>
          <w:rFonts w:ascii="宋体" w:hAnsi="宋体"/>
          <w:sz w:val="24"/>
        </w:rPr>
        <w:t>供方恢复合同规定的配置、技术标准（或不低于原配置、原标准），遇价格下降的，供方退还差价；遇价格上涨的，按原价格执行。同时供方付给需方合同总价款</w:t>
      </w:r>
      <w:r>
        <w:rPr>
          <w:rFonts w:ascii="宋体" w:hAnsi="宋体"/>
          <w:sz w:val="24"/>
          <w:u w:val="single"/>
        </w:rPr>
        <w:t xml:space="preserve">  10   </w:t>
      </w:r>
      <w:r>
        <w:rPr>
          <w:rFonts w:ascii="宋体" w:hAnsi="宋体"/>
          <w:sz w:val="24"/>
        </w:rPr>
        <w:t>%的违约金。</w:t>
      </w:r>
    </w:p>
    <w:p>
      <w:pPr>
        <w:spacing w:line="500" w:lineRule="exact"/>
        <w:ind w:firstLine="480" w:firstLineChars="200"/>
        <w:rPr>
          <w:rFonts w:ascii="宋体" w:hAnsi="宋体"/>
          <w:sz w:val="24"/>
        </w:rPr>
      </w:pPr>
      <w:r>
        <w:rPr>
          <w:rFonts w:ascii="宋体" w:hAnsi="宋体" w:hint="eastAsia"/>
          <w:sz w:val="24"/>
        </w:rPr>
        <w:t>②</w:t>
      </w:r>
      <w:r>
        <w:rPr>
          <w:rFonts w:ascii="宋体" w:hAnsi="宋体"/>
          <w:sz w:val="24"/>
        </w:rPr>
        <w:t>需方退货，同时，供方付给需方合同总价款</w:t>
      </w:r>
      <w:r>
        <w:rPr>
          <w:rFonts w:ascii="宋体" w:hAnsi="宋体"/>
          <w:sz w:val="24"/>
          <w:u w:val="single"/>
        </w:rPr>
        <w:t xml:space="preserve">   10     </w:t>
      </w:r>
      <w:r>
        <w:rPr>
          <w:rFonts w:ascii="宋体" w:hAnsi="宋体"/>
          <w:sz w:val="24"/>
        </w:rPr>
        <w:t>%的违约金。</w:t>
      </w:r>
    </w:p>
    <w:p>
      <w:pPr>
        <w:spacing w:line="500" w:lineRule="exact"/>
        <w:ind w:firstLine="480" w:firstLineChars="200"/>
        <w:rPr>
          <w:rFonts w:ascii="宋体" w:hAnsi="宋体"/>
          <w:sz w:val="24"/>
        </w:rPr>
      </w:pPr>
      <w:r>
        <w:rPr>
          <w:rFonts w:ascii="宋体" w:hAnsi="宋体" w:cs="宋体" w:hint="eastAsia"/>
          <w:sz w:val="24"/>
        </w:rPr>
        <w:t>⑶</w:t>
      </w:r>
      <w:r>
        <w:rPr>
          <w:rFonts w:ascii="宋体" w:hAnsi="宋体"/>
          <w:sz w:val="24"/>
        </w:rPr>
        <w:t>供方不能按期服务、降低服务标准、服务质量，或不兑现服务承诺，供方返还向需方收取的服务费，并付给需方合同总价款</w:t>
      </w:r>
      <w:r>
        <w:rPr>
          <w:rFonts w:ascii="宋体" w:hAnsi="宋体"/>
          <w:sz w:val="24"/>
          <w:u w:val="single"/>
        </w:rPr>
        <w:t xml:space="preserve">     10      </w:t>
      </w:r>
      <w:r>
        <w:rPr>
          <w:rFonts w:ascii="宋体" w:hAnsi="宋体"/>
          <w:sz w:val="24"/>
        </w:rPr>
        <w:t>%的违约金。</w:t>
      </w:r>
    </w:p>
    <w:p>
      <w:pPr>
        <w:spacing w:line="500" w:lineRule="exact"/>
        <w:ind w:firstLine="480" w:firstLineChars="200"/>
        <w:rPr>
          <w:rFonts w:ascii="宋体" w:hAnsi="宋体"/>
          <w:sz w:val="24"/>
        </w:rPr>
      </w:pPr>
      <w:r>
        <w:rPr>
          <w:rFonts w:ascii="宋体" w:hAnsi="宋体" w:cs="宋体" w:hint="eastAsia"/>
          <w:sz w:val="24"/>
        </w:rPr>
        <w:t>⑷</w:t>
      </w:r>
      <w:r>
        <w:rPr>
          <w:rFonts w:ascii="宋体" w:hAnsi="宋体"/>
          <w:sz w:val="24"/>
        </w:rPr>
        <w:t>需方除供方低于合同配置、技术标准供货或不可抗力因素外，要求退货或不接受货物的，付给供方合同总价款</w:t>
      </w:r>
      <w:r>
        <w:rPr>
          <w:rFonts w:ascii="宋体" w:hAnsi="宋体"/>
          <w:sz w:val="24"/>
          <w:u w:val="single"/>
        </w:rPr>
        <w:t xml:space="preserve">     10      </w:t>
      </w:r>
      <w:r>
        <w:rPr>
          <w:rFonts w:ascii="宋体" w:hAnsi="宋体"/>
          <w:sz w:val="24"/>
        </w:rPr>
        <w:t>%的违约金。</w:t>
      </w:r>
    </w:p>
    <w:p>
      <w:pPr>
        <w:pStyle w:val="BodyText"/>
        <w:spacing w:before="0" w:beforeAutospacing="0" w:after="0" w:afterAutospacing="0" w:line="500" w:lineRule="exact"/>
        <w:ind w:firstLine="470" w:firstLineChars="196"/>
        <w:rPr>
          <w:rFonts w:ascii="宋体" w:hAnsi="宋体"/>
          <w:b/>
          <w:color w:val="000000"/>
        </w:rPr>
      </w:pPr>
      <w:r>
        <w:rPr>
          <w:rFonts w:ascii="宋体" w:hAnsi="宋体" w:hint="eastAsia"/>
          <w:b/>
          <w:color w:val="000000"/>
        </w:rPr>
        <w:t>（</w:t>
      </w:r>
      <w:r>
        <w:rPr>
          <w:rFonts w:ascii="宋体" w:hAnsi="宋体" w:hint="eastAsia"/>
          <w:b/>
          <w:color w:val="000000"/>
          <w:lang w:eastAsia="zh-CN"/>
        </w:rPr>
        <w:t>四</w:t>
      </w:r>
      <w:r>
        <w:rPr>
          <w:rFonts w:ascii="宋体" w:hAnsi="宋体" w:hint="eastAsia"/>
          <w:b/>
          <w:color w:val="000000"/>
        </w:rPr>
        <w:t>）报价</w:t>
      </w:r>
    </w:p>
    <w:p>
      <w:pPr>
        <w:shd w:val="solid" w:color="FFFFFF" w:fill="auto"/>
        <w:autoSpaceDN w:val="0"/>
        <w:spacing w:line="500" w:lineRule="exact"/>
        <w:ind w:left="8" w:firstLine="468" w:leftChars="4" w:firstLineChars="195"/>
        <w:jc w:val="left"/>
        <w:rPr>
          <w:rFonts w:ascii="宋体" w:hAnsi="宋体"/>
          <w:color w:val="000000"/>
          <w:kern w:val="0"/>
          <w:sz w:val="24"/>
        </w:rPr>
      </w:pPr>
      <w:r>
        <w:rPr>
          <w:rFonts w:ascii="宋体" w:hAnsi="宋体" w:hint="eastAsia"/>
          <w:color w:val="000000"/>
          <w:kern w:val="0"/>
          <w:sz w:val="24"/>
        </w:rPr>
        <w:t>（</w:t>
      </w:r>
      <w:r>
        <w:rPr>
          <w:rFonts w:ascii="宋体" w:hAnsi="宋体"/>
          <w:color w:val="000000"/>
          <w:kern w:val="0"/>
          <w:sz w:val="24"/>
        </w:rPr>
        <w:t>1</w:t>
      </w:r>
      <w:r>
        <w:rPr>
          <w:rFonts w:ascii="宋体" w:hAnsi="宋体" w:hint="eastAsia"/>
          <w:color w:val="000000"/>
          <w:kern w:val="0"/>
          <w:sz w:val="24"/>
        </w:rPr>
        <w:t>）投标人应以人民币报价。</w:t>
      </w:r>
    </w:p>
    <w:p>
      <w:pPr>
        <w:shd w:val="solid" w:color="FFFFFF" w:fill="auto"/>
        <w:autoSpaceDN w:val="0"/>
        <w:spacing w:line="500" w:lineRule="exact"/>
        <w:ind w:left="8" w:firstLine="468" w:leftChars="4" w:firstLineChars="195"/>
        <w:jc w:val="left"/>
        <w:rPr>
          <w:rFonts w:ascii="宋体" w:hAnsi="宋体"/>
          <w:color w:val="000000"/>
          <w:kern w:val="0"/>
          <w:sz w:val="24"/>
        </w:rPr>
      </w:pPr>
      <w:r>
        <w:rPr>
          <w:rFonts w:ascii="宋体" w:hAnsi="宋体" w:hint="eastAsia"/>
          <w:color w:val="000000"/>
          <w:kern w:val="0"/>
          <w:sz w:val="24"/>
        </w:rPr>
        <w:t>（</w:t>
      </w:r>
      <w:r>
        <w:rPr>
          <w:rFonts w:ascii="宋体" w:hAnsi="宋体"/>
          <w:color w:val="000000"/>
          <w:kern w:val="0"/>
          <w:sz w:val="24"/>
        </w:rPr>
        <w:t>2</w:t>
      </w:r>
      <w:r>
        <w:rPr>
          <w:rFonts w:ascii="宋体" w:hAnsi="宋体" w:hint="eastAsia"/>
          <w:color w:val="000000"/>
          <w:kern w:val="0"/>
          <w:sz w:val="24"/>
        </w:rPr>
        <w:t>）投标人所报价格应为项目安装到位调试完毕交付招标人使用的总价。</w:t>
      </w:r>
    </w:p>
    <w:p>
      <w:pPr>
        <w:topLinePunct/>
        <w:spacing w:line="500" w:lineRule="exact"/>
        <w:ind w:firstLine="566" w:firstLineChars="236"/>
        <w:rPr>
          <w:rFonts w:ascii="宋体" w:hAnsi="宋体"/>
          <w:color w:val="000000"/>
          <w:kern w:val="0"/>
          <w:sz w:val="24"/>
        </w:rPr>
      </w:pPr>
      <w:r>
        <w:rPr>
          <w:rFonts w:ascii="宋体" w:hAnsi="宋体" w:hint="eastAsia"/>
          <w:color w:val="000000"/>
          <w:kern w:val="0"/>
          <w:sz w:val="24"/>
        </w:rPr>
        <w:t>（</w:t>
      </w:r>
      <w:r>
        <w:rPr>
          <w:rFonts w:ascii="宋体" w:hAnsi="宋体"/>
          <w:color w:val="000000"/>
          <w:kern w:val="0"/>
          <w:sz w:val="24"/>
        </w:rPr>
        <w:t>3</w:t>
      </w:r>
      <w:r>
        <w:rPr>
          <w:rFonts w:ascii="宋体" w:hAnsi="宋体" w:hint="eastAsia"/>
          <w:color w:val="000000"/>
          <w:kern w:val="0"/>
          <w:sz w:val="24"/>
        </w:rPr>
        <w:t>）投标人应在投标报价单上应列出清单，并标明名称、品牌、生产厂家、规格、数量、单价、小计和总价，单价与总价有出入时以有利于招标方的价格为准。</w:t>
      </w:r>
      <w:r>
        <w:rPr>
          <w:rFonts w:ascii="宋体" w:hAnsi="宋体" w:hint="eastAsia"/>
          <w:color w:val="000000"/>
          <w:sz w:val="24"/>
        </w:rPr>
        <w:t>报价中主要产品的单价不得高于市场正常零售价。</w:t>
      </w:r>
    </w:p>
    <w:p>
      <w:pPr>
        <w:spacing w:line="500" w:lineRule="exact"/>
        <w:ind w:firstLine="542"/>
        <w:rPr>
          <w:rFonts w:ascii="宋体" w:hAnsi="宋体"/>
          <w:color w:val="000000"/>
          <w:sz w:val="24"/>
          <w:shd w:val="solid" w:color="FFFFFF" w:fill="auto"/>
        </w:rPr>
      </w:pPr>
      <w:r>
        <w:rPr>
          <w:rFonts w:ascii="宋体" w:hAnsi="宋体" w:hint="eastAsia"/>
          <w:color w:val="000000"/>
          <w:kern w:val="0"/>
          <w:sz w:val="24"/>
        </w:rPr>
        <w:t>（</w:t>
      </w:r>
      <w:r>
        <w:rPr>
          <w:rFonts w:ascii="宋体" w:hAnsi="宋体"/>
          <w:color w:val="000000"/>
          <w:kern w:val="0"/>
          <w:sz w:val="24"/>
        </w:rPr>
        <w:t>4</w:t>
      </w:r>
      <w:r>
        <w:rPr>
          <w:rFonts w:ascii="宋体" w:hAnsi="宋体" w:hint="eastAsia"/>
          <w:color w:val="000000"/>
          <w:kern w:val="0"/>
          <w:sz w:val="24"/>
        </w:rPr>
        <w:t>）定标后，供货期内无论市场行情如何涨跌，型号、价格不得更改。因投标人推迟或不供货引起的后果由投标人承担。</w:t>
      </w:r>
      <w:r>
        <w:rPr>
          <w:rFonts w:ascii="宋体" w:hAnsi="宋体"/>
          <w:color w:val="000000"/>
          <w:sz w:val="24"/>
          <w:shd w:val="solid" w:color="FFFFFF" w:fill="auto"/>
        </w:rPr>
        <w:t xml:space="preserve"> </w:t>
      </w:r>
    </w:p>
    <w:p>
      <w:pPr>
        <w:pStyle w:val="BodyText"/>
        <w:spacing w:before="0" w:beforeAutospacing="0" w:after="0" w:afterAutospacing="0" w:line="500" w:lineRule="exact"/>
        <w:ind w:firstLine="542"/>
        <w:rPr>
          <w:rFonts w:ascii="宋体" w:hAnsi="宋体"/>
          <w:color w:val="000000"/>
        </w:rPr>
      </w:pPr>
      <w:r>
        <w:rPr>
          <w:rFonts w:ascii="宋体" w:hAnsi="宋体" w:hint="eastAsia"/>
          <w:color w:val="000000"/>
        </w:rPr>
        <w:t>（</w:t>
      </w:r>
      <w:r>
        <w:rPr>
          <w:rFonts w:ascii="宋体" w:hAnsi="宋体"/>
          <w:color w:val="000000"/>
        </w:rPr>
        <w:t>5</w:t>
      </w:r>
      <w:r>
        <w:rPr>
          <w:rFonts w:ascii="宋体" w:hAnsi="宋体" w:hint="eastAsia"/>
          <w:color w:val="000000"/>
        </w:rPr>
        <w:t>）投标人无论是否中标，投标人承担所有与本次投标活动的全部费用。</w:t>
      </w:r>
    </w:p>
    <w:p>
      <w:pPr>
        <w:pStyle w:val="BodyText"/>
        <w:spacing w:before="0" w:beforeAutospacing="0" w:after="0" w:afterAutospacing="0" w:line="500" w:lineRule="exact"/>
        <w:ind w:firstLine="470" w:firstLineChars="196"/>
        <w:rPr>
          <w:rFonts w:ascii="宋体" w:hAnsi="宋体"/>
          <w:b/>
          <w:color w:val="000000"/>
        </w:rPr>
      </w:pPr>
      <w:r>
        <w:rPr>
          <w:rFonts w:ascii="宋体" w:hAnsi="宋体" w:hint="eastAsia"/>
          <w:b/>
          <w:color w:val="000000"/>
        </w:rPr>
        <w:t>（</w:t>
      </w:r>
      <w:r>
        <w:rPr>
          <w:rFonts w:ascii="宋体" w:hAnsi="宋体" w:hint="eastAsia"/>
          <w:b/>
          <w:color w:val="000000"/>
          <w:lang w:eastAsia="zh-CN"/>
        </w:rPr>
        <w:t>五</w:t>
      </w:r>
      <w:r>
        <w:rPr>
          <w:rFonts w:ascii="宋体" w:hAnsi="宋体" w:hint="eastAsia"/>
          <w:b/>
          <w:color w:val="000000"/>
        </w:rPr>
        <w:t>）评分方法</w:t>
      </w:r>
    </w:p>
    <w:p>
      <w:pPr>
        <w:spacing w:line="500" w:lineRule="exact"/>
        <w:ind w:firstLine="542"/>
        <w:rPr>
          <w:rFonts w:ascii="宋体" w:hAnsi="宋体" w:hint="eastAsia"/>
          <w:color w:val="000000"/>
          <w:kern w:val="0"/>
          <w:sz w:val="24"/>
        </w:rPr>
      </w:pPr>
      <w:r>
        <w:rPr>
          <w:rFonts w:ascii="宋体" w:hAnsi="宋体" w:hint="eastAsia"/>
          <w:color w:val="000000"/>
          <w:kern w:val="0"/>
          <w:sz w:val="24"/>
        </w:rPr>
        <w:t>本项目采用综合评分法：即指在满足招标文件实质性要求的前提下，按照最终投标文件中规定的各项因素进行综合评审后，按评审总得分高低顺序推荐排名靠前供应商作为该项目成交候选人的评审方法。评委对各供应商进行独立打分，所有评委对同一供应商打分的算术平均值为该供应商的最终得分（全部打分保留小数点二位，第三位四舍五入）。具体评分因素、分值和评分标准如下：</w:t>
      </w:r>
    </w:p>
    <w:p>
      <w:pPr>
        <w:numPr>
          <w:ilvl w:val="0"/>
          <w:numId w:val="1"/>
        </w:numPr>
        <w:spacing w:line="500" w:lineRule="exact"/>
        <w:ind w:firstLine="542"/>
        <w:rPr>
          <w:rFonts w:ascii="宋体" w:hAnsi="宋体" w:hint="default"/>
          <w:color w:val="000000"/>
          <w:kern w:val="0"/>
          <w:sz w:val="24"/>
        </w:rPr>
      </w:pPr>
      <w:r>
        <w:rPr>
          <w:rFonts w:ascii="宋体" w:hAnsi="宋体" w:hint="eastAsia"/>
          <w:color w:val="000000"/>
          <w:kern w:val="0"/>
          <w:sz w:val="24"/>
          <w:lang w:eastAsia="zh-CN"/>
        </w:rPr>
        <w:t>技术评分</w:t>
      </w:r>
      <w:r>
        <w:rPr>
          <w:rFonts w:ascii="宋体" w:hAnsi="宋体" w:hint="eastAsia"/>
          <w:color w:val="000000"/>
          <w:kern w:val="0"/>
          <w:sz w:val="24"/>
          <w:lang w:val="en-US" w:eastAsia="zh-CN"/>
        </w:rPr>
        <w:t xml:space="preserve"> </w:t>
      </w:r>
    </w:p>
    <w:tbl>
      <w:tblPr>
        <w:tblStyle w:val="TableNormal"/>
        <w:tblW w:w="0" w:type="auto"/>
        <w:tblInd w:w="0" w:type="dxa"/>
        <w:tblLayout w:type="fixed"/>
        <w:tblCellMar>
          <w:top w:w="15" w:type="dxa"/>
          <w:left w:w="15" w:type="dxa"/>
          <w:bottom w:w="15" w:type="dxa"/>
          <w:right w:w="15" w:type="dxa"/>
        </w:tblCellMar>
      </w:tblPr>
      <w:tblGrid>
        <w:gridCol w:w="474"/>
        <w:gridCol w:w="1984"/>
        <w:gridCol w:w="6642"/>
      </w:tblGrid>
      <w:tr>
        <w:tblPrEx>
          <w:tblW w:w="0" w:type="auto"/>
          <w:tblInd w:w="0" w:type="dxa"/>
          <w:tblLayout w:type="fixed"/>
          <w:tblCellMar>
            <w:top w:w="15" w:type="dxa"/>
            <w:left w:w="15" w:type="dxa"/>
            <w:bottom w:w="15" w:type="dxa"/>
            <w:right w:w="15" w:type="dxa"/>
          </w:tblCellMar>
        </w:tblPrEx>
        <w:trPr>
          <w:trHeight w:val="1100"/>
        </w:trPr>
        <w:tc>
          <w:tcPr>
            <w:tcW w:w="474" w:type="dxa"/>
            <w:tcBorders>
              <w:top w:val="single" w:sz="12" w:space="0" w:color="000000"/>
              <w:left w:val="single" w:sz="12" w:space="0" w:color="000000"/>
              <w:bottom w:val="single" w:sz="12" w:space="0" w:color="000000"/>
              <w:right w:val="single" w:sz="12" w:space="0" w:color="000000"/>
            </w:tcBorders>
            <w:noWrap w:val="0"/>
            <w:vAlign w:val="center"/>
          </w:tcPr>
          <w:p>
            <w:pPr>
              <w:spacing w:line="500" w:lineRule="exact"/>
              <w:ind w:left="239" w:firstLine="379" w:leftChars="114" w:firstLineChars="158"/>
              <w:rPr>
                <w:rFonts w:ascii="宋体" w:hAnsi="宋体" w:hint="eastAsia"/>
                <w:color w:val="000000"/>
                <w:kern w:val="0"/>
                <w:sz w:val="24"/>
              </w:rPr>
            </w:pPr>
            <w:r>
              <w:rPr>
                <w:rFonts w:ascii="宋体" w:hAnsi="宋体" w:hint="eastAsia"/>
                <w:color w:val="000000"/>
                <w:kern w:val="0"/>
                <w:sz w:val="24"/>
                <w:lang w:val="en-US" w:eastAsia="zh-CN"/>
              </w:rPr>
              <w:t xml:space="preserve"> </w:t>
            </w:r>
            <w:r>
              <w:rPr>
                <w:rFonts w:ascii="宋体" w:hAnsi="宋体" w:hint="eastAsia"/>
                <w:color w:val="000000"/>
                <w:kern w:val="0"/>
                <w:sz w:val="24"/>
              </w:rPr>
              <w:t>序号</w:t>
            </w:r>
          </w:p>
        </w:tc>
        <w:tc>
          <w:tcPr>
            <w:tcW w:w="1984" w:type="dxa"/>
            <w:tcBorders>
              <w:top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r>
              <w:rPr>
                <w:rFonts w:ascii="宋体" w:hAnsi="宋体" w:hint="eastAsia"/>
                <w:color w:val="000000"/>
                <w:kern w:val="0"/>
                <w:sz w:val="24"/>
              </w:rPr>
              <w:t>评分内容</w:t>
            </w:r>
          </w:p>
        </w:tc>
        <w:tc>
          <w:tcPr>
            <w:tcW w:w="6642" w:type="dxa"/>
            <w:tcBorders>
              <w:top w:val="single" w:sz="12" w:space="0" w:color="000000"/>
              <w:bottom w:val="single" w:sz="12" w:space="0" w:color="000000"/>
              <w:right w:val="single" w:sz="12" w:space="0" w:color="000000"/>
            </w:tcBorders>
            <w:noWrap w:val="0"/>
            <w:vAlign w:val="center"/>
          </w:tcPr>
          <w:p>
            <w:pPr>
              <w:spacing w:line="500" w:lineRule="exact"/>
              <w:ind w:firstLine="2054" w:firstLineChars="856"/>
              <w:jc w:val="both"/>
              <w:rPr>
                <w:rFonts w:ascii="宋体" w:hAnsi="宋体" w:hint="eastAsia"/>
                <w:color w:val="000000"/>
                <w:kern w:val="0"/>
                <w:sz w:val="24"/>
              </w:rPr>
            </w:pPr>
            <w:r>
              <w:rPr>
                <w:rFonts w:ascii="宋体" w:hAnsi="宋体" w:hint="eastAsia"/>
                <w:color w:val="000000"/>
                <w:kern w:val="0"/>
                <w:sz w:val="24"/>
              </w:rPr>
              <w:t>分值范围</w:t>
            </w:r>
          </w:p>
        </w:tc>
      </w:tr>
    </w:tbl>
    <w:p>
      <w:pPr>
        <w:sectPr>
          <w:headerReference w:type="default" r:id="rId10"/>
          <w:type w:val="nextPage"/>
          <w:pgSz w:w="11906" w:h="16838"/>
          <w:pgMar w:top="1587" w:right="1417" w:bottom="1440" w:left="1417" w:header="851" w:footer="992" w:gutter="0"/>
          <w:pgNumType w:start="6"/>
          <w:cols w:num="1" w:space="720"/>
          <w:titlePg w:val="0"/>
          <w:docGrid w:type="linesAndChars" w:linePitch="312" w:charSpace="0"/>
        </w:sectPr>
      </w:pPr>
    </w:p>
    <w:tbl>
      <w:tblPr>
        <w:tblStyle w:val="TableNormal"/>
        <w:tblW w:w="0" w:type="auto"/>
        <w:tblInd w:w="0" w:type="dxa"/>
        <w:tblLayout w:type="fixed"/>
        <w:tblCellMar>
          <w:top w:w="15" w:type="dxa"/>
          <w:left w:w="15" w:type="dxa"/>
          <w:bottom w:w="15" w:type="dxa"/>
          <w:right w:w="15" w:type="dxa"/>
        </w:tblCellMar>
      </w:tblPr>
      <w:tblGrid>
        <w:gridCol w:w="474"/>
        <w:gridCol w:w="992"/>
        <w:gridCol w:w="992"/>
        <w:gridCol w:w="1572"/>
        <w:gridCol w:w="1603"/>
        <w:gridCol w:w="3467"/>
      </w:tblGrid>
      <w:tr>
        <w:tblPrEx>
          <w:tblW w:w="0" w:type="auto"/>
          <w:tblInd w:w="0" w:type="dxa"/>
          <w:tblLayout w:type="fixed"/>
          <w:tblCellMar>
            <w:top w:w="15" w:type="dxa"/>
            <w:left w:w="15" w:type="dxa"/>
            <w:bottom w:w="15" w:type="dxa"/>
            <w:right w:w="15" w:type="dxa"/>
          </w:tblCellMar>
        </w:tblPrEx>
        <w:trPr>
          <w:trHeight w:val="933"/>
        </w:trPr>
        <w:tc>
          <w:tcPr>
            <w:tcW w:w="474" w:type="dxa"/>
            <w:vMerge w:val="restart"/>
            <w:tcBorders>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r>
              <w:rPr>
                <w:rFonts w:ascii="宋体" w:hAnsi="宋体" w:hint="eastAsia"/>
                <w:color w:val="000000"/>
                <w:kern w:val="0"/>
                <w:sz w:val="24"/>
              </w:rPr>
              <w:t>1</w:t>
            </w:r>
          </w:p>
        </w:tc>
        <w:tc>
          <w:tcPr>
            <w:tcW w:w="1984" w:type="dxa"/>
            <w:gridSpan w:val="2"/>
            <w:vMerge w:val="restart"/>
            <w:tcBorders>
              <w:top w:val="single" w:sz="12" w:space="0" w:color="000000"/>
              <w:left w:val="single" w:sz="12" w:space="0" w:color="000000"/>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投标人实力（注册资金、人员配备、业绩收入、荣誉情况等）（12分）</w:t>
            </w:r>
          </w:p>
        </w:tc>
        <w:tc>
          <w:tcPr>
            <w:tcW w:w="6642" w:type="dxa"/>
            <w:gridSpan w:val="3"/>
            <w:tcBorders>
              <w:top w:val="single" w:sz="12" w:space="0" w:color="000000"/>
              <w:left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r>
              <w:rPr>
                <w:rFonts w:ascii="宋体" w:hAnsi="宋体" w:hint="eastAsia"/>
                <w:color w:val="000000"/>
                <w:kern w:val="0"/>
                <w:sz w:val="24"/>
              </w:rPr>
              <w:t>甲级造价咨询单位3分，乙级得2分</w:t>
            </w:r>
          </w:p>
        </w:tc>
      </w:tr>
      <w:tr>
        <w:tblPrEx>
          <w:tblW w:w="0" w:type="auto"/>
          <w:tblInd w:w="0" w:type="dxa"/>
          <w:tblLayout w:type="fixed"/>
          <w:tblCellMar>
            <w:top w:w="15" w:type="dxa"/>
            <w:left w:w="15" w:type="dxa"/>
            <w:bottom w:w="15" w:type="dxa"/>
            <w:right w:w="15" w:type="dxa"/>
          </w:tblCellMar>
        </w:tblPrEx>
        <w:trPr>
          <w:trHeight w:val="1225"/>
        </w:trPr>
        <w:tc>
          <w:tcPr>
            <w:tcW w:w="474" w:type="dxa"/>
            <w:vMerge/>
            <w:tcBorders>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1984" w:type="dxa"/>
            <w:gridSpan w:val="2"/>
            <w:vMerge/>
            <w:tcBorders>
              <w:top w:val="single" w:sz="12" w:space="0" w:color="000000"/>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6642" w:type="dxa"/>
            <w:gridSpan w:val="3"/>
            <w:tcBorders>
              <w:top w:val="single" w:sz="12" w:space="0" w:color="000000"/>
              <w:left w:val="single" w:sz="12" w:space="0" w:color="000000"/>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机构在岗专业技术人员中注册造价师人数：15</w:t>
            </w:r>
            <w:r>
              <w:rPr>
                <w:rFonts w:ascii="宋体" w:hAnsi="宋体" w:hint="default"/>
                <w:color w:val="000000"/>
                <w:kern w:val="0"/>
                <w:sz w:val="24"/>
              </w:rPr>
              <w:t>人（含）以上得3分，</w:t>
            </w:r>
            <w:r>
              <w:rPr>
                <w:rFonts w:ascii="宋体" w:hAnsi="宋体" w:hint="eastAsia"/>
                <w:color w:val="000000"/>
                <w:kern w:val="0"/>
                <w:sz w:val="24"/>
              </w:rPr>
              <w:t>10</w:t>
            </w:r>
            <w:r>
              <w:rPr>
                <w:rFonts w:ascii="宋体" w:hAnsi="宋体" w:hint="default"/>
                <w:color w:val="000000"/>
                <w:kern w:val="0"/>
                <w:sz w:val="24"/>
              </w:rPr>
              <w:t>（含）</w:t>
            </w:r>
            <w:r>
              <w:rPr>
                <w:rFonts w:ascii="宋体" w:hAnsi="宋体" w:hint="eastAsia"/>
                <w:color w:val="000000"/>
                <w:kern w:val="0"/>
                <w:sz w:val="24"/>
              </w:rPr>
              <w:t>-14</w:t>
            </w:r>
            <w:r>
              <w:rPr>
                <w:rFonts w:ascii="宋体" w:hAnsi="宋体" w:hint="default"/>
                <w:color w:val="000000"/>
                <w:kern w:val="0"/>
                <w:sz w:val="24"/>
              </w:rPr>
              <w:t>人得2分，其他得1分。（需提供人员交纳社保的证明材料）</w:t>
            </w:r>
          </w:p>
        </w:tc>
      </w:tr>
      <w:tr>
        <w:tblPrEx>
          <w:tblW w:w="0" w:type="auto"/>
          <w:tblInd w:w="0" w:type="dxa"/>
          <w:tblLayout w:type="fixed"/>
          <w:tblCellMar>
            <w:top w:w="15" w:type="dxa"/>
            <w:left w:w="15" w:type="dxa"/>
            <w:bottom w:w="15" w:type="dxa"/>
            <w:right w:w="15" w:type="dxa"/>
          </w:tblCellMar>
        </w:tblPrEx>
        <w:trPr>
          <w:trHeight w:val="995"/>
        </w:trPr>
        <w:tc>
          <w:tcPr>
            <w:tcW w:w="474" w:type="dxa"/>
            <w:vMerge/>
            <w:tcBorders>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1984" w:type="dxa"/>
            <w:gridSpan w:val="2"/>
            <w:vMerge/>
            <w:tcBorders>
              <w:top w:val="single" w:sz="12" w:space="0" w:color="000000"/>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6642" w:type="dxa"/>
            <w:gridSpan w:val="3"/>
            <w:tcBorders>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20</w:t>
            </w:r>
            <w:r>
              <w:rPr>
                <w:rFonts w:ascii="宋体" w:hAnsi="宋体" w:hint="eastAsia"/>
                <w:color w:val="000000"/>
                <w:kern w:val="0"/>
                <w:sz w:val="24"/>
                <w:lang w:val="en-US" w:eastAsia="zh-CN"/>
              </w:rPr>
              <w:t>19</w:t>
            </w:r>
            <w:r>
              <w:rPr>
                <w:rFonts w:ascii="宋体" w:hAnsi="宋体" w:hint="eastAsia"/>
                <w:color w:val="000000"/>
                <w:kern w:val="0"/>
                <w:sz w:val="24"/>
              </w:rPr>
              <w:t>年造价咨询类业务收入500万（含）以上得3分；200万（含）-500万，得2分；其他得1分。（需提供纳税证明）</w:t>
            </w:r>
          </w:p>
        </w:tc>
      </w:tr>
      <w:tr>
        <w:tblPrEx>
          <w:tblW w:w="0" w:type="auto"/>
          <w:tblInd w:w="0" w:type="dxa"/>
          <w:tblLayout w:type="fixed"/>
          <w:tblCellMar>
            <w:top w:w="15" w:type="dxa"/>
            <w:left w:w="15" w:type="dxa"/>
            <w:bottom w:w="15" w:type="dxa"/>
            <w:right w:w="15" w:type="dxa"/>
          </w:tblCellMar>
        </w:tblPrEx>
        <w:trPr>
          <w:trHeight w:val="1078"/>
        </w:trPr>
        <w:tc>
          <w:tcPr>
            <w:tcW w:w="474" w:type="dxa"/>
            <w:vMerge/>
            <w:tcBorders>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1984" w:type="dxa"/>
            <w:gridSpan w:val="2"/>
            <w:vMerge/>
            <w:tcBorders>
              <w:top w:val="single" w:sz="12" w:space="0" w:color="000000"/>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6642" w:type="dxa"/>
            <w:gridSpan w:val="3"/>
            <w:tcBorders>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近五年单位获得荣誉及社会诚信情况，其中省级荣誉一项得1分，最高2分；市级荣誉一项得0.5分，最高1分。（以上奖励以投标人出具的相关证明材料为依据）</w:t>
            </w:r>
          </w:p>
        </w:tc>
      </w:tr>
      <w:tr>
        <w:tblPrEx>
          <w:tblW w:w="0" w:type="auto"/>
          <w:tblInd w:w="0" w:type="dxa"/>
          <w:tblLayout w:type="fixed"/>
          <w:tblCellMar>
            <w:top w:w="15" w:type="dxa"/>
            <w:left w:w="15" w:type="dxa"/>
            <w:bottom w:w="15" w:type="dxa"/>
            <w:right w:w="15" w:type="dxa"/>
          </w:tblCellMar>
        </w:tblPrEx>
        <w:trPr>
          <w:trHeight w:val="2022"/>
        </w:trPr>
        <w:tc>
          <w:tcPr>
            <w:tcW w:w="474" w:type="dxa"/>
            <w:vMerge w:val="restart"/>
            <w:tcBorders>
              <w:left w:val="single" w:sz="12" w:space="0" w:color="000000"/>
              <w:bottom w:val="single" w:sz="12" w:space="0" w:color="000000"/>
            </w:tcBorders>
            <w:noWrap w:val="0"/>
            <w:vAlign w:val="center"/>
          </w:tcPr>
          <w:p>
            <w:pPr>
              <w:spacing w:line="500" w:lineRule="exact"/>
              <w:ind w:firstLine="542"/>
              <w:rPr>
                <w:rFonts w:ascii="宋体" w:hAnsi="宋体" w:hint="eastAsia"/>
                <w:color w:val="000000"/>
                <w:kern w:val="0"/>
                <w:sz w:val="24"/>
              </w:rPr>
            </w:pPr>
            <w:r>
              <w:rPr>
                <w:rFonts w:ascii="宋体" w:hAnsi="宋体" w:hint="eastAsia"/>
                <w:color w:val="000000"/>
                <w:kern w:val="0"/>
                <w:sz w:val="24"/>
              </w:rPr>
              <w:t>2</w:t>
            </w:r>
          </w:p>
        </w:tc>
        <w:tc>
          <w:tcPr>
            <w:tcW w:w="992" w:type="dxa"/>
            <w:vMerge w:val="restart"/>
            <w:tcBorders>
              <w:left w:val="single" w:sz="12" w:space="0" w:color="000000"/>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项目组人员配备和公司业绩</w:t>
            </w:r>
            <w:r>
              <w:rPr>
                <w:rFonts w:ascii="宋体" w:hAnsi="宋体" w:hint="eastAsia"/>
                <w:color w:val="000000"/>
                <w:kern w:val="0"/>
                <w:sz w:val="24"/>
                <w:lang w:eastAsia="zh-CN"/>
              </w:rPr>
              <w:t>（</w:t>
            </w:r>
            <w:r>
              <w:rPr>
                <w:rFonts w:ascii="宋体" w:hAnsi="宋体" w:hint="eastAsia"/>
                <w:color w:val="000000"/>
                <w:kern w:val="0"/>
                <w:sz w:val="24"/>
                <w:lang w:val="en-US" w:eastAsia="zh-CN"/>
              </w:rPr>
              <w:t>22</w:t>
            </w:r>
            <w:r>
              <w:rPr>
                <w:rFonts w:ascii="宋体" w:hAnsi="宋体" w:hint="eastAsia"/>
                <w:color w:val="000000"/>
                <w:kern w:val="0"/>
                <w:sz w:val="24"/>
              </w:rPr>
              <w:t>分）</w:t>
            </w:r>
          </w:p>
        </w:tc>
        <w:tc>
          <w:tcPr>
            <w:tcW w:w="2564" w:type="dxa"/>
            <w:gridSpan w:val="2"/>
            <w:tcBorders>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近三年内已完成标底编制或工程结算审计项目情况</w:t>
            </w:r>
          </w:p>
        </w:tc>
        <w:tc>
          <w:tcPr>
            <w:tcW w:w="5070" w:type="dxa"/>
            <w:gridSpan w:val="2"/>
            <w:tcBorders>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(1)</w:t>
            </w:r>
            <w:r>
              <w:rPr>
                <w:rFonts w:ascii="宋体" w:hAnsi="宋体" w:hint="default"/>
                <w:color w:val="000000"/>
                <w:kern w:val="0"/>
                <w:sz w:val="24"/>
              </w:rPr>
              <w:t>承接房建项目</w:t>
            </w:r>
            <w:r>
              <w:rPr>
                <w:rFonts w:ascii="宋体" w:hAnsi="宋体" w:hint="eastAsia"/>
                <w:color w:val="000000"/>
                <w:kern w:val="0"/>
                <w:sz w:val="24"/>
              </w:rPr>
              <w:t>1000</w:t>
            </w:r>
            <w:r>
              <w:rPr>
                <w:rFonts w:ascii="宋体" w:hAnsi="宋体" w:hint="default"/>
                <w:color w:val="000000"/>
                <w:kern w:val="0"/>
                <w:sz w:val="24"/>
              </w:rPr>
              <w:t>万元以上的一项得</w:t>
            </w:r>
            <w:r>
              <w:rPr>
                <w:rFonts w:ascii="宋体" w:hAnsi="宋体" w:hint="eastAsia"/>
                <w:color w:val="000000"/>
                <w:kern w:val="0"/>
                <w:sz w:val="24"/>
              </w:rPr>
              <w:t>1</w:t>
            </w:r>
            <w:r>
              <w:rPr>
                <w:rFonts w:ascii="宋体" w:hAnsi="宋体" w:hint="default"/>
                <w:color w:val="000000"/>
                <w:kern w:val="0"/>
                <w:sz w:val="24"/>
              </w:rPr>
              <w:t>分，最多</w:t>
            </w:r>
            <w:r>
              <w:rPr>
                <w:rFonts w:ascii="宋体" w:hAnsi="宋体" w:hint="eastAsia"/>
                <w:color w:val="000000"/>
                <w:kern w:val="0"/>
                <w:sz w:val="24"/>
              </w:rPr>
              <w:t>3</w:t>
            </w:r>
            <w:r>
              <w:rPr>
                <w:rFonts w:ascii="宋体" w:hAnsi="宋体" w:hint="default"/>
                <w:color w:val="000000"/>
                <w:kern w:val="0"/>
                <w:sz w:val="24"/>
              </w:rPr>
              <w:t>分；（</w:t>
            </w:r>
            <w:r>
              <w:rPr>
                <w:rFonts w:ascii="宋体" w:hAnsi="宋体" w:hint="eastAsia"/>
                <w:color w:val="000000"/>
                <w:kern w:val="0"/>
                <w:sz w:val="24"/>
              </w:rPr>
              <w:t>2)</w:t>
            </w:r>
            <w:r>
              <w:rPr>
                <w:rFonts w:ascii="宋体" w:hAnsi="宋体" w:hint="default"/>
                <w:color w:val="000000"/>
                <w:kern w:val="0"/>
                <w:sz w:val="24"/>
              </w:rPr>
              <w:t>承接市政项目</w:t>
            </w:r>
            <w:r>
              <w:rPr>
                <w:rFonts w:ascii="宋体" w:hAnsi="宋体" w:hint="eastAsia"/>
                <w:color w:val="000000"/>
                <w:kern w:val="0"/>
                <w:sz w:val="24"/>
              </w:rPr>
              <w:t>3000</w:t>
            </w:r>
            <w:r>
              <w:rPr>
                <w:rFonts w:ascii="宋体" w:hAnsi="宋体" w:hint="default"/>
                <w:color w:val="000000"/>
                <w:kern w:val="0"/>
                <w:sz w:val="24"/>
              </w:rPr>
              <w:t>万以上的，一项得</w:t>
            </w:r>
            <w:r>
              <w:rPr>
                <w:rFonts w:ascii="宋体" w:hAnsi="宋体" w:hint="eastAsia"/>
                <w:color w:val="000000"/>
                <w:kern w:val="0"/>
                <w:sz w:val="24"/>
              </w:rPr>
              <w:t>1</w:t>
            </w:r>
            <w:r>
              <w:rPr>
                <w:rFonts w:ascii="宋体" w:hAnsi="宋体" w:hint="default"/>
                <w:color w:val="000000"/>
                <w:kern w:val="0"/>
                <w:sz w:val="24"/>
              </w:rPr>
              <w:t>分，最多</w:t>
            </w:r>
            <w:r>
              <w:rPr>
                <w:rFonts w:ascii="宋体" w:hAnsi="宋体" w:hint="eastAsia"/>
                <w:color w:val="000000"/>
                <w:kern w:val="0"/>
                <w:sz w:val="24"/>
              </w:rPr>
              <w:t>3</w:t>
            </w:r>
            <w:r>
              <w:rPr>
                <w:rFonts w:ascii="宋体" w:hAnsi="宋体" w:hint="default"/>
                <w:color w:val="000000"/>
                <w:kern w:val="0"/>
                <w:sz w:val="24"/>
              </w:rPr>
              <w:t>分；（</w:t>
            </w:r>
            <w:r>
              <w:rPr>
                <w:rFonts w:ascii="宋体" w:hAnsi="宋体" w:hint="eastAsia"/>
                <w:color w:val="000000"/>
                <w:kern w:val="0"/>
                <w:sz w:val="24"/>
              </w:rPr>
              <w:t>3</w:t>
            </w:r>
            <w:r>
              <w:rPr>
                <w:rFonts w:ascii="宋体" w:hAnsi="宋体" w:hint="default"/>
                <w:color w:val="000000"/>
                <w:kern w:val="0"/>
                <w:sz w:val="24"/>
              </w:rPr>
              <w:t>）有标底编制、标底审核项目业绩的，一项得</w:t>
            </w:r>
            <w:r>
              <w:rPr>
                <w:rFonts w:ascii="宋体" w:hAnsi="宋体" w:hint="eastAsia"/>
                <w:color w:val="000000"/>
                <w:kern w:val="0"/>
                <w:sz w:val="24"/>
              </w:rPr>
              <w:t>1</w:t>
            </w:r>
            <w:r>
              <w:rPr>
                <w:rFonts w:ascii="宋体" w:hAnsi="宋体" w:hint="default"/>
                <w:color w:val="000000"/>
                <w:kern w:val="0"/>
                <w:sz w:val="24"/>
              </w:rPr>
              <w:t>分，最多</w:t>
            </w:r>
            <w:r>
              <w:rPr>
                <w:rFonts w:ascii="宋体" w:hAnsi="宋体" w:hint="eastAsia"/>
                <w:color w:val="000000"/>
                <w:kern w:val="0"/>
                <w:sz w:val="24"/>
              </w:rPr>
              <w:t>3</w:t>
            </w:r>
            <w:r>
              <w:rPr>
                <w:rFonts w:ascii="宋体" w:hAnsi="宋体" w:hint="default"/>
                <w:color w:val="000000"/>
                <w:kern w:val="0"/>
                <w:sz w:val="24"/>
              </w:rPr>
              <w:t>分；（</w:t>
            </w:r>
            <w:r>
              <w:rPr>
                <w:rFonts w:ascii="宋体" w:hAnsi="宋体" w:hint="eastAsia"/>
                <w:color w:val="000000"/>
                <w:kern w:val="0"/>
                <w:sz w:val="24"/>
              </w:rPr>
              <w:t>4</w:t>
            </w:r>
            <w:r>
              <w:rPr>
                <w:rFonts w:ascii="宋体" w:hAnsi="宋体" w:hint="default"/>
                <w:color w:val="000000"/>
                <w:kern w:val="0"/>
                <w:sz w:val="24"/>
              </w:rPr>
              <w:t>）有工程结算审计项目业绩的，一项得</w:t>
            </w:r>
            <w:r>
              <w:rPr>
                <w:rFonts w:ascii="宋体" w:hAnsi="宋体" w:hint="eastAsia"/>
                <w:color w:val="000000"/>
                <w:kern w:val="0"/>
                <w:sz w:val="24"/>
              </w:rPr>
              <w:t>1</w:t>
            </w:r>
            <w:r>
              <w:rPr>
                <w:rFonts w:ascii="宋体" w:hAnsi="宋体" w:hint="default"/>
                <w:color w:val="000000"/>
                <w:kern w:val="0"/>
                <w:sz w:val="24"/>
              </w:rPr>
              <w:t>分，最多</w:t>
            </w:r>
            <w:r>
              <w:rPr>
                <w:rFonts w:ascii="宋体" w:hAnsi="宋体" w:hint="eastAsia"/>
                <w:color w:val="000000"/>
                <w:kern w:val="0"/>
                <w:sz w:val="24"/>
              </w:rPr>
              <w:t>3</w:t>
            </w:r>
            <w:r>
              <w:rPr>
                <w:rFonts w:ascii="宋体" w:hAnsi="宋体" w:hint="default"/>
                <w:color w:val="000000"/>
                <w:kern w:val="0"/>
                <w:sz w:val="24"/>
              </w:rPr>
              <w:t>分。</w:t>
            </w:r>
          </w:p>
        </w:tc>
      </w:tr>
      <w:tr>
        <w:tblPrEx>
          <w:tblW w:w="0" w:type="auto"/>
          <w:tblInd w:w="0" w:type="dxa"/>
          <w:tblLayout w:type="fixed"/>
          <w:tblCellMar>
            <w:top w:w="15" w:type="dxa"/>
            <w:left w:w="15" w:type="dxa"/>
            <w:bottom w:w="15" w:type="dxa"/>
            <w:right w:w="15" w:type="dxa"/>
          </w:tblCellMar>
        </w:tblPrEx>
        <w:trPr>
          <w:trHeight w:val="1163"/>
        </w:trPr>
        <w:tc>
          <w:tcPr>
            <w:tcW w:w="474" w:type="dxa"/>
            <w:vMerge/>
            <w:tcBorders>
              <w:left w:val="single" w:sz="12" w:space="0" w:color="000000"/>
              <w:bottom w:val="single" w:sz="12" w:space="0" w:color="000000"/>
            </w:tcBorders>
            <w:noWrap w:val="0"/>
            <w:vAlign w:val="center"/>
          </w:tcPr>
          <w:p>
            <w:pPr>
              <w:spacing w:line="500" w:lineRule="exact"/>
              <w:ind w:firstLine="542"/>
              <w:rPr>
                <w:rFonts w:ascii="宋体" w:hAnsi="宋体" w:hint="eastAsia"/>
                <w:color w:val="000000"/>
                <w:kern w:val="0"/>
                <w:sz w:val="24"/>
              </w:rPr>
            </w:pPr>
          </w:p>
        </w:tc>
        <w:tc>
          <w:tcPr>
            <w:tcW w:w="992" w:type="dxa"/>
            <w:vMerge/>
            <w:tcBorders>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2564" w:type="dxa"/>
            <w:gridSpan w:val="2"/>
            <w:tcBorders>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近三年项目负责人获得荣誉及社会诚信情况</w:t>
            </w:r>
          </w:p>
        </w:tc>
        <w:tc>
          <w:tcPr>
            <w:tcW w:w="5070" w:type="dxa"/>
            <w:gridSpan w:val="2"/>
            <w:tcBorders>
              <w:top w:val="single" w:sz="12" w:space="0" w:color="000000"/>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在省级部门或单位获得荣誉的一项得1分，最多2分；在市级部门或单位获得荣誉的一项得0.5分，最多1分。</w:t>
            </w:r>
          </w:p>
        </w:tc>
      </w:tr>
      <w:tr>
        <w:tblPrEx>
          <w:tblW w:w="0" w:type="auto"/>
          <w:tblInd w:w="0" w:type="dxa"/>
          <w:tblLayout w:type="fixed"/>
          <w:tblCellMar>
            <w:top w:w="15" w:type="dxa"/>
            <w:left w:w="15" w:type="dxa"/>
            <w:bottom w:w="15" w:type="dxa"/>
            <w:right w:w="15" w:type="dxa"/>
          </w:tblCellMar>
        </w:tblPrEx>
        <w:trPr>
          <w:trHeight w:val="1102"/>
        </w:trPr>
        <w:tc>
          <w:tcPr>
            <w:tcW w:w="474" w:type="dxa"/>
            <w:vMerge/>
            <w:tcBorders>
              <w:left w:val="single" w:sz="12" w:space="0" w:color="000000"/>
              <w:bottom w:val="single" w:sz="12" w:space="0" w:color="000000"/>
            </w:tcBorders>
            <w:noWrap w:val="0"/>
            <w:vAlign w:val="center"/>
          </w:tcPr>
          <w:p>
            <w:pPr>
              <w:spacing w:line="500" w:lineRule="exact"/>
              <w:ind w:firstLine="542"/>
              <w:rPr>
                <w:rFonts w:ascii="宋体" w:hAnsi="宋体" w:hint="eastAsia"/>
                <w:color w:val="000000"/>
                <w:kern w:val="0"/>
                <w:sz w:val="24"/>
              </w:rPr>
            </w:pPr>
          </w:p>
        </w:tc>
        <w:tc>
          <w:tcPr>
            <w:tcW w:w="992" w:type="dxa"/>
            <w:vMerge/>
            <w:tcBorders>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p>
        </w:tc>
        <w:tc>
          <w:tcPr>
            <w:tcW w:w="2564" w:type="dxa"/>
            <w:gridSpan w:val="2"/>
            <w:tcBorders>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项目组主要成员的简历、各类人员数量和专业素质、各岗位人员配备等</w:t>
            </w:r>
          </w:p>
        </w:tc>
        <w:tc>
          <w:tcPr>
            <w:tcW w:w="5070" w:type="dxa"/>
            <w:gridSpan w:val="2"/>
            <w:tcBorders>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r>
              <w:rPr>
                <w:rFonts w:ascii="宋体" w:hAnsi="宋体" w:hint="eastAsia"/>
                <w:color w:val="000000"/>
                <w:kern w:val="0"/>
                <w:sz w:val="24"/>
              </w:rPr>
              <w:t>各投标人横向比较（0-</w:t>
            </w:r>
            <w:r>
              <w:rPr>
                <w:rFonts w:ascii="宋体" w:hAnsi="宋体" w:hint="eastAsia"/>
                <w:color w:val="000000"/>
                <w:kern w:val="0"/>
                <w:sz w:val="24"/>
                <w:lang w:val="en-US" w:eastAsia="zh-CN"/>
              </w:rPr>
              <w:t>7</w:t>
            </w:r>
            <w:r>
              <w:rPr>
                <w:rFonts w:ascii="宋体" w:hAnsi="宋体" w:hint="eastAsia"/>
                <w:color w:val="000000"/>
                <w:kern w:val="0"/>
                <w:sz w:val="24"/>
              </w:rPr>
              <w:t>分）</w:t>
            </w:r>
          </w:p>
        </w:tc>
      </w:tr>
      <w:tr>
        <w:tblPrEx>
          <w:tblW w:w="0" w:type="auto"/>
          <w:tblInd w:w="0" w:type="dxa"/>
          <w:tblLayout w:type="fixed"/>
          <w:tblCellMar>
            <w:top w:w="15" w:type="dxa"/>
            <w:left w:w="15" w:type="dxa"/>
            <w:bottom w:w="15" w:type="dxa"/>
            <w:right w:w="15" w:type="dxa"/>
          </w:tblCellMar>
        </w:tblPrEx>
        <w:trPr>
          <w:trHeight w:val="918"/>
        </w:trPr>
        <w:tc>
          <w:tcPr>
            <w:tcW w:w="474" w:type="dxa"/>
            <w:tcBorders>
              <w:left w:val="single" w:sz="12" w:space="0" w:color="000000"/>
              <w:bottom w:val="single" w:sz="12" w:space="0" w:color="000000"/>
              <w:right w:val="single" w:sz="12" w:space="0" w:color="000000"/>
            </w:tcBorders>
            <w:noWrap w:val="0"/>
            <w:vAlign w:val="center"/>
          </w:tcPr>
          <w:p>
            <w:pPr>
              <w:spacing w:line="500" w:lineRule="exact"/>
              <w:ind w:firstLine="542"/>
              <w:rPr>
                <w:rFonts w:ascii="宋体" w:hAnsi="宋体" w:hint="eastAsia"/>
                <w:color w:val="000000"/>
                <w:kern w:val="0"/>
                <w:sz w:val="24"/>
              </w:rPr>
            </w:pPr>
            <w:r>
              <w:rPr>
                <w:rFonts w:ascii="宋体" w:hAnsi="宋体" w:hint="eastAsia"/>
                <w:color w:val="000000"/>
                <w:kern w:val="0"/>
                <w:sz w:val="24"/>
              </w:rPr>
              <w:t>3</w:t>
            </w:r>
          </w:p>
        </w:tc>
        <w:tc>
          <w:tcPr>
            <w:tcW w:w="5159" w:type="dxa"/>
            <w:gridSpan w:val="4"/>
            <w:tcBorders>
              <w:bottom w:val="single" w:sz="12" w:space="0" w:color="000000"/>
              <w:right w:val="single" w:sz="12" w:space="0" w:color="000000"/>
            </w:tcBorders>
            <w:noWrap w:val="0"/>
            <w:vAlign w:val="center"/>
          </w:tcPr>
          <w:p>
            <w:pPr>
              <w:spacing w:line="500" w:lineRule="exact"/>
              <w:rPr>
                <w:rFonts w:ascii="宋体" w:hAnsi="宋体" w:hint="eastAsia"/>
                <w:color w:val="000000"/>
                <w:kern w:val="0"/>
                <w:sz w:val="24"/>
              </w:rPr>
            </w:pPr>
            <w:r>
              <w:rPr>
                <w:rFonts w:ascii="宋体" w:hAnsi="宋体" w:hint="eastAsia"/>
                <w:color w:val="000000"/>
                <w:kern w:val="0"/>
                <w:sz w:val="24"/>
              </w:rPr>
              <w:t>审计程序、审计方法、关键环节控制和质量保证措施的可行性、科学性、针对性</w:t>
            </w:r>
            <w:r>
              <w:rPr>
                <w:rFonts w:ascii="宋体" w:hAnsi="宋体" w:hint="eastAsia"/>
                <w:color w:val="000000"/>
                <w:kern w:val="0"/>
                <w:sz w:val="24"/>
                <w:lang w:eastAsia="zh-CN"/>
              </w:rPr>
              <w:t>（</w:t>
            </w:r>
            <w:r>
              <w:rPr>
                <w:rFonts w:ascii="宋体" w:hAnsi="宋体" w:hint="eastAsia"/>
                <w:color w:val="000000"/>
                <w:kern w:val="0"/>
                <w:sz w:val="24"/>
                <w:lang w:val="en-US" w:eastAsia="zh-CN"/>
              </w:rPr>
              <w:t>6分</w:t>
            </w:r>
            <w:r>
              <w:rPr>
                <w:rFonts w:ascii="宋体" w:hAnsi="宋体" w:hint="eastAsia"/>
                <w:color w:val="000000"/>
                <w:kern w:val="0"/>
                <w:sz w:val="24"/>
                <w:lang w:eastAsia="zh-CN"/>
              </w:rPr>
              <w:t>）</w:t>
            </w:r>
          </w:p>
        </w:tc>
        <w:tc>
          <w:tcPr>
            <w:tcW w:w="3467" w:type="dxa"/>
            <w:tcBorders>
              <w:bottom w:val="single" w:sz="12" w:space="0" w:color="000000"/>
              <w:right w:val="single" w:sz="12" w:space="0" w:color="000000"/>
            </w:tcBorders>
            <w:noWrap w:val="0"/>
            <w:vAlign w:val="center"/>
          </w:tcPr>
          <w:p>
            <w:pPr>
              <w:spacing w:line="500" w:lineRule="exact"/>
              <w:ind w:firstLine="240" w:firstLineChars="100"/>
              <w:rPr>
                <w:rFonts w:ascii="宋体" w:hAnsi="宋体" w:hint="eastAsia"/>
                <w:color w:val="000000"/>
                <w:kern w:val="0"/>
                <w:sz w:val="24"/>
              </w:rPr>
            </w:pPr>
            <w:r>
              <w:rPr>
                <w:rFonts w:ascii="宋体" w:hAnsi="宋体" w:hint="eastAsia"/>
                <w:color w:val="000000"/>
                <w:kern w:val="0"/>
                <w:sz w:val="24"/>
              </w:rPr>
              <w:t>各投标人横向比较</w:t>
            </w:r>
            <w:r>
              <w:rPr>
                <w:rFonts w:ascii="宋体" w:hAnsi="宋体" w:hint="eastAsia"/>
                <w:color w:val="000000"/>
                <w:kern w:val="0"/>
                <w:sz w:val="24"/>
                <w:lang w:eastAsia="zh-CN"/>
              </w:rPr>
              <w:t>（</w:t>
            </w:r>
            <w:r>
              <w:rPr>
                <w:rFonts w:ascii="宋体" w:hAnsi="宋体" w:hint="eastAsia"/>
                <w:color w:val="000000"/>
                <w:kern w:val="0"/>
                <w:sz w:val="24"/>
              </w:rPr>
              <w:t>0-6</w:t>
            </w:r>
            <w:r>
              <w:rPr>
                <w:rFonts w:ascii="宋体" w:hAnsi="宋体" w:hint="default"/>
                <w:color w:val="000000"/>
                <w:kern w:val="0"/>
                <w:sz w:val="24"/>
              </w:rPr>
              <w:t>分</w:t>
            </w:r>
            <w:r>
              <w:rPr>
                <w:rFonts w:ascii="宋体" w:hAnsi="宋体" w:hint="eastAsia"/>
                <w:color w:val="000000"/>
                <w:kern w:val="0"/>
                <w:sz w:val="24"/>
                <w:lang w:eastAsia="zh-CN"/>
              </w:rPr>
              <w:t>）</w:t>
            </w:r>
          </w:p>
        </w:tc>
      </w:tr>
    </w:tbl>
    <w:p>
      <w:pPr>
        <w:sectPr>
          <w:headerReference w:type="default" r:id="rId11"/>
          <w:type w:val="nextPage"/>
          <w:pgSz w:w="11906" w:h="16838"/>
          <w:pgMar w:top="1587" w:right="1417" w:bottom="1440" w:left="1417" w:header="851" w:footer="992" w:gutter="0"/>
          <w:pgNumType w:start="7"/>
          <w:cols w:num="1" w:space="720"/>
          <w:titlePg w:val="0"/>
          <w:docGrid w:type="linesAndChars" w:linePitch="312" w:charSpace="0"/>
        </w:sectPr>
      </w:pPr>
    </w:p>
    <w:p>
      <w:pPr>
        <w:spacing w:line="500" w:lineRule="exact"/>
        <w:ind w:firstLine="480" w:firstLineChars="200"/>
        <w:rPr>
          <w:rFonts w:ascii="宋体" w:hAnsi="宋体" w:hint="eastAsia"/>
          <w:color w:val="000000"/>
          <w:kern w:val="0"/>
          <w:sz w:val="24"/>
        </w:rPr>
      </w:pPr>
      <w:r>
        <w:rPr>
          <w:rFonts w:ascii="宋体" w:hAnsi="宋体" w:hint="eastAsia"/>
          <w:color w:val="000000"/>
          <w:kern w:val="0"/>
          <w:sz w:val="24"/>
          <w:lang w:eastAsia="zh-CN"/>
        </w:rPr>
        <w:t>（</w:t>
      </w:r>
      <w:r>
        <w:rPr>
          <w:rFonts w:ascii="宋体" w:hAnsi="宋体" w:hint="eastAsia"/>
          <w:color w:val="000000"/>
          <w:kern w:val="0"/>
          <w:sz w:val="24"/>
          <w:lang w:val="en-US" w:eastAsia="zh-CN"/>
        </w:rPr>
        <w:t>2</w:t>
      </w:r>
      <w:r>
        <w:rPr>
          <w:rFonts w:ascii="宋体" w:hAnsi="宋体" w:hint="eastAsia"/>
          <w:color w:val="000000"/>
          <w:kern w:val="0"/>
          <w:sz w:val="24"/>
          <w:lang w:eastAsia="zh-CN"/>
        </w:rPr>
        <w:t>）</w:t>
      </w:r>
      <w:r>
        <w:rPr>
          <w:rFonts w:ascii="宋体" w:hAnsi="宋体" w:hint="eastAsia"/>
          <w:color w:val="000000"/>
          <w:kern w:val="0"/>
          <w:sz w:val="24"/>
        </w:rPr>
        <w:t>商务评分（60分）</w:t>
      </w:r>
    </w:p>
    <w:p>
      <w:pPr>
        <w:spacing w:line="500" w:lineRule="exact"/>
        <w:ind w:firstLine="542"/>
        <w:rPr>
          <w:rFonts w:ascii="宋体" w:hAnsi="宋体" w:hint="eastAsia"/>
          <w:color w:val="000000"/>
          <w:kern w:val="0"/>
          <w:sz w:val="24"/>
        </w:rPr>
      </w:pPr>
      <w:r>
        <w:rPr>
          <w:rFonts w:ascii="宋体" w:hAnsi="宋体" w:hint="eastAsia"/>
          <w:color w:val="000000"/>
          <w:kern w:val="0"/>
          <w:sz w:val="24"/>
        </w:rPr>
        <w:t>投标人根据南通</w:t>
      </w:r>
      <w:r>
        <w:rPr>
          <w:rFonts w:ascii="宋体" w:hAnsi="宋体" w:hint="eastAsia"/>
          <w:color w:val="000000"/>
          <w:kern w:val="0"/>
          <w:sz w:val="24"/>
          <w:lang w:eastAsia="zh-CN"/>
        </w:rPr>
        <w:t>职业大学</w:t>
      </w:r>
      <w:r>
        <w:rPr>
          <w:rFonts w:ascii="宋体" w:hAnsi="宋体" w:hint="eastAsia"/>
          <w:color w:val="000000"/>
          <w:kern w:val="0"/>
          <w:sz w:val="24"/>
        </w:rPr>
        <w:t>工程审计外包业务付酬报价表（见附件）进行报价，报价区间为净核减额的3.0%-4.0%（含上下限，小数点后保留一位，超过为废标，如报价3.55%即为废标），在各报价区间内根据各单位报价计算出算术平均值为该项评标基准价，各投标人投标价与该基准价对比，计算出商务报价评分值（保留小数2位）：</w:t>
      </w:r>
    </w:p>
    <w:p>
      <w:pPr>
        <w:spacing w:line="500" w:lineRule="exact"/>
        <w:ind w:firstLine="542"/>
        <w:rPr>
          <w:rFonts w:ascii="宋体" w:hAnsi="宋体" w:hint="eastAsia"/>
          <w:color w:val="000000"/>
          <w:kern w:val="0"/>
          <w:sz w:val="24"/>
        </w:rPr>
      </w:pPr>
      <w:r>
        <w:rPr>
          <w:rFonts w:ascii="宋体" w:hAnsi="宋体" w:hint="eastAsia"/>
          <w:color w:val="000000"/>
          <w:kern w:val="0"/>
          <w:sz w:val="24"/>
        </w:rPr>
        <w:t>商务投标报价得分=（1-∣（评标基准率-投标人投标率）∣/评标基准率）×权重分值（四舍五入，保留小数2位）【注：50万</w:t>
      </w:r>
      <w:r>
        <w:rPr>
          <w:rFonts w:ascii="宋体" w:hAnsi="宋体" w:hint="eastAsia"/>
          <w:color w:val="000000"/>
          <w:kern w:val="0"/>
          <w:sz w:val="24"/>
          <w:lang w:eastAsia="zh-CN"/>
        </w:rPr>
        <w:t>及</w:t>
      </w:r>
      <w:r>
        <w:rPr>
          <w:rFonts w:ascii="宋体" w:hAnsi="宋体" w:hint="eastAsia"/>
          <w:color w:val="000000"/>
          <w:kern w:val="0"/>
          <w:sz w:val="24"/>
        </w:rPr>
        <w:t>以下区间和50-100万区间（含</w:t>
      </w:r>
      <w:r>
        <w:rPr>
          <w:rFonts w:ascii="宋体" w:hAnsi="宋体" w:hint="eastAsia"/>
          <w:color w:val="000000"/>
          <w:kern w:val="0"/>
          <w:sz w:val="24"/>
          <w:lang w:val="en-US" w:eastAsia="zh-CN"/>
        </w:rPr>
        <w:t>10</w:t>
      </w:r>
      <w:r>
        <w:rPr>
          <w:rFonts w:ascii="宋体" w:hAnsi="宋体" w:hint="eastAsia"/>
          <w:color w:val="000000"/>
          <w:kern w:val="0"/>
          <w:sz w:val="24"/>
        </w:rPr>
        <w:t>0万）分数各为22分，100-500万以上区间（含</w:t>
      </w:r>
      <w:r>
        <w:rPr>
          <w:rFonts w:ascii="宋体" w:hAnsi="宋体" w:hint="eastAsia"/>
          <w:color w:val="000000"/>
          <w:kern w:val="0"/>
          <w:sz w:val="24"/>
          <w:lang w:val="en-US" w:eastAsia="zh-CN"/>
        </w:rPr>
        <w:t>5</w:t>
      </w:r>
      <w:r>
        <w:rPr>
          <w:rFonts w:ascii="宋体" w:hAnsi="宋体" w:hint="eastAsia"/>
          <w:color w:val="000000"/>
          <w:kern w:val="0"/>
          <w:sz w:val="24"/>
        </w:rPr>
        <w:t>00万）为16分】</w:t>
      </w:r>
    </w:p>
    <w:p>
      <w:pPr>
        <w:spacing w:line="500" w:lineRule="exact"/>
        <w:ind w:firstLine="542"/>
        <w:rPr>
          <w:rFonts w:ascii="宋体" w:hAnsi="宋体" w:hint="eastAsia"/>
          <w:color w:val="000000"/>
          <w:kern w:val="0"/>
          <w:sz w:val="24"/>
        </w:rPr>
      </w:pPr>
      <w:r>
        <w:rPr>
          <w:rFonts w:ascii="宋体" w:hAnsi="宋体" w:hint="eastAsia"/>
          <w:color w:val="000000"/>
          <w:kern w:val="0"/>
          <w:sz w:val="24"/>
        </w:rPr>
        <w:t>3.有效投标人商务标得分为</w:t>
      </w:r>
      <w:r>
        <w:rPr>
          <w:rFonts w:ascii="宋体" w:hAnsi="宋体" w:hint="eastAsia"/>
          <w:color w:val="000000"/>
          <w:kern w:val="0"/>
          <w:sz w:val="24"/>
          <w:lang w:eastAsia="zh-CN"/>
        </w:rPr>
        <w:t>各</w:t>
      </w:r>
      <w:r>
        <w:rPr>
          <w:rFonts w:ascii="宋体" w:hAnsi="宋体" w:hint="eastAsia"/>
          <w:color w:val="000000"/>
          <w:kern w:val="0"/>
          <w:sz w:val="24"/>
        </w:rPr>
        <w:t>项区间报价得分之和。有效投标人的综合得分为技术资信分和商务（报价）分的总和。</w:t>
      </w:r>
    </w:p>
    <w:p>
      <w:pPr>
        <w:spacing w:line="500" w:lineRule="exact"/>
        <w:ind w:firstLine="542"/>
        <w:rPr>
          <w:rFonts w:ascii="宋体" w:hAnsi="宋体" w:hint="eastAsia"/>
          <w:color w:val="000000"/>
          <w:kern w:val="0"/>
          <w:sz w:val="24"/>
        </w:rPr>
      </w:pPr>
      <w:r>
        <w:rPr>
          <w:rFonts w:ascii="宋体" w:hAnsi="宋体" w:hint="eastAsia"/>
          <w:color w:val="000000"/>
          <w:kern w:val="0"/>
          <w:sz w:val="24"/>
        </w:rPr>
        <w:t>4、评标委员会按综合得分高低顺序排列，综合得分相同的，按商务标得分由高到低顺序排列，商务标得分再相同的，通过抽签确定排名顺序。中标价为各分项的评标基准率（价）。</w:t>
      </w:r>
    </w:p>
    <w:p>
      <w:pPr>
        <w:spacing w:line="500" w:lineRule="exact"/>
        <w:ind w:firstLine="542"/>
        <w:rPr>
          <w:rFonts w:ascii="宋体" w:hAnsi="宋体" w:hint="eastAsia"/>
          <w:color w:val="000000"/>
          <w:kern w:val="0"/>
          <w:sz w:val="24"/>
        </w:rPr>
      </w:pPr>
      <w:r>
        <w:rPr>
          <w:rFonts w:ascii="宋体" w:hAnsi="宋体" w:hint="eastAsia"/>
          <w:color w:val="000000"/>
          <w:kern w:val="0"/>
          <w:sz w:val="24"/>
        </w:rPr>
        <w:t>说明：单项工程审计费用按净核减额计费不足500元的，按500元计算。</w:t>
      </w:r>
    </w:p>
    <w:p>
      <w:pPr>
        <w:pStyle w:val="BodyText"/>
        <w:spacing w:before="0" w:beforeAutospacing="0" w:after="0" w:afterAutospacing="0" w:line="500" w:lineRule="exact"/>
        <w:ind w:firstLine="480" w:firstLineChars="200"/>
        <w:rPr>
          <w:rFonts w:ascii="宋体" w:hAnsi="宋体"/>
          <w:b/>
          <w:color w:val="000000"/>
        </w:rPr>
      </w:pPr>
      <w:r>
        <w:rPr>
          <w:rFonts w:ascii="宋体" w:hAnsi="宋体" w:hint="eastAsia"/>
          <w:b/>
          <w:color w:val="000000"/>
          <w:lang w:eastAsia="zh-CN"/>
        </w:rPr>
        <w:t>八</w:t>
      </w:r>
      <w:r>
        <w:rPr>
          <w:rFonts w:ascii="宋体" w:hAnsi="宋体" w:hint="eastAsia"/>
          <w:b/>
          <w:color w:val="000000"/>
        </w:rPr>
        <w:t>、中标通知书及合同的签订</w:t>
      </w:r>
    </w:p>
    <w:p>
      <w:pPr>
        <w:spacing w:line="500" w:lineRule="exact"/>
        <w:ind w:right="-4" w:firstLine="473" w:rightChars="-2" w:firstLineChars="197"/>
        <w:rPr>
          <w:rFonts w:ascii="宋体" w:hAnsi="宋体"/>
          <w:color w:val="000000"/>
          <w:sz w:val="24"/>
        </w:rPr>
      </w:pPr>
      <w:r>
        <w:rPr>
          <w:rFonts w:ascii="宋体" w:hAnsi="宋体" w:hint="eastAsia"/>
          <w:b/>
          <w:color w:val="000000"/>
          <w:sz w:val="24"/>
        </w:rPr>
        <w:t>1、</w:t>
      </w:r>
      <w:r>
        <w:rPr>
          <w:rFonts w:ascii="宋体" w:hAnsi="宋体"/>
          <w:b/>
          <w:color w:val="000000"/>
          <w:sz w:val="24"/>
        </w:rPr>
        <w:t xml:space="preserve"> </w:t>
      </w:r>
      <w:r>
        <w:rPr>
          <w:rFonts w:ascii="宋体" w:hAnsi="宋体" w:cs="宋体" w:hint="eastAsia"/>
          <w:color w:val="000000"/>
          <w:kern w:val="0"/>
          <w:sz w:val="24"/>
        </w:rPr>
        <w:t>中标人确定后，招标人将通过学校招标网进行公示，公示期满无异议，即向中标人发出中标通知书。</w:t>
      </w:r>
    </w:p>
    <w:p>
      <w:pPr>
        <w:spacing w:line="500" w:lineRule="exact"/>
        <w:ind w:right="-4" w:firstLine="473" w:rightChars="-2" w:firstLineChars="197"/>
        <w:rPr>
          <w:rFonts w:ascii="宋体" w:hAnsi="宋体"/>
          <w:b/>
          <w:color w:val="000000"/>
          <w:sz w:val="24"/>
        </w:rPr>
      </w:pPr>
      <w:r>
        <w:rPr>
          <w:rFonts w:ascii="宋体" w:hAnsi="宋体" w:hint="eastAsia"/>
          <w:b/>
          <w:color w:val="000000"/>
          <w:sz w:val="24"/>
        </w:rPr>
        <w:t>2、</w:t>
      </w:r>
      <w:r>
        <w:rPr>
          <w:rFonts w:ascii="宋体" w:hAnsi="宋体" w:cs="宋体" w:hint="eastAsia"/>
          <w:color w:val="000000"/>
          <w:kern w:val="0"/>
          <w:sz w:val="24"/>
        </w:rPr>
        <w:t>中标人收到中标通知书后，应在1</w:t>
      </w:r>
      <w:r>
        <w:rPr>
          <w:rFonts w:ascii="宋体" w:hAnsi="宋体" w:cs="宋体"/>
          <w:color w:val="000000"/>
          <w:kern w:val="0"/>
          <w:sz w:val="24"/>
        </w:rPr>
        <w:t>5</w:t>
      </w:r>
      <w:r>
        <w:rPr>
          <w:rFonts w:ascii="宋体" w:hAnsi="宋体" w:cs="宋体" w:hint="eastAsia"/>
          <w:color w:val="000000"/>
          <w:kern w:val="0"/>
          <w:sz w:val="24"/>
        </w:rPr>
        <w:t>个工作日内与招标人签订采购合同，过期视为放弃中标。</w:t>
      </w:r>
    </w:p>
    <w:p>
      <w:pPr>
        <w:spacing w:line="500" w:lineRule="exact"/>
        <w:ind w:firstLine="480" w:firstLineChars="200"/>
        <w:rPr>
          <w:rFonts w:ascii="宋体" w:hAnsi="宋体"/>
          <w:b/>
          <w:color w:val="000000"/>
          <w:sz w:val="24"/>
        </w:rPr>
      </w:pPr>
      <w:r>
        <w:rPr>
          <w:rFonts w:ascii="宋体" w:hAnsi="宋体" w:hint="eastAsia"/>
          <w:b/>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pPr>
        <w:spacing w:line="500" w:lineRule="exact"/>
        <w:ind w:firstLine="480" w:firstLineChars="200"/>
        <w:rPr>
          <w:rFonts w:ascii="宋体" w:hAnsi="宋体"/>
          <w:color w:val="000000"/>
          <w:sz w:val="24"/>
        </w:rPr>
      </w:pPr>
      <w:r>
        <w:rPr>
          <w:rFonts w:ascii="宋体" w:hAnsi="宋体" w:hint="eastAsia"/>
          <w:b/>
          <w:color w:val="000000"/>
          <w:sz w:val="24"/>
        </w:rPr>
        <w:t>4、</w:t>
      </w:r>
      <w:r>
        <w:rPr>
          <w:rFonts w:ascii="宋体" w:hAnsi="宋体" w:hint="eastAsia"/>
          <w:color w:val="000000"/>
          <w:sz w:val="24"/>
        </w:rPr>
        <w:t>如投标人中标后悔标，招标人将取消该投标人本次中标资格及今后两年内的投标资格。</w:t>
      </w:r>
    </w:p>
    <w:p>
      <w:pPr>
        <w:pStyle w:val="BodyText"/>
        <w:spacing w:before="0" w:beforeAutospacing="0" w:after="0" w:afterAutospacing="0" w:line="500" w:lineRule="exact"/>
        <w:ind w:firstLine="470" w:firstLineChars="196"/>
        <w:rPr>
          <w:rFonts w:ascii="宋体" w:hAnsi="宋体"/>
          <w:b/>
          <w:color w:val="000000"/>
        </w:rPr>
        <w:sectPr>
          <w:headerReference w:type="default" r:id="rId12"/>
          <w:type w:val="nextPage"/>
          <w:pgSz w:w="11906" w:h="16838"/>
          <w:pgMar w:top="1587" w:right="1417" w:bottom="1440" w:left="1417" w:header="851" w:footer="992" w:gutter="0"/>
          <w:pgNumType w:start="8"/>
          <w:cols w:num="1" w:space="720"/>
          <w:titlePg w:val="0"/>
          <w:docGrid w:type="linesAndChars" w:linePitch="312" w:charSpace="0"/>
        </w:sectPr>
      </w:pPr>
      <w:r>
        <w:rPr>
          <w:rFonts w:ascii="宋体" w:hAnsi="宋体" w:hint="eastAsia"/>
          <w:b/>
          <w:color w:val="000000"/>
          <w:lang w:eastAsia="zh-CN"/>
        </w:rPr>
        <w:t>九</w:t>
      </w:r>
      <w:r>
        <w:rPr>
          <w:rFonts w:ascii="宋体" w:hAnsi="宋体" w:hint="eastAsia"/>
          <w:b/>
          <w:color w:val="000000"/>
        </w:rPr>
        <w:t>、对招标文件的说明</w:t>
      </w:r>
    </w:p>
    <w:p>
      <w:pPr>
        <w:pStyle w:val="BodyTextIndent"/>
        <w:adjustRightInd w:val="0"/>
        <w:snapToGrid w:val="0"/>
        <w:spacing w:after="0" w:line="500" w:lineRule="exact"/>
        <w:rPr>
          <w:rFonts w:ascii="宋体" w:hAnsi="宋体"/>
          <w:color w:val="000000"/>
          <w:sz w:val="24"/>
        </w:rPr>
      </w:pPr>
      <w:r>
        <w:rPr>
          <w:rFonts w:ascii="宋体" w:hAnsi="宋体" w:hint="eastAsia"/>
          <w:color w:val="000000"/>
          <w:sz w:val="24"/>
        </w:rPr>
        <w:t>1.采购组织方有权对发出的招标文件进行必要的修改。</w:t>
      </w:r>
    </w:p>
    <w:p>
      <w:pPr>
        <w:pStyle w:val="BodyTextIndent"/>
        <w:adjustRightInd w:val="0"/>
        <w:snapToGrid w:val="0"/>
        <w:spacing w:after="0" w:line="500" w:lineRule="exact"/>
        <w:rPr>
          <w:rFonts w:ascii="宋体" w:hAnsi="宋体"/>
          <w:color w:val="000000"/>
          <w:sz w:val="24"/>
        </w:rPr>
      </w:pPr>
      <w:r>
        <w:rPr>
          <w:rFonts w:ascii="宋体" w:hAnsi="宋体" w:hint="eastAsia"/>
          <w:color w:val="000000"/>
          <w:sz w:val="24"/>
        </w:rPr>
        <w:t>2.采购组织方可视情取消投标或延长投标时间，不负责具体解释。</w:t>
      </w:r>
    </w:p>
    <w:p>
      <w:pPr>
        <w:pStyle w:val="BodyTextIndent"/>
        <w:adjustRightInd w:val="0"/>
        <w:snapToGrid w:val="0"/>
        <w:spacing w:after="0" w:line="500" w:lineRule="exact"/>
        <w:rPr>
          <w:rFonts w:ascii="宋体" w:hAnsi="宋体"/>
          <w:color w:val="000000"/>
          <w:sz w:val="24"/>
        </w:rPr>
      </w:pPr>
      <w:r>
        <w:rPr>
          <w:rFonts w:ascii="宋体" w:hAnsi="宋体" w:hint="eastAsia"/>
          <w:color w:val="000000"/>
          <w:sz w:val="24"/>
        </w:rPr>
        <w:t>3.采购组织方对招标文件的修改将构成招标文件的一部分，对供应商具有约束力。</w:t>
      </w:r>
    </w:p>
    <w:p>
      <w:pPr>
        <w:adjustRightInd w:val="0"/>
        <w:snapToGrid w:val="0"/>
        <w:spacing w:line="500" w:lineRule="exact"/>
        <w:ind w:firstLine="480" w:firstLineChars="200"/>
        <w:rPr>
          <w:rFonts w:ascii="宋体" w:hAnsi="宋体"/>
          <w:color w:val="000000"/>
          <w:sz w:val="24"/>
        </w:rPr>
      </w:pPr>
      <w:r>
        <w:rPr>
          <w:rFonts w:ascii="宋体" w:hAnsi="宋体" w:hint="eastAsia"/>
          <w:color w:val="000000"/>
          <w:sz w:val="24"/>
        </w:rPr>
        <w:t>4.供应商由于对招标文件的任何推论和误解以及采购组织方对有关问题的口头解释所造成的后果，均由供应商自负。</w:t>
      </w:r>
    </w:p>
    <w:p>
      <w:pPr>
        <w:pStyle w:val="BodyTextIndent"/>
        <w:adjustRightInd w:val="0"/>
        <w:snapToGrid w:val="0"/>
        <w:spacing w:after="0" w:line="500" w:lineRule="exact"/>
        <w:rPr>
          <w:rFonts w:ascii="宋体" w:hAnsi="宋体"/>
          <w:color w:val="000000"/>
          <w:sz w:val="24"/>
        </w:rPr>
      </w:pPr>
      <w:r>
        <w:rPr>
          <w:rFonts w:ascii="宋体" w:hAnsi="宋体" w:hint="eastAsia"/>
          <w:color w:val="000000"/>
          <w:sz w:val="24"/>
        </w:rPr>
        <w:t>5.采购组织方或需求部门视情组织答疑会。</w:t>
      </w:r>
    </w:p>
    <w:p>
      <w:pPr>
        <w:pStyle w:val="BodyTextIndent"/>
        <w:adjustRightInd w:val="0"/>
        <w:snapToGrid w:val="0"/>
        <w:spacing w:after="0" w:line="500" w:lineRule="exact"/>
        <w:rPr>
          <w:rFonts w:ascii="宋体" w:hAnsi="宋体"/>
          <w:color w:val="000000"/>
          <w:sz w:val="24"/>
        </w:rPr>
      </w:pPr>
      <w:r>
        <w:rPr>
          <w:rFonts w:ascii="宋体" w:hAnsi="宋体" w:hint="eastAsia"/>
          <w:color w:val="000000"/>
          <w:sz w:val="24"/>
        </w:rPr>
        <w:t>6、投标人应认真审阅招标文件中所有事项、格式、条款和规范要求等，如果投标人没有按照招标文件要求提交全部资料或对招标文件没有做出实质性响应，其风险由投标人自行承担，其招标资格可能被拒绝。</w:t>
      </w:r>
    </w:p>
    <w:p>
      <w:pPr>
        <w:pStyle w:val="BodyTextIndent"/>
        <w:adjustRightInd w:val="0"/>
        <w:snapToGrid w:val="0"/>
        <w:spacing w:after="0" w:line="500" w:lineRule="exact"/>
        <w:rPr>
          <w:rFonts w:ascii="宋体" w:hAnsi="宋体"/>
          <w:color w:val="000000"/>
          <w:sz w:val="24"/>
        </w:rPr>
      </w:pPr>
      <w:r>
        <w:rPr>
          <w:rFonts w:ascii="宋体" w:hAnsi="宋体" w:hint="eastAsia"/>
          <w:color w:val="000000"/>
          <w:sz w:val="24"/>
        </w:rPr>
        <w:t>7、投标文件一经投递，均不退还。</w:t>
      </w:r>
    </w:p>
    <w:p>
      <w:pPr>
        <w:pStyle w:val="BodyText"/>
        <w:spacing w:before="0" w:beforeAutospacing="0" w:after="0" w:afterAutospacing="0" w:line="500" w:lineRule="exact"/>
        <w:ind w:firstLine="470" w:firstLineChars="196"/>
        <w:rPr>
          <w:rFonts w:ascii="宋体" w:hAnsi="宋体"/>
          <w:b/>
          <w:color w:val="000000"/>
        </w:rPr>
      </w:pPr>
      <w:r>
        <w:rPr>
          <w:rFonts w:ascii="宋体" w:hAnsi="宋体" w:hint="eastAsia"/>
          <w:b/>
          <w:color w:val="000000"/>
          <w:lang w:eastAsia="zh-CN"/>
        </w:rPr>
        <w:t>十</w:t>
      </w:r>
      <w:r>
        <w:rPr>
          <w:rFonts w:ascii="宋体" w:hAnsi="宋体" w:hint="eastAsia"/>
          <w:b/>
          <w:color w:val="000000"/>
        </w:rPr>
        <w:t>、对投标文件的说明</w:t>
      </w:r>
    </w:p>
    <w:p>
      <w:pPr>
        <w:pStyle w:val="BodyText"/>
        <w:spacing w:before="0" w:beforeAutospacing="0" w:after="0" w:afterAutospacing="0" w:line="500" w:lineRule="exact"/>
        <w:ind w:firstLine="470" w:firstLineChars="196"/>
        <w:rPr>
          <w:rFonts w:ascii="宋体" w:hAnsi="宋体"/>
          <w:b/>
          <w:color w:val="000000"/>
          <w:kern w:val="2"/>
          <w:lang w:val="zh-CN"/>
        </w:rPr>
      </w:pPr>
      <w:r>
        <w:rPr>
          <w:rFonts w:ascii="宋体" w:hAnsi="宋体" w:hint="eastAsia"/>
          <w:b/>
          <w:color w:val="000000"/>
          <w:kern w:val="2"/>
          <w:lang w:val="zh-CN"/>
        </w:rPr>
        <w:t>（一）对投标文件的要求</w:t>
      </w:r>
    </w:p>
    <w:p>
      <w:pPr>
        <w:pStyle w:val="BodyText"/>
        <w:spacing w:before="0" w:beforeAutospacing="0" w:after="0" w:afterAutospacing="0" w:line="500" w:lineRule="exact"/>
        <w:ind w:firstLine="542"/>
        <w:rPr>
          <w:rFonts w:ascii="宋体" w:hAnsi="宋体" w:hint="eastAsia"/>
          <w:lang w:eastAsia="zh-CN"/>
        </w:rPr>
      </w:pPr>
      <w:r>
        <w:rPr>
          <w:rFonts w:ascii="宋体" w:hAnsi="宋体" w:hint="eastAsia"/>
        </w:rPr>
        <w:t>1、投标文件</w:t>
      </w:r>
      <w:r>
        <w:rPr>
          <w:rFonts w:ascii="宋体" w:hAnsi="宋体" w:hint="eastAsia"/>
          <w:b/>
          <w:color w:val="FF0000"/>
        </w:rPr>
        <w:t>一份正本、二份副本</w:t>
      </w:r>
      <w:r>
        <w:rPr>
          <w:rFonts w:ascii="宋体" w:hAnsi="宋体" w:hint="eastAsia"/>
          <w:b/>
        </w:rPr>
        <w:t>，</w:t>
      </w:r>
      <w:r>
        <w:rPr>
          <w:rFonts w:ascii="宋体" w:hAnsi="宋体" w:hint="eastAsia"/>
        </w:rPr>
        <w:t>均需采用</w:t>
      </w:r>
      <w:r>
        <w:rPr>
          <w:rFonts w:ascii="宋体" w:hAnsi="宋体"/>
        </w:rPr>
        <w:t>A4</w:t>
      </w:r>
      <w:r>
        <w:rPr>
          <w:rFonts w:ascii="宋体" w:hAnsi="宋体" w:hint="eastAsia"/>
        </w:rPr>
        <w:t>（图纸除外），牢固装订成册。在投标文件上要明确标注投标人全称及“正本”或“副本”字样，一旦正本与副本出现差异以正本为准</w:t>
      </w:r>
      <w:r>
        <w:rPr>
          <w:rFonts w:ascii="宋体" w:hAnsi="宋体" w:hint="eastAsia"/>
          <w:lang w:eastAsia="zh-CN"/>
        </w:rPr>
        <w:t>。</w:t>
      </w:r>
    </w:p>
    <w:p>
      <w:pPr>
        <w:pStyle w:val="BodyText"/>
        <w:spacing w:before="0" w:beforeAutospacing="0" w:after="0" w:afterAutospacing="0" w:line="500" w:lineRule="exact"/>
        <w:ind w:firstLine="542"/>
        <w:rPr>
          <w:rFonts w:ascii="宋体" w:hAnsi="宋体"/>
          <w:color w:val="000000"/>
        </w:rPr>
      </w:pPr>
      <w:r>
        <w:rPr>
          <w:rFonts w:ascii="宋体" w:hAnsi="宋体"/>
          <w:color w:val="000000"/>
        </w:rPr>
        <w:t>2</w:t>
      </w:r>
      <w:r>
        <w:rPr>
          <w:rFonts w:ascii="宋体" w:hAnsi="宋体" w:hint="eastAsia"/>
          <w:color w:val="000000"/>
        </w:rPr>
        <w:t>、投标文件正本须是打印的，并由法定代表或授权代表签字并加盖单位印章。副本可复印，但需加盖单位印章。</w:t>
      </w:r>
    </w:p>
    <w:p>
      <w:pPr>
        <w:pStyle w:val="BodyText"/>
        <w:spacing w:before="0" w:beforeAutospacing="0" w:after="0" w:afterAutospacing="0" w:line="500" w:lineRule="exact"/>
        <w:ind w:firstLine="542"/>
        <w:rPr>
          <w:rFonts w:ascii="宋体" w:hAnsi="宋体"/>
          <w:color w:val="000000"/>
        </w:rPr>
      </w:pPr>
      <w:r>
        <w:rPr>
          <w:rFonts w:ascii="宋体" w:hAnsi="宋体"/>
          <w:color w:val="000000"/>
        </w:rPr>
        <w:t>3</w:t>
      </w:r>
      <w:r>
        <w:rPr>
          <w:rFonts w:ascii="宋体" w:hAnsi="宋体" w:hint="eastAsia"/>
          <w:color w:val="000000"/>
        </w:rPr>
        <w:t>、</w:t>
      </w:r>
      <w:r>
        <w:rPr>
          <w:rFonts w:ascii="宋体" w:hAnsi="宋体" w:hint="eastAsia"/>
          <w:b/>
          <w:color w:val="FF0000"/>
        </w:rPr>
        <w:t>投标文件和报价单应分两部分密封</w:t>
      </w:r>
      <w:r>
        <w:rPr>
          <w:rFonts w:ascii="宋体" w:hAnsi="宋体" w:hint="eastAsia"/>
          <w:color w:val="000000"/>
        </w:rPr>
        <w:t>。密封后应标明投标项目名称、边缝处加盖单位骑缝印章或骑缝签名，并注明开标开始前不得启封。</w:t>
      </w:r>
    </w:p>
    <w:p>
      <w:pPr>
        <w:pStyle w:val="BodyText"/>
        <w:spacing w:before="0" w:beforeAutospacing="0" w:after="0" w:afterAutospacing="0" w:line="500" w:lineRule="exact"/>
        <w:ind w:firstLine="542"/>
        <w:rPr>
          <w:rFonts w:ascii="宋体" w:hAnsi="宋体"/>
          <w:color w:val="000000"/>
        </w:rPr>
      </w:pPr>
      <w:r>
        <w:rPr>
          <w:rFonts w:ascii="宋体" w:hAnsi="宋体"/>
          <w:color w:val="000000"/>
        </w:rPr>
        <w:t>4</w:t>
      </w:r>
      <w:r>
        <w:rPr>
          <w:rFonts w:ascii="宋体" w:hAnsi="宋体" w:hint="eastAsia"/>
          <w:color w:val="000000"/>
        </w:rPr>
        <w:t>、投标文件的内容</w:t>
      </w:r>
    </w:p>
    <w:p>
      <w:pPr>
        <w:pStyle w:val="BodyText"/>
        <w:spacing w:before="0" w:beforeAutospacing="0" w:after="0" w:afterAutospacing="0" w:line="500" w:lineRule="exact"/>
        <w:ind w:firstLine="480" w:firstLineChars="200"/>
        <w:rPr>
          <w:rFonts w:ascii="宋体" w:hAnsi="宋体"/>
          <w:color w:val="000000"/>
          <w:lang w:val="zh-CN"/>
        </w:rPr>
      </w:pPr>
      <w:r>
        <w:rPr>
          <w:rFonts w:ascii="宋体" w:hAnsi="宋体" w:hint="eastAsia"/>
          <w:color w:val="000000"/>
          <w:lang w:val="zh-CN"/>
        </w:rPr>
        <w:t>（1）投标人的营业执照、法人代表人身份证复印件、法人授权委托书、委托代理人身份证复印件、税务登记证等。</w:t>
      </w:r>
    </w:p>
    <w:p>
      <w:pPr>
        <w:pStyle w:val="BodyText"/>
        <w:spacing w:before="0" w:beforeAutospacing="0" w:after="0" w:afterAutospacing="0" w:line="500" w:lineRule="exact"/>
        <w:ind w:left="538"/>
        <w:rPr>
          <w:rFonts w:ascii="宋体" w:hAnsi="宋体"/>
          <w:color w:val="000000"/>
        </w:rPr>
      </w:pPr>
      <w:r>
        <w:rPr>
          <w:rFonts w:ascii="宋体" w:hAnsi="宋体" w:hint="eastAsia"/>
          <w:color w:val="000000"/>
        </w:rPr>
        <w:t>（2）相关服务承诺及优惠条件。</w:t>
      </w:r>
    </w:p>
    <w:p>
      <w:pPr>
        <w:pStyle w:val="BodyText"/>
        <w:spacing w:before="0" w:beforeAutospacing="0" w:after="0" w:afterAutospacing="0" w:line="500" w:lineRule="exact"/>
        <w:ind w:firstLine="470" w:firstLineChars="196"/>
        <w:rPr>
          <w:rFonts w:ascii="宋体" w:hAnsi="宋体"/>
          <w:b/>
          <w:color w:val="000000"/>
          <w:kern w:val="2"/>
          <w:lang w:val="zh-CN"/>
        </w:rPr>
      </w:pPr>
      <w:r>
        <w:rPr>
          <w:rFonts w:ascii="宋体" w:hAnsi="宋体" w:hint="eastAsia"/>
          <w:b/>
          <w:color w:val="000000"/>
          <w:kern w:val="2"/>
          <w:lang w:val="zh-CN"/>
        </w:rPr>
        <w:t>（二）投标文件装订顺序：</w:t>
      </w:r>
    </w:p>
    <w:p>
      <w:pPr>
        <w:pStyle w:val="BodyText"/>
        <w:spacing w:before="0" w:beforeAutospacing="0" w:after="0" w:afterAutospacing="0" w:line="500" w:lineRule="exact"/>
        <w:ind w:firstLine="542"/>
        <w:rPr>
          <w:rFonts w:ascii="宋体" w:hAnsi="宋体" w:hint="eastAsia"/>
          <w:color w:val="000000"/>
        </w:rPr>
      </w:pPr>
      <w:r>
        <w:rPr>
          <w:rFonts w:ascii="宋体" w:hAnsi="宋体" w:hint="eastAsia"/>
          <w:color w:val="000000"/>
        </w:rPr>
        <w:t>1、投标声明</w:t>
      </w:r>
    </w:p>
    <w:p>
      <w:pPr>
        <w:pStyle w:val="BodyText"/>
        <w:spacing w:before="0" w:beforeAutospacing="0" w:after="0" w:afterAutospacing="0" w:line="500" w:lineRule="exact"/>
        <w:ind w:firstLine="542"/>
        <w:rPr>
          <w:rFonts w:ascii="宋体" w:hAnsi="宋体"/>
          <w:color w:val="000000"/>
        </w:rPr>
      </w:pPr>
      <w:r>
        <w:rPr>
          <w:rFonts w:ascii="宋体" w:hAnsi="宋体"/>
          <w:color w:val="000000"/>
        </w:rPr>
        <w:t>2</w:t>
      </w:r>
      <w:r>
        <w:rPr>
          <w:rFonts w:ascii="宋体" w:hAnsi="宋体" w:hint="eastAsia"/>
          <w:color w:val="000000"/>
        </w:rPr>
        <w:t>、采购活动廉政承诺书</w:t>
      </w:r>
    </w:p>
    <w:p>
      <w:pPr>
        <w:pStyle w:val="BodyText"/>
        <w:spacing w:before="0" w:beforeAutospacing="0" w:after="0" w:afterAutospacing="0" w:line="500" w:lineRule="exact"/>
        <w:ind w:firstLine="542"/>
        <w:rPr>
          <w:rFonts w:ascii="宋体" w:hAnsi="宋体"/>
          <w:color w:val="000000"/>
        </w:rPr>
        <w:sectPr>
          <w:headerReference w:type="default" r:id="rId13"/>
          <w:type w:val="nextPage"/>
          <w:pgSz w:w="11906" w:h="16838"/>
          <w:pgMar w:top="1587" w:right="1417" w:bottom="1440" w:left="1417" w:header="851" w:footer="992" w:gutter="0"/>
          <w:pgNumType w:start="9"/>
          <w:cols w:num="1" w:space="720"/>
          <w:titlePg w:val="0"/>
          <w:docGrid w:type="linesAndChars" w:linePitch="312" w:charSpace="0"/>
        </w:sectPr>
      </w:pPr>
      <w:r>
        <w:rPr>
          <w:rFonts w:ascii="宋体" w:hAnsi="宋体"/>
          <w:color w:val="000000"/>
        </w:rPr>
        <w:t>3</w:t>
      </w:r>
      <w:r>
        <w:rPr>
          <w:rFonts w:ascii="宋体" w:hAnsi="宋体" w:hint="eastAsia"/>
          <w:color w:val="000000"/>
        </w:rPr>
        <w:t>、法人代表授权书</w:t>
      </w:r>
    </w:p>
    <w:p>
      <w:pPr>
        <w:pStyle w:val="BodyText"/>
        <w:spacing w:before="0" w:beforeAutospacing="0" w:after="0" w:afterAutospacing="0" w:line="500" w:lineRule="exact"/>
        <w:ind w:firstLine="542"/>
        <w:rPr>
          <w:rFonts w:ascii="宋体" w:hAnsi="宋体"/>
          <w:color w:val="000000"/>
        </w:rPr>
      </w:pPr>
      <w:r>
        <w:rPr>
          <w:rFonts w:ascii="宋体" w:hAnsi="宋体" w:hint="eastAsia"/>
          <w:color w:val="000000"/>
        </w:rPr>
        <w:t>4、投标人资质材料(如营业执照复印件，投标人身份证等)</w:t>
      </w:r>
    </w:p>
    <w:p>
      <w:pPr>
        <w:widowControl/>
        <w:shd w:val="clear" w:color="auto" w:fill="FFFFFF"/>
        <w:spacing w:line="400" w:lineRule="exact"/>
        <w:ind w:firstLine="480" w:firstLineChars="200"/>
        <w:rPr>
          <w:rFonts w:ascii="宋体" w:hAnsi="宋体" w:hint="eastAsia"/>
          <w:color w:val="000000"/>
          <w:kern w:val="0"/>
          <w:sz w:val="24"/>
        </w:rPr>
      </w:pPr>
      <w:r>
        <w:rPr>
          <w:rFonts w:ascii="宋体" w:eastAsia="宋体" w:hAnsi="宋体" w:cs="Times New Roman" w:hint="eastAsia"/>
          <w:color w:val="000000"/>
          <w:kern w:val="0"/>
          <w:sz w:val="24"/>
          <w:szCs w:val="24"/>
          <w:lang w:val="en-US" w:eastAsia="zh-CN" w:bidi="ar-SA"/>
        </w:rPr>
        <w:t>5、报价单必须单独密封报价，不得放在资质文件，否则视为废标。</w:t>
      </w:r>
    </w:p>
    <w:p>
      <w:pPr>
        <w:widowControl/>
        <w:shd w:val="clear" w:color="auto" w:fill="FFFFFF"/>
        <w:spacing w:line="400" w:lineRule="exact"/>
        <w:ind w:firstLine="480" w:firstLineChars="200"/>
        <w:rPr>
          <w:rFonts w:ascii="宋体" w:hAnsi="宋体" w:hint="default"/>
          <w:color w:val="000000"/>
          <w:kern w:val="0"/>
          <w:sz w:val="24"/>
        </w:rPr>
      </w:pPr>
      <w:r>
        <w:rPr>
          <w:rFonts w:ascii="宋体" w:hAnsi="宋体" w:cs="Times New Roman" w:hint="eastAsia"/>
          <w:color w:val="000000"/>
          <w:kern w:val="0"/>
          <w:sz w:val="24"/>
          <w:szCs w:val="24"/>
          <w:lang w:val="en-US" w:eastAsia="zh-CN" w:bidi="ar-SA"/>
        </w:rPr>
        <w:t>6.其他</w:t>
      </w:r>
    </w:p>
    <w:p>
      <w:pPr>
        <w:pStyle w:val="BodyText"/>
        <w:spacing w:before="0" w:beforeAutospacing="0" w:after="0" w:afterAutospacing="0" w:line="500" w:lineRule="exact"/>
        <w:ind w:firstLine="480" w:firstLineChars="200"/>
        <w:rPr>
          <w:rFonts w:ascii="宋体" w:hAnsi="宋体"/>
          <w:b/>
          <w:color w:val="000000"/>
          <w:kern w:val="2"/>
          <w:lang w:val="zh-CN"/>
        </w:rPr>
      </w:pPr>
      <w:r>
        <w:rPr>
          <w:rFonts w:ascii="宋体" w:hAnsi="宋体" w:hint="eastAsia"/>
          <w:b/>
          <w:color w:val="000000"/>
          <w:kern w:val="2"/>
          <w:lang w:val="zh-CN"/>
        </w:rPr>
        <w:t>十一、评标</w:t>
      </w:r>
    </w:p>
    <w:p>
      <w:pPr>
        <w:pStyle w:val="BodyText"/>
        <w:spacing w:before="0" w:beforeAutospacing="0" w:after="0" w:afterAutospacing="0" w:line="500" w:lineRule="exact"/>
        <w:ind w:firstLine="542"/>
        <w:rPr>
          <w:rFonts w:ascii="宋体" w:hAnsi="宋体"/>
          <w:color w:val="000000"/>
        </w:rPr>
      </w:pPr>
      <w:r>
        <w:rPr>
          <w:rFonts w:ascii="宋体" w:hAnsi="宋体"/>
          <w:b/>
          <w:color w:val="000000"/>
        </w:rPr>
        <w:t>1</w:t>
      </w:r>
      <w:r>
        <w:rPr>
          <w:rFonts w:ascii="宋体" w:hAnsi="宋体" w:hint="eastAsia"/>
          <w:b/>
          <w:color w:val="000000"/>
        </w:rPr>
        <w:t>、评标小组</w:t>
      </w:r>
      <w:r>
        <w:rPr>
          <w:rFonts w:ascii="宋体" w:hAnsi="宋体" w:hint="eastAsia"/>
          <w:color w:val="000000"/>
        </w:rPr>
        <w:t>：由校内外专家组成评标小组。</w:t>
      </w:r>
    </w:p>
    <w:p>
      <w:pPr>
        <w:pStyle w:val="BodyText"/>
        <w:spacing w:before="0" w:beforeAutospacing="0" w:after="0" w:afterAutospacing="0" w:line="500" w:lineRule="exact"/>
        <w:ind w:firstLine="542"/>
        <w:rPr>
          <w:rFonts w:ascii="宋体" w:hAnsi="宋体"/>
          <w:color w:val="000000"/>
        </w:rPr>
      </w:pPr>
      <w:r>
        <w:rPr>
          <w:rFonts w:ascii="宋体" w:hAnsi="宋体"/>
          <w:b/>
          <w:color w:val="000000"/>
        </w:rPr>
        <w:t>2</w:t>
      </w:r>
      <w:r>
        <w:rPr>
          <w:rFonts w:ascii="宋体" w:hAnsi="宋体" w:hint="eastAsia"/>
          <w:b/>
          <w:color w:val="000000"/>
        </w:rPr>
        <w:t>、评标程序</w:t>
      </w:r>
      <w:r>
        <w:rPr>
          <w:rFonts w:ascii="宋体" w:hAnsi="宋体" w:hint="eastAsia"/>
          <w:color w:val="000000"/>
        </w:rPr>
        <w:t>：</w:t>
      </w:r>
    </w:p>
    <w:p>
      <w:pPr>
        <w:pStyle w:val="BodyText"/>
        <w:spacing w:before="0" w:beforeAutospacing="0" w:after="0" w:afterAutospacing="0" w:line="500" w:lineRule="exact"/>
        <w:ind w:firstLine="542"/>
        <w:rPr>
          <w:rFonts w:ascii="宋体" w:hAnsi="宋体"/>
          <w:color w:val="000000"/>
        </w:rPr>
      </w:pPr>
      <w:r>
        <w:rPr>
          <w:rFonts w:ascii="宋体" w:hAnsi="宋体" w:hint="eastAsia"/>
          <w:color w:val="000000"/>
        </w:rPr>
        <w:t>（</w:t>
      </w:r>
      <w:r>
        <w:rPr>
          <w:rFonts w:ascii="宋体" w:hAnsi="宋体"/>
          <w:color w:val="000000"/>
        </w:rPr>
        <w:t>1</w:t>
      </w:r>
      <w:r>
        <w:rPr>
          <w:rFonts w:ascii="宋体" w:hAnsi="宋体" w:hint="eastAsia"/>
          <w:color w:val="000000"/>
        </w:rPr>
        <w:t>）评标专家组依据招标文件要求，对投标人提供的资格证明材料进行审核。</w:t>
      </w:r>
    </w:p>
    <w:p>
      <w:pPr>
        <w:pStyle w:val="BodyText"/>
        <w:spacing w:before="0" w:beforeAutospacing="0" w:after="0" w:afterAutospacing="0" w:line="500" w:lineRule="exact"/>
        <w:ind w:firstLine="542"/>
        <w:rPr>
          <w:rFonts w:ascii="宋体" w:hAnsi="宋体"/>
          <w:color w:val="000000"/>
        </w:rPr>
      </w:pPr>
      <w:r>
        <w:rPr>
          <w:rFonts w:ascii="宋体" w:hAnsi="宋体" w:hint="eastAsia"/>
          <w:color w:val="000000"/>
        </w:rPr>
        <w:t>（</w:t>
      </w:r>
      <w:r>
        <w:rPr>
          <w:rFonts w:ascii="宋体" w:hAnsi="宋体"/>
          <w:color w:val="000000"/>
        </w:rPr>
        <w:t>2</w:t>
      </w:r>
      <w:r>
        <w:rPr>
          <w:rFonts w:ascii="宋体" w:hAnsi="宋体" w:hint="eastAsia"/>
          <w:color w:val="000000"/>
        </w:rPr>
        <w:t>）评标专家小组逐一对投标人的投标文件的技术、商务进行评审，并根据需要对投标人进行询问。评标中任何一方不得透露与招标内容有关的信息。</w:t>
      </w:r>
    </w:p>
    <w:p>
      <w:pPr>
        <w:pStyle w:val="BodyText"/>
        <w:spacing w:before="0" w:beforeAutospacing="0" w:after="0" w:afterAutospacing="0" w:line="500" w:lineRule="exact"/>
        <w:ind w:firstLine="542"/>
        <w:rPr>
          <w:rFonts w:ascii="宋体" w:hAnsi="宋体"/>
          <w:color w:val="000000"/>
        </w:rPr>
      </w:pPr>
      <w:r>
        <w:rPr>
          <w:rFonts w:ascii="宋体" w:hAnsi="宋体" w:hint="eastAsia"/>
          <w:color w:val="000000"/>
        </w:rPr>
        <w:t>（</w:t>
      </w:r>
      <w:r>
        <w:rPr>
          <w:rFonts w:ascii="宋体" w:hAnsi="宋体"/>
          <w:color w:val="000000"/>
        </w:rPr>
        <w:t>3</w:t>
      </w:r>
      <w:r>
        <w:rPr>
          <w:rFonts w:ascii="宋体" w:hAnsi="宋体" w:hint="eastAsia"/>
          <w:color w:val="000000"/>
        </w:rPr>
        <w:t>）专家小组根据投标人的最终报价，综合商务技术等因素，进行评分，择优选择投标人为本项目的供应商，并将结果通知中标的投标人。专家小组不解释中标或落标的原因。</w:t>
      </w:r>
    </w:p>
    <w:p>
      <w:pPr>
        <w:pStyle w:val="BodyText"/>
        <w:spacing w:before="0" w:beforeAutospacing="0" w:after="0" w:afterAutospacing="0" w:line="500" w:lineRule="exact"/>
        <w:ind w:left="542"/>
        <w:rPr>
          <w:rFonts w:ascii="宋体" w:hAnsi="宋体"/>
          <w:b/>
          <w:color w:val="000000"/>
        </w:rPr>
      </w:pPr>
      <w:r>
        <w:rPr>
          <w:rFonts w:ascii="宋体" w:hAnsi="宋体" w:hint="eastAsia"/>
          <w:b/>
          <w:color w:val="000000"/>
        </w:rPr>
        <w:t>3、评标结果</w:t>
      </w:r>
    </w:p>
    <w:p>
      <w:pPr>
        <w:pStyle w:val="BodyText"/>
        <w:spacing w:before="0" w:beforeAutospacing="0" w:after="0" w:afterAutospacing="0" w:line="500" w:lineRule="exact"/>
        <w:ind w:firstLine="542"/>
        <w:rPr>
          <w:rFonts w:ascii="宋体" w:hAnsi="宋体"/>
        </w:rPr>
      </w:pPr>
      <w:r>
        <w:rPr>
          <w:rFonts w:ascii="宋体" w:hAnsi="宋体" w:hint="eastAsia"/>
        </w:rPr>
        <w:t>1、中标人的确定：综合评分法，得分最高的投标人为中标供应商。</w:t>
      </w:r>
    </w:p>
    <w:p>
      <w:pPr>
        <w:pStyle w:val="BodyText"/>
        <w:spacing w:before="0" w:beforeAutospacing="0" w:after="0" w:afterAutospacing="0" w:line="500" w:lineRule="exact"/>
        <w:ind w:firstLine="542"/>
        <w:rPr>
          <w:rFonts w:ascii="宋体" w:hAnsi="宋体"/>
          <w:color w:val="000000"/>
        </w:rPr>
      </w:pPr>
      <w:r>
        <w:rPr>
          <w:rFonts w:ascii="宋体" w:hAnsi="宋体" w:hint="eastAsia"/>
          <w:color w:val="000000"/>
        </w:rPr>
        <w:t>2、如招标截止时间已到，投标人不足</w:t>
      </w:r>
      <w:r>
        <w:rPr>
          <w:rFonts w:ascii="宋体" w:hAnsi="宋体" w:hint="eastAsia"/>
          <w:color w:val="000000"/>
          <w:lang w:val="en-US" w:eastAsia="zh-CN"/>
        </w:rPr>
        <w:t>7</w:t>
      </w:r>
      <w:r>
        <w:rPr>
          <w:rFonts w:ascii="宋体" w:hAnsi="宋体" w:hint="eastAsia"/>
          <w:color w:val="000000"/>
        </w:rPr>
        <w:t>家的，或有效投标人不足</w:t>
      </w:r>
      <w:r>
        <w:rPr>
          <w:rFonts w:ascii="宋体" w:hAnsi="宋体" w:hint="eastAsia"/>
          <w:color w:val="000000"/>
          <w:lang w:val="en-US" w:eastAsia="zh-CN"/>
        </w:rPr>
        <w:t>7</w:t>
      </w:r>
      <w:r>
        <w:rPr>
          <w:rFonts w:ascii="宋体" w:hAnsi="宋体" w:hint="eastAsia"/>
          <w:color w:val="000000"/>
        </w:rPr>
        <w:t>家的，经请示校采购领导小组后，招标人有权采用其他采购方式继续进行或终止本次招标活动。</w:t>
      </w:r>
    </w:p>
    <w:p>
      <w:pPr>
        <w:topLinePunct/>
        <w:adjustRightInd w:val="0"/>
        <w:snapToGrid w:val="0"/>
        <w:spacing w:line="500" w:lineRule="exact"/>
        <w:ind w:firstLine="480" w:firstLineChars="200"/>
        <w:rPr>
          <w:rFonts w:ascii="宋体" w:hAnsi="宋体"/>
          <w:b/>
          <w:color w:val="000000"/>
          <w:sz w:val="24"/>
          <w:lang w:val="zh-CN"/>
        </w:rPr>
      </w:pPr>
      <w:r>
        <w:rPr>
          <w:rFonts w:ascii="宋体" w:hAnsi="宋体" w:hint="eastAsia"/>
          <w:b/>
          <w:color w:val="000000"/>
          <w:sz w:val="24"/>
          <w:lang w:val="zh-CN"/>
        </w:rPr>
        <w:t>十二、投标保证金可不予退还的情形</w:t>
      </w:r>
    </w:p>
    <w:p>
      <w:pPr>
        <w:adjustRightInd w:val="0"/>
        <w:snapToGrid w:val="0"/>
        <w:spacing w:line="500" w:lineRule="exact"/>
        <w:ind w:firstLine="480" w:firstLineChars="200"/>
        <w:rPr>
          <w:rFonts w:ascii="宋体" w:hAnsi="宋体"/>
          <w:color w:val="000000"/>
          <w:sz w:val="24"/>
        </w:rPr>
      </w:pPr>
      <w:r>
        <w:rPr>
          <w:rFonts w:ascii="宋体" w:hAnsi="宋体" w:hint="eastAsia"/>
          <w:color w:val="000000"/>
          <w:sz w:val="24"/>
        </w:rPr>
        <w:t>1.供应商在招标开始后要求撤销投标的；</w:t>
      </w:r>
    </w:p>
    <w:p>
      <w:pPr>
        <w:adjustRightInd w:val="0"/>
        <w:snapToGrid w:val="0"/>
        <w:spacing w:line="500" w:lineRule="exact"/>
        <w:ind w:firstLine="480" w:firstLineChars="200"/>
        <w:rPr>
          <w:rFonts w:ascii="宋体" w:hAnsi="宋体"/>
          <w:color w:val="000000"/>
          <w:sz w:val="24"/>
        </w:rPr>
      </w:pPr>
      <w:r>
        <w:rPr>
          <w:rFonts w:ascii="宋体" w:hAnsi="宋体" w:hint="eastAsia"/>
          <w:color w:val="000000"/>
          <w:sz w:val="24"/>
        </w:rPr>
        <w:t xml:space="preserve">2.不满足投标资格要求，提供虚假材料谋取中标，经查实的； </w:t>
      </w:r>
    </w:p>
    <w:p>
      <w:pPr>
        <w:adjustRightInd w:val="0"/>
        <w:snapToGrid w:val="0"/>
        <w:spacing w:line="500" w:lineRule="exact"/>
        <w:ind w:firstLine="480" w:firstLineChars="200"/>
        <w:rPr>
          <w:rFonts w:ascii="宋体" w:hAnsi="宋体"/>
          <w:color w:val="000000"/>
          <w:sz w:val="24"/>
        </w:rPr>
      </w:pPr>
      <w:r>
        <w:rPr>
          <w:rFonts w:ascii="宋体" w:hAnsi="宋体" w:hint="eastAsia"/>
          <w:color w:val="000000"/>
          <w:sz w:val="24"/>
        </w:rPr>
        <w:t>3.报价中主要产品的单价高于市场正常零售价，经查实的；</w:t>
      </w:r>
    </w:p>
    <w:p>
      <w:pPr>
        <w:topLinePunct/>
        <w:adjustRightInd w:val="0"/>
        <w:snapToGrid w:val="0"/>
        <w:spacing w:line="500" w:lineRule="exact"/>
        <w:ind w:firstLine="480" w:firstLineChars="200"/>
        <w:rPr>
          <w:rFonts w:ascii="宋体" w:hAnsi="宋体"/>
          <w:color w:val="000000"/>
          <w:sz w:val="24"/>
        </w:rPr>
      </w:pPr>
      <w:r>
        <w:rPr>
          <w:rFonts w:ascii="宋体" w:hAnsi="宋体" w:hint="eastAsia"/>
          <w:color w:val="000000"/>
          <w:sz w:val="24"/>
        </w:rPr>
        <w:t>4.其它提供虚假材料谋取中标的。</w:t>
      </w:r>
    </w:p>
    <w:p>
      <w:pPr>
        <w:topLinePunct/>
        <w:adjustRightInd w:val="0"/>
        <w:snapToGrid w:val="0"/>
        <w:spacing w:line="500" w:lineRule="exact"/>
        <w:ind w:firstLine="480" w:firstLineChars="200"/>
        <w:rPr>
          <w:rFonts w:ascii="宋体" w:hAnsi="宋体"/>
          <w:b/>
          <w:color w:val="000000"/>
          <w:sz w:val="24"/>
          <w:lang w:val="zh-CN"/>
        </w:rPr>
      </w:pPr>
      <w:r>
        <w:rPr>
          <w:rFonts w:ascii="宋体" w:hAnsi="宋体" w:hint="eastAsia"/>
          <w:b/>
          <w:color w:val="000000"/>
          <w:sz w:val="24"/>
          <w:lang w:val="zh-CN"/>
        </w:rPr>
        <w:t>十三、履约保证金可不予退还的情形</w:t>
      </w:r>
    </w:p>
    <w:p>
      <w:pPr>
        <w:adjustRightInd w:val="0"/>
        <w:snapToGrid w:val="0"/>
        <w:spacing w:line="500" w:lineRule="exact"/>
        <w:ind w:firstLine="480" w:firstLineChars="200"/>
        <w:rPr>
          <w:rFonts w:ascii="宋体" w:hAnsi="宋体"/>
          <w:color w:val="000000"/>
          <w:sz w:val="24"/>
        </w:rPr>
      </w:pPr>
      <w:r>
        <w:rPr>
          <w:rFonts w:ascii="宋体" w:hAnsi="宋体" w:hint="eastAsia"/>
          <w:color w:val="000000"/>
          <w:sz w:val="24"/>
        </w:rPr>
        <w:t>1.中标人不能按时按要求签订合同的。</w:t>
      </w:r>
    </w:p>
    <w:p>
      <w:pPr>
        <w:adjustRightInd w:val="0"/>
        <w:snapToGrid w:val="0"/>
        <w:spacing w:line="500" w:lineRule="exact"/>
        <w:ind w:firstLine="480" w:firstLineChars="200"/>
        <w:rPr>
          <w:rFonts w:ascii="宋体" w:hAnsi="宋体"/>
          <w:color w:val="000000"/>
          <w:sz w:val="24"/>
        </w:rPr>
      </w:pPr>
      <w:r>
        <w:rPr>
          <w:rFonts w:ascii="宋体" w:hAnsi="宋体" w:hint="eastAsia"/>
          <w:color w:val="000000"/>
          <w:sz w:val="24"/>
        </w:rPr>
        <w:t>2.中标人不能按合同规定履约的。</w:t>
      </w:r>
      <w:r>
        <w:rPr>
          <w:rFonts w:ascii="宋体" w:hAnsi="宋体"/>
          <w:color w:val="000000"/>
          <w:sz w:val="24"/>
        </w:rPr>
        <w:br/>
      </w:r>
      <w:r>
        <w:rPr>
          <w:rFonts w:ascii="宋体" w:hAnsi="宋体"/>
          <w:color w:val="000000"/>
          <w:sz w:val="24"/>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https://d.book118.com/845002021231011112</w:t>
        </w:r>
      </w:hyperlink>
    </w:p>
    <w:p>
      <w:pPr>
        <w:adjustRightInd w:val="0"/>
        <w:snapToGrid w:val="0"/>
        <w:spacing w:line="500" w:lineRule="exact"/>
        <w:ind w:firstLine="480" w:firstLineChars="200"/>
        <w:rPr>
          <w:rFonts w:ascii="宋体" w:hAnsi="宋体"/>
          <w:color w:val="000000"/>
          <w:sz w:val="24"/>
        </w:rPr>
      </w:pPr>
    </w:p>
    <w:sectPr>
      <w:headerReference w:type="default" r:id="rId15"/>
      <w:type w:val="nextPage"/>
      <w:pgSz w:w="11906" w:h="16838"/>
      <w:pgMar w:top="1587" w:right="1417" w:bottom="1440" w:left="1417" w:header="851" w:footer="992" w:gutter="0"/>
      <w:pgNumType w:start="10"/>
      <w:cols w:num="1" w:space="720"/>
      <w:titlePg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525578"/>
    <w:multiLevelType w:val="singleLevel"/>
    <w:tmpl w:val="0E525578"/>
    <w:lvl w:ilvl="0">
      <w:start w:val="1"/>
      <w:numFmt w:val="decimal"/>
      <w:suff w:val="nothing"/>
      <w:lvlText w:val="（%1）"/>
      <w:lvlJc w:val="left"/>
    </w:lvl>
  </w:abstractNum>
  <w:abstractNum w:abstractNumId="1">
    <w:nsid w:val="142E6D05"/>
    <w:multiLevelType w:val="multilevel"/>
    <w:tmpl w:val="142E6D05"/>
    <w:lvl w:ilvl="0">
      <w:start w:val="1"/>
      <w:numFmt w:val="decimal"/>
      <w:lvlText w:val="%1."/>
      <w:lvlJc w:val="left"/>
      <w:pPr>
        <w:ind w:left="890" w:hanging="420"/>
      </w:pPr>
      <w:rPr>
        <w:rFonts w:cs="Times New Roman"/>
      </w:rPr>
    </w:lvl>
    <w:lvl w:ilvl="1">
      <w:start w:val="1"/>
      <w:numFmt w:val="lowerLetter"/>
      <w:lvlText w:val="%2)"/>
      <w:lvlJc w:val="left"/>
      <w:pPr>
        <w:ind w:left="1310" w:hanging="420"/>
      </w:pPr>
      <w:rPr>
        <w:rFonts w:cs="Times New Roman"/>
      </w:rPr>
    </w:lvl>
    <w:lvl w:ilvl="2">
      <w:start w:val="1"/>
      <w:numFmt w:val="lowerRoman"/>
      <w:lvlText w:val="%3."/>
      <w:lvlJc w:val="right"/>
      <w:pPr>
        <w:ind w:left="1730" w:hanging="420"/>
      </w:pPr>
      <w:rPr>
        <w:rFonts w:cs="Times New Roman"/>
      </w:rPr>
    </w:lvl>
    <w:lvl w:ilvl="3">
      <w:start w:val="1"/>
      <w:numFmt w:val="decimal"/>
      <w:lvlText w:val="%4."/>
      <w:lvlJc w:val="left"/>
      <w:pPr>
        <w:ind w:left="2150" w:hanging="420"/>
      </w:pPr>
      <w:rPr>
        <w:rFonts w:cs="Times New Roman"/>
      </w:rPr>
    </w:lvl>
    <w:lvl w:ilvl="4">
      <w:start w:val="1"/>
      <w:numFmt w:val="lowerLetter"/>
      <w:lvlText w:val="%5)"/>
      <w:lvlJc w:val="left"/>
      <w:pPr>
        <w:ind w:left="2570" w:hanging="420"/>
      </w:pPr>
      <w:rPr>
        <w:rFonts w:cs="Times New Roman"/>
      </w:rPr>
    </w:lvl>
    <w:lvl w:ilvl="5">
      <w:start w:val="1"/>
      <w:numFmt w:val="lowerRoman"/>
      <w:lvlText w:val="%6."/>
      <w:lvlJc w:val="right"/>
      <w:pPr>
        <w:ind w:left="2990" w:hanging="420"/>
      </w:pPr>
      <w:rPr>
        <w:rFonts w:cs="Times New Roman"/>
      </w:rPr>
    </w:lvl>
    <w:lvl w:ilvl="6">
      <w:start w:val="1"/>
      <w:numFmt w:val="decimal"/>
      <w:lvlText w:val="%7."/>
      <w:lvlJc w:val="left"/>
      <w:pPr>
        <w:ind w:left="3410" w:hanging="420"/>
      </w:pPr>
      <w:rPr>
        <w:rFonts w:cs="Times New Roman"/>
      </w:rPr>
    </w:lvl>
    <w:lvl w:ilvl="7">
      <w:start w:val="1"/>
      <w:numFmt w:val="lowerLetter"/>
      <w:lvlText w:val="%8)"/>
      <w:lvlJc w:val="left"/>
      <w:pPr>
        <w:ind w:left="3830" w:hanging="420"/>
      </w:pPr>
      <w:rPr>
        <w:rFonts w:cs="Times New Roman"/>
      </w:rPr>
    </w:lvl>
    <w:lvl w:ilvl="8">
      <w:start w:val="1"/>
      <w:numFmt w:val="lowerRoman"/>
      <w:lvlText w:val="%9."/>
      <w:lvlJc w:val="right"/>
      <w:pPr>
        <w:ind w:left="4250" w:hanging="420"/>
      </w:pPr>
      <w:rPr>
        <w:rFonts w:cs="Times New Roman"/>
      </w:rPr>
    </w:lvl>
  </w:abstractNum>
  <w:abstractNum w:abstractNumId="2">
    <w:nsid w:val="73362A3D"/>
    <w:multiLevelType w:val="multilevel"/>
    <w:tmpl w:val="73362A3D"/>
    <w:lvl w:ilvl="0">
      <w:start w:val="1"/>
      <w:numFmt w:val="decimal"/>
      <w:lvlText w:val="%1."/>
      <w:lvlJc w:val="left"/>
      <w:pPr>
        <w:ind w:left="1128" w:hanging="420"/>
      </w:pPr>
      <w:rPr>
        <w:rFonts w:cs="Times New Roman"/>
      </w:rPr>
    </w:lvl>
    <w:lvl w:ilvl="1">
      <w:start w:val="1"/>
      <w:numFmt w:val="lowerLetter"/>
      <w:lvlText w:val="%2)"/>
      <w:lvlJc w:val="left"/>
      <w:pPr>
        <w:ind w:left="1548" w:hanging="420"/>
      </w:pPr>
      <w:rPr>
        <w:rFonts w:cs="Times New Roman"/>
      </w:rPr>
    </w:lvl>
    <w:lvl w:ilvl="2">
      <w:start w:val="1"/>
      <w:numFmt w:val="lowerRoman"/>
      <w:lvlText w:val="%3."/>
      <w:lvlJc w:val="right"/>
      <w:pPr>
        <w:ind w:left="1968" w:hanging="420"/>
      </w:pPr>
      <w:rPr>
        <w:rFonts w:cs="Times New Roman"/>
      </w:rPr>
    </w:lvl>
    <w:lvl w:ilvl="3">
      <w:start w:val="1"/>
      <w:numFmt w:val="decimal"/>
      <w:lvlText w:val="%4."/>
      <w:lvlJc w:val="left"/>
      <w:pPr>
        <w:ind w:left="2388" w:hanging="420"/>
      </w:pPr>
      <w:rPr>
        <w:rFonts w:cs="Times New Roman"/>
      </w:rPr>
    </w:lvl>
    <w:lvl w:ilvl="4">
      <w:start w:val="1"/>
      <w:numFmt w:val="lowerLetter"/>
      <w:lvlText w:val="%5)"/>
      <w:lvlJc w:val="left"/>
      <w:pPr>
        <w:ind w:left="2808" w:hanging="420"/>
      </w:pPr>
      <w:rPr>
        <w:rFonts w:cs="Times New Roman"/>
      </w:rPr>
    </w:lvl>
    <w:lvl w:ilvl="5">
      <w:start w:val="1"/>
      <w:numFmt w:val="lowerRoman"/>
      <w:lvlText w:val="%6."/>
      <w:lvlJc w:val="right"/>
      <w:pPr>
        <w:ind w:left="3228" w:hanging="420"/>
      </w:pPr>
      <w:rPr>
        <w:rFonts w:cs="Times New Roman"/>
      </w:rPr>
    </w:lvl>
    <w:lvl w:ilvl="6">
      <w:start w:val="1"/>
      <w:numFmt w:val="decimal"/>
      <w:lvlText w:val="%7."/>
      <w:lvlJc w:val="left"/>
      <w:pPr>
        <w:ind w:left="3648" w:hanging="420"/>
      </w:pPr>
      <w:rPr>
        <w:rFonts w:cs="Times New Roman"/>
      </w:rPr>
    </w:lvl>
    <w:lvl w:ilvl="7">
      <w:start w:val="1"/>
      <w:numFmt w:val="lowerLetter"/>
      <w:lvlText w:val="%8)"/>
      <w:lvlJc w:val="left"/>
      <w:pPr>
        <w:ind w:left="4068" w:hanging="420"/>
      </w:pPr>
      <w:rPr>
        <w:rFonts w:cs="Times New Roman"/>
      </w:rPr>
    </w:lvl>
    <w:lvl w:ilvl="8">
      <w:start w:val="1"/>
      <w:numFmt w:val="lowerRoman"/>
      <w:lvlText w:val="%9."/>
      <w:lvlJc w:val="right"/>
      <w:pPr>
        <w:ind w:left="4488" w:hanging="420"/>
      </w:pPr>
      <w:rPr>
        <w:rFonts w:cs="Times New Roman"/>
      </w:rPr>
    </w:lvl>
  </w:abstractNum>
  <w:abstractNum w:abstractNumId="3">
    <w:nsid w:val="7E432D8D"/>
    <w:multiLevelType w:val="multilevel"/>
    <w:tmpl w:val="7E432D8D"/>
    <w:lvl w:ilvl="0">
      <w:start w:val="1"/>
      <w:numFmt w:val="decimal"/>
      <w:lvlText w:val="（%1）"/>
      <w:lvlJc w:val="left"/>
      <w:pPr>
        <w:ind w:left="890" w:hanging="420"/>
      </w:pPr>
      <w:rPr>
        <w:rFonts w:cs="Times New Roman" w:hint="eastAsia"/>
      </w:rPr>
    </w:lvl>
    <w:lvl w:ilvl="1">
      <w:start w:val="1"/>
      <w:numFmt w:val="lowerLetter"/>
      <w:lvlText w:val="%2)"/>
      <w:lvlJc w:val="left"/>
      <w:pPr>
        <w:ind w:left="1310" w:hanging="420"/>
      </w:pPr>
      <w:rPr>
        <w:rFonts w:cs="Times New Roman"/>
      </w:rPr>
    </w:lvl>
    <w:lvl w:ilvl="2">
      <w:start w:val="1"/>
      <w:numFmt w:val="lowerRoman"/>
      <w:lvlText w:val="%3."/>
      <w:lvlJc w:val="right"/>
      <w:pPr>
        <w:ind w:left="1730" w:hanging="420"/>
      </w:pPr>
      <w:rPr>
        <w:rFonts w:cs="Times New Roman"/>
      </w:rPr>
    </w:lvl>
    <w:lvl w:ilvl="3">
      <w:start w:val="1"/>
      <w:numFmt w:val="decimal"/>
      <w:lvlText w:val="%4."/>
      <w:lvlJc w:val="left"/>
      <w:pPr>
        <w:ind w:left="2150" w:hanging="420"/>
      </w:pPr>
      <w:rPr>
        <w:rFonts w:cs="Times New Roman"/>
      </w:rPr>
    </w:lvl>
    <w:lvl w:ilvl="4">
      <w:start w:val="1"/>
      <w:numFmt w:val="lowerLetter"/>
      <w:lvlText w:val="%5)"/>
      <w:lvlJc w:val="left"/>
      <w:pPr>
        <w:ind w:left="2570" w:hanging="420"/>
      </w:pPr>
      <w:rPr>
        <w:rFonts w:cs="Times New Roman"/>
      </w:rPr>
    </w:lvl>
    <w:lvl w:ilvl="5">
      <w:start w:val="1"/>
      <w:numFmt w:val="lowerRoman"/>
      <w:lvlText w:val="%6."/>
      <w:lvlJc w:val="right"/>
      <w:pPr>
        <w:ind w:left="2990" w:hanging="420"/>
      </w:pPr>
      <w:rPr>
        <w:rFonts w:cs="Times New Roman"/>
      </w:rPr>
    </w:lvl>
    <w:lvl w:ilvl="6">
      <w:start w:val="1"/>
      <w:numFmt w:val="decimal"/>
      <w:lvlText w:val="%7."/>
      <w:lvlJc w:val="left"/>
      <w:pPr>
        <w:ind w:left="3410" w:hanging="420"/>
      </w:pPr>
      <w:rPr>
        <w:rFonts w:cs="Times New Roman"/>
      </w:rPr>
    </w:lvl>
    <w:lvl w:ilvl="7">
      <w:start w:val="1"/>
      <w:numFmt w:val="lowerLetter"/>
      <w:lvlText w:val="%8)"/>
      <w:lvlJc w:val="left"/>
      <w:pPr>
        <w:ind w:left="3830" w:hanging="420"/>
      </w:pPr>
      <w:rPr>
        <w:rFonts w:cs="Times New Roman"/>
      </w:rPr>
    </w:lvl>
    <w:lvl w:ilvl="8">
      <w:start w:val="1"/>
      <w:numFmt w:val="lowerRoman"/>
      <w:lvlText w:val="%9."/>
      <w:lvlJc w:val="right"/>
      <w:pPr>
        <w:ind w:left="4250" w:hanging="420"/>
      </w:pPr>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9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9B3"/>
    <w:rsid w:val="00002A27"/>
    <w:rsid w:val="000068B2"/>
    <w:rsid w:val="000076B4"/>
    <w:rsid w:val="0001480E"/>
    <w:rsid w:val="00016143"/>
    <w:rsid w:val="00020095"/>
    <w:rsid w:val="00020306"/>
    <w:rsid w:val="00020880"/>
    <w:rsid w:val="0002257A"/>
    <w:rsid w:val="0002518F"/>
    <w:rsid w:val="0002659F"/>
    <w:rsid w:val="00026A87"/>
    <w:rsid w:val="00030118"/>
    <w:rsid w:val="00030DE4"/>
    <w:rsid w:val="00031150"/>
    <w:rsid w:val="00032BE5"/>
    <w:rsid w:val="0003746B"/>
    <w:rsid w:val="00037588"/>
    <w:rsid w:val="00040794"/>
    <w:rsid w:val="00043687"/>
    <w:rsid w:val="00043CCF"/>
    <w:rsid w:val="000459F2"/>
    <w:rsid w:val="00045B6F"/>
    <w:rsid w:val="000461A2"/>
    <w:rsid w:val="00046972"/>
    <w:rsid w:val="000502A4"/>
    <w:rsid w:val="000515B2"/>
    <w:rsid w:val="00052541"/>
    <w:rsid w:val="0005426C"/>
    <w:rsid w:val="0005447B"/>
    <w:rsid w:val="00055B1F"/>
    <w:rsid w:val="00056B14"/>
    <w:rsid w:val="00061E3A"/>
    <w:rsid w:val="00062167"/>
    <w:rsid w:val="00063EA0"/>
    <w:rsid w:val="00064C5D"/>
    <w:rsid w:val="00065649"/>
    <w:rsid w:val="0007195B"/>
    <w:rsid w:val="0007527B"/>
    <w:rsid w:val="00075FB1"/>
    <w:rsid w:val="00080B7D"/>
    <w:rsid w:val="00083747"/>
    <w:rsid w:val="000909A1"/>
    <w:rsid w:val="00090BCD"/>
    <w:rsid w:val="00091495"/>
    <w:rsid w:val="00096203"/>
    <w:rsid w:val="000A0B74"/>
    <w:rsid w:val="000A4C51"/>
    <w:rsid w:val="000B30D0"/>
    <w:rsid w:val="000B387D"/>
    <w:rsid w:val="000B3AA4"/>
    <w:rsid w:val="000B543E"/>
    <w:rsid w:val="000B5EA5"/>
    <w:rsid w:val="000C01EC"/>
    <w:rsid w:val="000C64BE"/>
    <w:rsid w:val="000C7DA1"/>
    <w:rsid w:val="000D313D"/>
    <w:rsid w:val="000D79C5"/>
    <w:rsid w:val="000E3B23"/>
    <w:rsid w:val="000E64CF"/>
    <w:rsid w:val="000E76F6"/>
    <w:rsid w:val="000F3788"/>
    <w:rsid w:val="000F71BE"/>
    <w:rsid w:val="00100857"/>
    <w:rsid w:val="00101023"/>
    <w:rsid w:val="00104B67"/>
    <w:rsid w:val="001072BD"/>
    <w:rsid w:val="00115CA1"/>
    <w:rsid w:val="00120CC5"/>
    <w:rsid w:val="001218CD"/>
    <w:rsid w:val="00122447"/>
    <w:rsid w:val="00122B31"/>
    <w:rsid w:val="00123F59"/>
    <w:rsid w:val="00124EEC"/>
    <w:rsid w:val="00131805"/>
    <w:rsid w:val="00137FD9"/>
    <w:rsid w:val="0014223E"/>
    <w:rsid w:val="00143FD1"/>
    <w:rsid w:val="00145D56"/>
    <w:rsid w:val="00146986"/>
    <w:rsid w:val="001500B7"/>
    <w:rsid w:val="00153219"/>
    <w:rsid w:val="00153458"/>
    <w:rsid w:val="001563B7"/>
    <w:rsid w:val="001614ED"/>
    <w:rsid w:val="0017012E"/>
    <w:rsid w:val="00171082"/>
    <w:rsid w:val="00171CFD"/>
    <w:rsid w:val="00172A27"/>
    <w:rsid w:val="00172D70"/>
    <w:rsid w:val="001733C0"/>
    <w:rsid w:val="001743BA"/>
    <w:rsid w:val="0017618E"/>
    <w:rsid w:val="0018073F"/>
    <w:rsid w:val="00192226"/>
    <w:rsid w:val="001949BC"/>
    <w:rsid w:val="001960A4"/>
    <w:rsid w:val="001A1AFB"/>
    <w:rsid w:val="001A1D7C"/>
    <w:rsid w:val="001A288C"/>
    <w:rsid w:val="001A3316"/>
    <w:rsid w:val="001A340C"/>
    <w:rsid w:val="001A5A72"/>
    <w:rsid w:val="001B1D54"/>
    <w:rsid w:val="001B53FA"/>
    <w:rsid w:val="001B5E27"/>
    <w:rsid w:val="001C6EB4"/>
    <w:rsid w:val="001D104A"/>
    <w:rsid w:val="001D2365"/>
    <w:rsid w:val="001D4161"/>
    <w:rsid w:val="001D5760"/>
    <w:rsid w:val="001D5852"/>
    <w:rsid w:val="001E0ED7"/>
    <w:rsid w:val="001E65E3"/>
    <w:rsid w:val="001F3CFD"/>
    <w:rsid w:val="00202659"/>
    <w:rsid w:val="0020786E"/>
    <w:rsid w:val="00207F41"/>
    <w:rsid w:val="00210E12"/>
    <w:rsid w:val="00212864"/>
    <w:rsid w:val="00214E69"/>
    <w:rsid w:val="002161C3"/>
    <w:rsid w:val="0021686E"/>
    <w:rsid w:val="0022133D"/>
    <w:rsid w:val="002217CF"/>
    <w:rsid w:val="00231662"/>
    <w:rsid w:val="00231D0F"/>
    <w:rsid w:val="0023219A"/>
    <w:rsid w:val="00232D33"/>
    <w:rsid w:val="00232ED8"/>
    <w:rsid w:val="00232F07"/>
    <w:rsid w:val="00234070"/>
    <w:rsid w:val="002405B4"/>
    <w:rsid w:val="00242134"/>
    <w:rsid w:val="00242F5E"/>
    <w:rsid w:val="0024348A"/>
    <w:rsid w:val="00245FC0"/>
    <w:rsid w:val="00250035"/>
    <w:rsid w:val="002526A4"/>
    <w:rsid w:val="002529CC"/>
    <w:rsid w:val="0025465A"/>
    <w:rsid w:val="00254975"/>
    <w:rsid w:val="00260850"/>
    <w:rsid w:val="002624D8"/>
    <w:rsid w:val="002640BA"/>
    <w:rsid w:val="00271028"/>
    <w:rsid w:val="00272021"/>
    <w:rsid w:val="002800CC"/>
    <w:rsid w:val="00283BBC"/>
    <w:rsid w:val="002840A5"/>
    <w:rsid w:val="00296310"/>
    <w:rsid w:val="0029785C"/>
    <w:rsid w:val="002A66ED"/>
    <w:rsid w:val="002A7688"/>
    <w:rsid w:val="002B0A0C"/>
    <w:rsid w:val="002B14EE"/>
    <w:rsid w:val="002B22DA"/>
    <w:rsid w:val="002B307C"/>
    <w:rsid w:val="002B314C"/>
    <w:rsid w:val="002B3305"/>
    <w:rsid w:val="002B350F"/>
    <w:rsid w:val="002B7ABB"/>
    <w:rsid w:val="002C15D0"/>
    <w:rsid w:val="002C260B"/>
    <w:rsid w:val="002D3838"/>
    <w:rsid w:val="002D3D70"/>
    <w:rsid w:val="002E2830"/>
    <w:rsid w:val="002E2B06"/>
    <w:rsid w:val="002E5FC1"/>
    <w:rsid w:val="002F5CC5"/>
    <w:rsid w:val="00300619"/>
    <w:rsid w:val="00303121"/>
    <w:rsid w:val="00304BDB"/>
    <w:rsid w:val="00304CA6"/>
    <w:rsid w:val="003077B0"/>
    <w:rsid w:val="003107BA"/>
    <w:rsid w:val="00321890"/>
    <w:rsid w:val="003233C1"/>
    <w:rsid w:val="00327FEB"/>
    <w:rsid w:val="00330124"/>
    <w:rsid w:val="0034002F"/>
    <w:rsid w:val="003419D0"/>
    <w:rsid w:val="00351CF0"/>
    <w:rsid w:val="00352956"/>
    <w:rsid w:val="00352A65"/>
    <w:rsid w:val="003533E2"/>
    <w:rsid w:val="00355AD6"/>
    <w:rsid w:val="00362DC7"/>
    <w:rsid w:val="00364B10"/>
    <w:rsid w:val="00370C6C"/>
    <w:rsid w:val="0037111E"/>
    <w:rsid w:val="00371D76"/>
    <w:rsid w:val="0037337A"/>
    <w:rsid w:val="00382163"/>
    <w:rsid w:val="00385BF5"/>
    <w:rsid w:val="003863E8"/>
    <w:rsid w:val="00390006"/>
    <w:rsid w:val="0039270D"/>
    <w:rsid w:val="00395D9D"/>
    <w:rsid w:val="00396195"/>
    <w:rsid w:val="003961DF"/>
    <w:rsid w:val="00397989"/>
    <w:rsid w:val="003A00EE"/>
    <w:rsid w:val="003A0C75"/>
    <w:rsid w:val="003A1DFA"/>
    <w:rsid w:val="003A2840"/>
    <w:rsid w:val="003A4C0D"/>
    <w:rsid w:val="003B2CB8"/>
    <w:rsid w:val="003B2FF7"/>
    <w:rsid w:val="003B375B"/>
    <w:rsid w:val="003C0407"/>
    <w:rsid w:val="003C30C4"/>
    <w:rsid w:val="003C3798"/>
    <w:rsid w:val="003C3ADE"/>
    <w:rsid w:val="003D1C00"/>
    <w:rsid w:val="003D55B5"/>
    <w:rsid w:val="003D60A5"/>
    <w:rsid w:val="003D61A4"/>
    <w:rsid w:val="003E4599"/>
    <w:rsid w:val="003E4E9A"/>
    <w:rsid w:val="003E5230"/>
    <w:rsid w:val="003E6138"/>
    <w:rsid w:val="003E799C"/>
    <w:rsid w:val="003E7F09"/>
    <w:rsid w:val="003F0259"/>
    <w:rsid w:val="003F3963"/>
    <w:rsid w:val="003F3D74"/>
    <w:rsid w:val="00402EC1"/>
    <w:rsid w:val="00404D10"/>
    <w:rsid w:val="00412951"/>
    <w:rsid w:val="00416B8F"/>
    <w:rsid w:val="004232F2"/>
    <w:rsid w:val="00423FEB"/>
    <w:rsid w:val="00425EB5"/>
    <w:rsid w:val="00431190"/>
    <w:rsid w:val="00432E52"/>
    <w:rsid w:val="0043451D"/>
    <w:rsid w:val="00435080"/>
    <w:rsid w:val="004350AF"/>
    <w:rsid w:val="00441E53"/>
    <w:rsid w:val="004462B3"/>
    <w:rsid w:val="004473A4"/>
    <w:rsid w:val="004502A1"/>
    <w:rsid w:val="004526F6"/>
    <w:rsid w:val="00452B1F"/>
    <w:rsid w:val="00454328"/>
    <w:rsid w:val="00455088"/>
    <w:rsid w:val="00455F73"/>
    <w:rsid w:val="0045613A"/>
    <w:rsid w:val="004618BB"/>
    <w:rsid w:val="004641BA"/>
    <w:rsid w:val="00471950"/>
    <w:rsid w:val="00473672"/>
    <w:rsid w:val="00475C11"/>
    <w:rsid w:val="0048331D"/>
    <w:rsid w:val="00484676"/>
    <w:rsid w:val="004873BB"/>
    <w:rsid w:val="004904F4"/>
    <w:rsid w:val="00490D55"/>
    <w:rsid w:val="004945C3"/>
    <w:rsid w:val="00495FBE"/>
    <w:rsid w:val="00497DFB"/>
    <w:rsid w:val="004A1AAE"/>
    <w:rsid w:val="004A4F83"/>
    <w:rsid w:val="004A7DAC"/>
    <w:rsid w:val="004B1EF2"/>
    <w:rsid w:val="004C3B22"/>
    <w:rsid w:val="004C6F17"/>
    <w:rsid w:val="004D0C8A"/>
    <w:rsid w:val="004D122A"/>
    <w:rsid w:val="004D3ED0"/>
    <w:rsid w:val="004E219B"/>
    <w:rsid w:val="004E3868"/>
    <w:rsid w:val="004E4CB5"/>
    <w:rsid w:val="004E56DD"/>
    <w:rsid w:val="004E583A"/>
    <w:rsid w:val="004E6B5B"/>
    <w:rsid w:val="004F0BE2"/>
    <w:rsid w:val="004F2BB0"/>
    <w:rsid w:val="004F38D5"/>
    <w:rsid w:val="004F6AA1"/>
    <w:rsid w:val="004F7E59"/>
    <w:rsid w:val="00502104"/>
    <w:rsid w:val="00510F05"/>
    <w:rsid w:val="00512974"/>
    <w:rsid w:val="005147B6"/>
    <w:rsid w:val="005166AB"/>
    <w:rsid w:val="00516DF7"/>
    <w:rsid w:val="00525368"/>
    <w:rsid w:val="0052782B"/>
    <w:rsid w:val="0053078A"/>
    <w:rsid w:val="00531D6F"/>
    <w:rsid w:val="005333F4"/>
    <w:rsid w:val="00542B7E"/>
    <w:rsid w:val="00545567"/>
    <w:rsid w:val="00547D20"/>
    <w:rsid w:val="00550769"/>
    <w:rsid w:val="005514AB"/>
    <w:rsid w:val="00555FDA"/>
    <w:rsid w:val="00561941"/>
    <w:rsid w:val="00563AEC"/>
    <w:rsid w:val="00564620"/>
    <w:rsid w:val="0056520C"/>
    <w:rsid w:val="005667F6"/>
    <w:rsid w:val="005700C0"/>
    <w:rsid w:val="00572485"/>
    <w:rsid w:val="0057516B"/>
    <w:rsid w:val="00576E17"/>
    <w:rsid w:val="005774D5"/>
    <w:rsid w:val="00581B1D"/>
    <w:rsid w:val="00581B30"/>
    <w:rsid w:val="005827EB"/>
    <w:rsid w:val="0058438E"/>
    <w:rsid w:val="00587B00"/>
    <w:rsid w:val="00590222"/>
    <w:rsid w:val="00591E32"/>
    <w:rsid w:val="00592F06"/>
    <w:rsid w:val="00593218"/>
    <w:rsid w:val="005A3A7A"/>
    <w:rsid w:val="005A4C9A"/>
    <w:rsid w:val="005B01D1"/>
    <w:rsid w:val="005B0D95"/>
    <w:rsid w:val="005C0A3C"/>
    <w:rsid w:val="005C6C3F"/>
    <w:rsid w:val="005C6EFF"/>
    <w:rsid w:val="005C7FB9"/>
    <w:rsid w:val="005D1557"/>
    <w:rsid w:val="005D1651"/>
    <w:rsid w:val="005D19C4"/>
    <w:rsid w:val="005F32AB"/>
    <w:rsid w:val="005F464C"/>
    <w:rsid w:val="005F6599"/>
    <w:rsid w:val="006004D8"/>
    <w:rsid w:val="00600822"/>
    <w:rsid w:val="00602014"/>
    <w:rsid w:val="0060624C"/>
    <w:rsid w:val="00606BEF"/>
    <w:rsid w:val="00613B43"/>
    <w:rsid w:val="00616605"/>
    <w:rsid w:val="00622526"/>
    <w:rsid w:val="00627BF1"/>
    <w:rsid w:val="00631247"/>
    <w:rsid w:val="006364B1"/>
    <w:rsid w:val="00640921"/>
    <w:rsid w:val="006447EC"/>
    <w:rsid w:val="006466C7"/>
    <w:rsid w:val="00653AD6"/>
    <w:rsid w:val="00655E7C"/>
    <w:rsid w:val="0066112B"/>
    <w:rsid w:val="006711F9"/>
    <w:rsid w:val="00674DB3"/>
    <w:rsid w:val="00676CE8"/>
    <w:rsid w:val="0068589E"/>
    <w:rsid w:val="00686BBC"/>
    <w:rsid w:val="0068776D"/>
    <w:rsid w:val="006974C0"/>
    <w:rsid w:val="00697D36"/>
    <w:rsid w:val="006A3CBD"/>
    <w:rsid w:val="006A5DA8"/>
    <w:rsid w:val="006A735F"/>
    <w:rsid w:val="006B0450"/>
    <w:rsid w:val="006B0EBB"/>
    <w:rsid w:val="006B294B"/>
    <w:rsid w:val="006B3F7A"/>
    <w:rsid w:val="006B4040"/>
    <w:rsid w:val="006C12A8"/>
    <w:rsid w:val="006C798F"/>
    <w:rsid w:val="006D06C3"/>
    <w:rsid w:val="006D2353"/>
    <w:rsid w:val="006D5DF7"/>
    <w:rsid w:val="006D7E5F"/>
    <w:rsid w:val="006D7EEA"/>
    <w:rsid w:val="006E0644"/>
    <w:rsid w:val="006E1D35"/>
    <w:rsid w:val="006E4F22"/>
    <w:rsid w:val="006F151C"/>
    <w:rsid w:val="006F3EA3"/>
    <w:rsid w:val="006F67BB"/>
    <w:rsid w:val="0070512C"/>
    <w:rsid w:val="00706463"/>
    <w:rsid w:val="00706665"/>
    <w:rsid w:val="00706D39"/>
    <w:rsid w:val="00711AF8"/>
    <w:rsid w:val="00711FB6"/>
    <w:rsid w:val="00715B08"/>
    <w:rsid w:val="0071629A"/>
    <w:rsid w:val="00717B2D"/>
    <w:rsid w:val="0072291E"/>
    <w:rsid w:val="00727611"/>
    <w:rsid w:val="0073035C"/>
    <w:rsid w:val="0073332C"/>
    <w:rsid w:val="007345E2"/>
    <w:rsid w:val="007346F0"/>
    <w:rsid w:val="007372E6"/>
    <w:rsid w:val="00737457"/>
    <w:rsid w:val="00740AE0"/>
    <w:rsid w:val="0074339D"/>
    <w:rsid w:val="00744DC0"/>
    <w:rsid w:val="00745261"/>
    <w:rsid w:val="007514EA"/>
    <w:rsid w:val="007531E0"/>
    <w:rsid w:val="007578AC"/>
    <w:rsid w:val="00761C80"/>
    <w:rsid w:val="00762FE8"/>
    <w:rsid w:val="0076797B"/>
    <w:rsid w:val="007777FE"/>
    <w:rsid w:val="0078064B"/>
    <w:rsid w:val="00780D70"/>
    <w:rsid w:val="00786784"/>
    <w:rsid w:val="00786867"/>
    <w:rsid w:val="00790B87"/>
    <w:rsid w:val="00792229"/>
    <w:rsid w:val="007946CA"/>
    <w:rsid w:val="00796F07"/>
    <w:rsid w:val="007A0B08"/>
    <w:rsid w:val="007A5C36"/>
    <w:rsid w:val="007A61C5"/>
    <w:rsid w:val="007A770B"/>
    <w:rsid w:val="007A7E16"/>
    <w:rsid w:val="007B0CE0"/>
    <w:rsid w:val="007B31A2"/>
    <w:rsid w:val="007B4011"/>
    <w:rsid w:val="007B5415"/>
    <w:rsid w:val="007C1D14"/>
    <w:rsid w:val="007C2441"/>
    <w:rsid w:val="007C25D5"/>
    <w:rsid w:val="007C5AF3"/>
    <w:rsid w:val="007D5BE4"/>
    <w:rsid w:val="007D635B"/>
    <w:rsid w:val="007D6F79"/>
    <w:rsid w:val="007E04D9"/>
    <w:rsid w:val="007E0E9E"/>
    <w:rsid w:val="007E4D0D"/>
    <w:rsid w:val="007E5BE5"/>
    <w:rsid w:val="007F172B"/>
    <w:rsid w:val="007F40AE"/>
    <w:rsid w:val="007F45A2"/>
    <w:rsid w:val="007F4DDB"/>
    <w:rsid w:val="00805344"/>
    <w:rsid w:val="00811E26"/>
    <w:rsid w:val="008120EF"/>
    <w:rsid w:val="00815696"/>
    <w:rsid w:val="008209D7"/>
    <w:rsid w:val="00833F6F"/>
    <w:rsid w:val="00834E2C"/>
    <w:rsid w:val="0083555F"/>
    <w:rsid w:val="00842BFC"/>
    <w:rsid w:val="00842D1E"/>
    <w:rsid w:val="00845E2E"/>
    <w:rsid w:val="00846600"/>
    <w:rsid w:val="00847661"/>
    <w:rsid w:val="00851046"/>
    <w:rsid w:val="00852D9C"/>
    <w:rsid w:val="00853550"/>
    <w:rsid w:val="00857237"/>
    <w:rsid w:val="00857CB5"/>
    <w:rsid w:val="00860CAB"/>
    <w:rsid w:val="00865E44"/>
    <w:rsid w:val="008707BB"/>
    <w:rsid w:val="00870F08"/>
    <w:rsid w:val="00873197"/>
    <w:rsid w:val="0087438C"/>
    <w:rsid w:val="0087489B"/>
    <w:rsid w:val="008808BC"/>
    <w:rsid w:val="00886233"/>
    <w:rsid w:val="00890081"/>
    <w:rsid w:val="00890141"/>
    <w:rsid w:val="008948F0"/>
    <w:rsid w:val="008A2E64"/>
    <w:rsid w:val="008A5668"/>
    <w:rsid w:val="008A6F5F"/>
    <w:rsid w:val="008B01E4"/>
    <w:rsid w:val="008B273C"/>
    <w:rsid w:val="008B2AA7"/>
    <w:rsid w:val="008B7D8E"/>
    <w:rsid w:val="008C1B56"/>
    <w:rsid w:val="008C2135"/>
    <w:rsid w:val="008C4391"/>
    <w:rsid w:val="008C4E7F"/>
    <w:rsid w:val="008D0108"/>
    <w:rsid w:val="008D0744"/>
    <w:rsid w:val="008D0E30"/>
    <w:rsid w:val="008D10F5"/>
    <w:rsid w:val="008D172B"/>
    <w:rsid w:val="008D3591"/>
    <w:rsid w:val="008D57A9"/>
    <w:rsid w:val="008D695D"/>
    <w:rsid w:val="008E4EB3"/>
    <w:rsid w:val="008E7628"/>
    <w:rsid w:val="008F172A"/>
    <w:rsid w:val="008F60C7"/>
    <w:rsid w:val="008F6E76"/>
    <w:rsid w:val="008F77C2"/>
    <w:rsid w:val="00900DED"/>
    <w:rsid w:val="00902DA5"/>
    <w:rsid w:val="00903B0D"/>
    <w:rsid w:val="00904F00"/>
    <w:rsid w:val="00905453"/>
    <w:rsid w:val="0090674B"/>
    <w:rsid w:val="0091017E"/>
    <w:rsid w:val="00911B81"/>
    <w:rsid w:val="00914B8A"/>
    <w:rsid w:val="00921A73"/>
    <w:rsid w:val="00922369"/>
    <w:rsid w:val="00922BEA"/>
    <w:rsid w:val="00923B8F"/>
    <w:rsid w:val="00927A65"/>
    <w:rsid w:val="00927C8E"/>
    <w:rsid w:val="00932D50"/>
    <w:rsid w:val="0093387E"/>
    <w:rsid w:val="00937D9B"/>
    <w:rsid w:val="00942691"/>
    <w:rsid w:val="0094753C"/>
    <w:rsid w:val="00952253"/>
    <w:rsid w:val="00967F2C"/>
    <w:rsid w:val="009703E9"/>
    <w:rsid w:val="00974DFE"/>
    <w:rsid w:val="009753C0"/>
    <w:rsid w:val="00975581"/>
    <w:rsid w:val="0098094C"/>
    <w:rsid w:val="00982D70"/>
    <w:rsid w:val="009847A8"/>
    <w:rsid w:val="009874AE"/>
    <w:rsid w:val="00987BAE"/>
    <w:rsid w:val="00991D2B"/>
    <w:rsid w:val="00993E18"/>
    <w:rsid w:val="00994297"/>
    <w:rsid w:val="00997D90"/>
    <w:rsid w:val="009A5D4C"/>
    <w:rsid w:val="009B1D2B"/>
    <w:rsid w:val="009B3C4D"/>
    <w:rsid w:val="009B65A8"/>
    <w:rsid w:val="009B6EE9"/>
    <w:rsid w:val="009C24DE"/>
    <w:rsid w:val="009C3F53"/>
    <w:rsid w:val="009C472A"/>
    <w:rsid w:val="009C49C3"/>
    <w:rsid w:val="009C619C"/>
    <w:rsid w:val="009D0221"/>
    <w:rsid w:val="009D1E3A"/>
    <w:rsid w:val="009D2A10"/>
    <w:rsid w:val="009D410C"/>
    <w:rsid w:val="009D579B"/>
    <w:rsid w:val="009F0C3E"/>
    <w:rsid w:val="009F2831"/>
    <w:rsid w:val="009F3A43"/>
    <w:rsid w:val="009F3ECE"/>
    <w:rsid w:val="009F407F"/>
    <w:rsid w:val="009F4233"/>
    <w:rsid w:val="009F6FF8"/>
    <w:rsid w:val="00A003C2"/>
    <w:rsid w:val="00A06212"/>
    <w:rsid w:val="00A120BE"/>
    <w:rsid w:val="00A149FA"/>
    <w:rsid w:val="00A15EA3"/>
    <w:rsid w:val="00A161D8"/>
    <w:rsid w:val="00A16BF9"/>
    <w:rsid w:val="00A176FB"/>
    <w:rsid w:val="00A17FDE"/>
    <w:rsid w:val="00A21ABE"/>
    <w:rsid w:val="00A37CB2"/>
    <w:rsid w:val="00A453F2"/>
    <w:rsid w:val="00A4623B"/>
    <w:rsid w:val="00A466E9"/>
    <w:rsid w:val="00A5213F"/>
    <w:rsid w:val="00A547DC"/>
    <w:rsid w:val="00A608B8"/>
    <w:rsid w:val="00A60DE7"/>
    <w:rsid w:val="00A62B93"/>
    <w:rsid w:val="00A643BA"/>
    <w:rsid w:val="00A6571D"/>
    <w:rsid w:val="00A667D8"/>
    <w:rsid w:val="00A70BB3"/>
    <w:rsid w:val="00A73659"/>
    <w:rsid w:val="00A75920"/>
    <w:rsid w:val="00A7666D"/>
    <w:rsid w:val="00A77802"/>
    <w:rsid w:val="00A807C0"/>
    <w:rsid w:val="00A8120A"/>
    <w:rsid w:val="00A82C14"/>
    <w:rsid w:val="00A85FFC"/>
    <w:rsid w:val="00A92DA0"/>
    <w:rsid w:val="00A932A9"/>
    <w:rsid w:val="00A94C90"/>
    <w:rsid w:val="00A96799"/>
    <w:rsid w:val="00AA1B49"/>
    <w:rsid w:val="00AB1199"/>
    <w:rsid w:val="00AB3FAC"/>
    <w:rsid w:val="00AC0DA0"/>
    <w:rsid w:val="00AC6C30"/>
    <w:rsid w:val="00AD36E3"/>
    <w:rsid w:val="00AD3E47"/>
    <w:rsid w:val="00AD51EC"/>
    <w:rsid w:val="00AD7158"/>
    <w:rsid w:val="00AE1B7D"/>
    <w:rsid w:val="00AE37A1"/>
    <w:rsid w:val="00AE39F8"/>
    <w:rsid w:val="00AE4580"/>
    <w:rsid w:val="00AE5A32"/>
    <w:rsid w:val="00AE7D61"/>
    <w:rsid w:val="00AF263E"/>
    <w:rsid w:val="00AF4366"/>
    <w:rsid w:val="00B00632"/>
    <w:rsid w:val="00B11FE0"/>
    <w:rsid w:val="00B141F7"/>
    <w:rsid w:val="00B21AFA"/>
    <w:rsid w:val="00B21EA6"/>
    <w:rsid w:val="00B2415B"/>
    <w:rsid w:val="00B30C99"/>
    <w:rsid w:val="00B319CB"/>
    <w:rsid w:val="00B32681"/>
    <w:rsid w:val="00B329B0"/>
    <w:rsid w:val="00B36BA9"/>
    <w:rsid w:val="00B4129A"/>
    <w:rsid w:val="00B41C25"/>
    <w:rsid w:val="00B43181"/>
    <w:rsid w:val="00B44032"/>
    <w:rsid w:val="00B52B9A"/>
    <w:rsid w:val="00B56E33"/>
    <w:rsid w:val="00B57E5C"/>
    <w:rsid w:val="00B601CB"/>
    <w:rsid w:val="00B603B3"/>
    <w:rsid w:val="00B62F39"/>
    <w:rsid w:val="00B631DE"/>
    <w:rsid w:val="00B63C6D"/>
    <w:rsid w:val="00B66957"/>
    <w:rsid w:val="00B66F37"/>
    <w:rsid w:val="00B72E93"/>
    <w:rsid w:val="00B76FA2"/>
    <w:rsid w:val="00B77C59"/>
    <w:rsid w:val="00B82CF9"/>
    <w:rsid w:val="00B82F64"/>
    <w:rsid w:val="00B85B06"/>
    <w:rsid w:val="00B870BF"/>
    <w:rsid w:val="00B92731"/>
    <w:rsid w:val="00B92905"/>
    <w:rsid w:val="00B93D0F"/>
    <w:rsid w:val="00B94F14"/>
    <w:rsid w:val="00B95FE5"/>
    <w:rsid w:val="00B972BF"/>
    <w:rsid w:val="00BA1BFC"/>
    <w:rsid w:val="00BA1F21"/>
    <w:rsid w:val="00BA2F1B"/>
    <w:rsid w:val="00BB32E3"/>
    <w:rsid w:val="00BB3449"/>
    <w:rsid w:val="00BB3F6F"/>
    <w:rsid w:val="00BC0C23"/>
    <w:rsid w:val="00BC41D2"/>
    <w:rsid w:val="00BC4305"/>
    <w:rsid w:val="00BC5EB6"/>
    <w:rsid w:val="00BD0DF1"/>
    <w:rsid w:val="00BD2D68"/>
    <w:rsid w:val="00BE0781"/>
    <w:rsid w:val="00BE1131"/>
    <w:rsid w:val="00BE33C0"/>
    <w:rsid w:val="00BE51C9"/>
    <w:rsid w:val="00BE606B"/>
    <w:rsid w:val="00BE6C6A"/>
    <w:rsid w:val="00BF01FB"/>
    <w:rsid w:val="00BF0453"/>
    <w:rsid w:val="00BF4369"/>
    <w:rsid w:val="00C048AA"/>
    <w:rsid w:val="00C0521B"/>
    <w:rsid w:val="00C05651"/>
    <w:rsid w:val="00C05A15"/>
    <w:rsid w:val="00C1128A"/>
    <w:rsid w:val="00C129E0"/>
    <w:rsid w:val="00C13C8E"/>
    <w:rsid w:val="00C15AFE"/>
    <w:rsid w:val="00C16316"/>
    <w:rsid w:val="00C166DF"/>
    <w:rsid w:val="00C20FD3"/>
    <w:rsid w:val="00C22CB0"/>
    <w:rsid w:val="00C23322"/>
    <w:rsid w:val="00C34113"/>
    <w:rsid w:val="00C37CED"/>
    <w:rsid w:val="00C4102D"/>
    <w:rsid w:val="00C4364D"/>
    <w:rsid w:val="00C448CA"/>
    <w:rsid w:val="00C45963"/>
    <w:rsid w:val="00C46EDB"/>
    <w:rsid w:val="00C504F1"/>
    <w:rsid w:val="00C52926"/>
    <w:rsid w:val="00C538DE"/>
    <w:rsid w:val="00C540D3"/>
    <w:rsid w:val="00C5497A"/>
    <w:rsid w:val="00C55E9E"/>
    <w:rsid w:val="00C57149"/>
    <w:rsid w:val="00C5755A"/>
    <w:rsid w:val="00C61B97"/>
    <w:rsid w:val="00C64EAE"/>
    <w:rsid w:val="00C65B4C"/>
    <w:rsid w:val="00C714C3"/>
    <w:rsid w:val="00C71628"/>
    <w:rsid w:val="00C72519"/>
    <w:rsid w:val="00C75FB3"/>
    <w:rsid w:val="00C77830"/>
    <w:rsid w:val="00C823FA"/>
    <w:rsid w:val="00C86858"/>
    <w:rsid w:val="00C90A93"/>
    <w:rsid w:val="00C91441"/>
    <w:rsid w:val="00C95736"/>
    <w:rsid w:val="00CA4174"/>
    <w:rsid w:val="00CA54F1"/>
    <w:rsid w:val="00CA5D85"/>
    <w:rsid w:val="00CB3350"/>
    <w:rsid w:val="00CB5EE9"/>
    <w:rsid w:val="00CC33F7"/>
    <w:rsid w:val="00CC382F"/>
    <w:rsid w:val="00CC70F3"/>
    <w:rsid w:val="00CD4FEC"/>
    <w:rsid w:val="00CD7489"/>
    <w:rsid w:val="00CE1509"/>
    <w:rsid w:val="00CE31D9"/>
    <w:rsid w:val="00CE4660"/>
    <w:rsid w:val="00CE4B98"/>
    <w:rsid w:val="00CE696C"/>
    <w:rsid w:val="00CF070B"/>
    <w:rsid w:val="00CF1CB5"/>
    <w:rsid w:val="00CF49C8"/>
    <w:rsid w:val="00CF660C"/>
    <w:rsid w:val="00CF6BC1"/>
    <w:rsid w:val="00D0110B"/>
    <w:rsid w:val="00D10FD9"/>
    <w:rsid w:val="00D11B2F"/>
    <w:rsid w:val="00D122F1"/>
    <w:rsid w:val="00D1261B"/>
    <w:rsid w:val="00D22C4B"/>
    <w:rsid w:val="00D22EF3"/>
    <w:rsid w:val="00D23F61"/>
    <w:rsid w:val="00D27DE3"/>
    <w:rsid w:val="00D32CE4"/>
    <w:rsid w:val="00D33329"/>
    <w:rsid w:val="00D36DED"/>
    <w:rsid w:val="00D40719"/>
    <w:rsid w:val="00D4149A"/>
    <w:rsid w:val="00D43ED6"/>
    <w:rsid w:val="00D45030"/>
    <w:rsid w:val="00D46AAF"/>
    <w:rsid w:val="00D47A89"/>
    <w:rsid w:val="00D53C88"/>
    <w:rsid w:val="00D60BD6"/>
    <w:rsid w:val="00D61F07"/>
    <w:rsid w:val="00D636BA"/>
    <w:rsid w:val="00D63C71"/>
    <w:rsid w:val="00D65762"/>
    <w:rsid w:val="00D71A72"/>
    <w:rsid w:val="00D77C0D"/>
    <w:rsid w:val="00D81639"/>
    <w:rsid w:val="00D841BC"/>
    <w:rsid w:val="00D84C9C"/>
    <w:rsid w:val="00D90F3E"/>
    <w:rsid w:val="00D92207"/>
    <w:rsid w:val="00D95E69"/>
    <w:rsid w:val="00D962B5"/>
    <w:rsid w:val="00D97D37"/>
    <w:rsid w:val="00DA441D"/>
    <w:rsid w:val="00DA5D8D"/>
    <w:rsid w:val="00DA661D"/>
    <w:rsid w:val="00DA67CD"/>
    <w:rsid w:val="00DA68F9"/>
    <w:rsid w:val="00DB46F5"/>
    <w:rsid w:val="00DC3C86"/>
    <w:rsid w:val="00DC5279"/>
    <w:rsid w:val="00DC546C"/>
    <w:rsid w:val="00DC663C"/>
    <w:rsid w:val="00DD01B0"/>
    <w:rsid w:val="00DD086A"/>
    <w:rsid w:val="00DD2C5D"/>
    <w:rsid w:val="00DD2CE3"/>
    <w:rsid w:val="00DD5601"/>
    <w:rsid w:val="00DD6BD8"/>
    <w:rsid w:val="00DD6BE6"/>
    <w:rsid w:val="00DE37C4"/>
    <w:rsid w:val="00DE41F1"/>
    <w:rsid w:val="00DE502F"/>
    <w:rsid w:val="00DE588F"/>
    <w:rsid w:val="00DF4017"/>
    <w:rsid w:val="00DF49F4"/>
    <w:rsid w:val="00DF4EBD"/>
    <w:rsid w:val="00E102A8"/>
    <w:rsid w:val="00E11D76"/>
    <w:rsid w:val="00E1237A"/>
    <w:rsid w:val="00E12A16"/>
    <w:rsid w:val="00E12A99"/>
    <w:rsid w:val="00E12EA3"/>
    <w:rsid w:val="00E13248"/>
    <w:rsid w:val="00E17A7D"/>
    <w:rsid w:val="00E248CC"/>
    <w:rsid w:val="00E25D78"/>
    <w:rsid w:val="00E26B1B"/>
    <w:rsid w:val="00E27B96"/>
    <w:rsid w:val="00E3067E"/>
    <w:rsid w:val="00E32776"/>
    <w:rsid w:val="00E365DB"/>
    <w:rsid w:val="00E37782"/>
    <w:rsid w:val="00E37797"/>
    <w:rsid w:val="00E41255"/>
    <w:rsid w:val="00E455B8"/>
    <w:rsid w:val="00E505E3"/>
    <w:rsid w:val="00E52E68"/>
    <w:rsid w:val="00E55562"/>
    <w:rsid w:val="00E62687"/>
    <w:rsid w:val="00E67CC1"/>
    <w:rsid w:val="00E7434B"/>
    <w:rsid w:val="00E74745"/>
    <w:rsid w:val="00E76431"/>
    <w:rsid w:val="00E764D7"/>
    <w:rsid w:val="00E77871"/>
    <w:rsid w:val="00E816F3"/>
    <w:rsid w:val="00E864E5"/>
    <w:rsid w:val="00E928FA"/>
    <w:rsid w:val="00E9758F"/>
    <w:rsid w:val="00EA3450"/>
    <w:rsid w:val="00EA37B3"/>
    <w:rsid w:val="00EA3DBA"/>
    <w:rsid w:val="00EA5555"/>
    <w:rsid w:val="00EA63ED"/>
    <w:rsid w:val="00EB1C1D"/>
    <w:rsid w:val="00EB254F"/>
    <w:rsid w:val="00EB4230"/>
    <w:rsid w:val="00EC180E"/>
    <w:rsid w:val="00EC2758"/>
    <w:rsid w:val="00EC2DB3"/>
    <w:rsid w:val="00EC7473"/>
    <w:rsid w:val="00ED23E6"/>
    <w:rsid w:val="00ED3B5F"/>
    <w:rsid w:val="00ED6708"/>
    <w:rsid w:val="00EE19C3"/>
    <w:rsid w:val="00EE252E"/>
    <w:rsid w:val="00EE283F"/>
    <w:rsid w:val="00EE306C"/>
    <w:rsid w:val="00EE3B7C"/>
    <w:rsid w:val="00EE4D53"/>
    <w:rsid w:val="00EF003B"/>
    <w:rsid w:val="00EF446C"/>
    <w:rsid w:val="00F02536"/>
    <w:rsid w:val="00F12C51"/>
    <w:rsid w:val="00F13E69"/>
    <w:rsid w:val="00F148BB"/>
    <w:rsid w:val="00F17E27"/>
    <w:rsid w:val="00F22980"/>
    <w:rsid w:val="00F2313D"/>
    <w:rsid w:val="00F24C9C"/>
    <w:rsid w:val="00F24E8D"/>
    <w:rsid w:val="00F264CB"/>
    <w:rsid w:val="00F26F00"/>
    <w:rsid w:val="00F27C15"/>
    <w:rsid w:val="00F3018C"/>
    <w:rsid w:val="00F3107E"/>
    <w:rsid w:val="00F3305F"/>
    <w:rsid w:val="00F33EC2"/>
    <w:rsid w:val="00F3665E"/>
    <w:rsid w:val="00F41C0E"/>
    <w:rsid w:val="00F51070"/>
    <w:rsid w:val="00F527AC"/>
    <w:rsid w:val="00F52FB5"/>
    <w:rsid w:val="00F60932"/>
    <w:rsid w:val="00F60F8F"/>
    <w:rsid w:val="00F6176B"/>
    <w:rsid w:val="00F617DB"/>
    <w:rsid w:val="00F6278D"/>
    <w:rsid w:val="00F627ED"/>
    <w:rsid w:val="00F662F4"/>
    <w:rsid w:val="00F6772D"/>
    <w:rsid w:val="00F72338"/>
    <w:rsid w:val="00F73062"/>
    <w:rsid w:val="00F762E3"/>
    <w:rsid w:val="00F80430"/>
    <w:rsid w:val="00F85D21"/>
    <w:rsid w:val="00F91E73"/>
    <w:rsid w:val="00F93DB9"/>
    <w:rsid w:val="00F95982"/>
    <w:rsid w:val="00FA191E"/>
    <w:rsid w:val="00FA1A17"/>
    <w:rsid w:val="00FA27E5"/>
    <w:rsid w:val="00FA2B66"/>
    <w:rsid w:val="00FA4F7B"/>
    <w:rsid w:val="00FA6C37"/>
    <w:rsid w:val="00FC13B7"/>
    <w:rsid w:val="00FC2CD0"/>
    <w:rsid w:val="00FC41BE"/>
    <w:rsid w:val="00FC4AEA"/>
    <w:rsid w:val="00FC5526"/>
    <w:rsid w:val="00FC71ED"/>
    <w:rsid w:val="00FD0A01"/>
    <w:rsid w:val="00FE0D9D"/>
    <w:rsid w:val="00FE3F4A"/>
    <w:rsid w:val="00FF2070"/>
    <w:rsid w:val="00FF2C67"/>
    <w:rsid w:val="00FF7F82"/>
    <w:rsid w:val="011838A3"/>
    <w:rsid w:val="019A409C"/>
    <w:rsid w:val="019C13E5"/>
    <w:rsid w:val="022A0266"/>
    <w:rsid w:val="028B38EE"/>
    <w:rsid w:val="0378440B"/>
    <w:rsid w:val="03810694"/>
    <w:rsid w:val="04294B34"/>
    <w:rsid w:val="04E92328"/>
    <w:rsid w:val="059A4820"/>
    <w:rsid w:val="05D7175B"/>
    <w:rsid w:val="065147DA"/>
    <w:rsid w:val="07DF5BEA"/>
    <w:rsid w:val="08612DD3"/>
    <w:rsid w:val="09423531"/>
    <w:rsid w:val="09E46D04"/>
    <w:rsid w:val="0A4B2C33"/>
    <w:rsid w:val="0A794291"/>
    <w:rsid w:val="0B9E107E"/>
    <w:rsid w:val="0BBC2279"/>
    <w:rsid w:val="0BF06D4E"/>
    <w:rsid w:val="0D3B068C"/>
    <w:rsid w:val="0DBF540C"/>
    <w:rsid w:val="0DC448FA"/>
    <w:rsid w:val="0ED47769"/>
    <w:rsid w:val="0F6720FA"/>
    <w:rsid w:val="10570E10"/>
    <w:rsid w:val="10E137EF"/>
    <w:rsid w:val="114B15E1"/>
    <w:rsid w:val="11C2596D"/>
    <w:rsid w:val="121F501F"/>
    <w:rsid w:val="12A335C9"/>
    <w:rsid w:val="13230F2B"/>
    <w:rsid w:val="133261B7"/>
    <w:rsid w:val="13F97AAE"/>
    <w:rsid w:val="1431388E"/>
    <w:rsid w:val="15B1103B"/>
    <w:rsid w:val="16BB4D2B"/>
    <w:rsid w:val="172044C2"/>
    <w:rsid w:val="17E10156"/>
    <w:rsid w:val="18797A3D"/>
    <w:rsid w:val="197E1F6A"/>
    <w:rsid w:val="19C935DA"/>
    <w:rsid w:val="1A2D4CEC"/>
    <w:rsid w:val="1AC14892"/>
    <w:rsid w:val="1AC40D67"/>
    <w:rsid w:val="1AF41A92"/>
    <w:rsid w:val="1B27521C"/>
    <w:rsid w:val="1B6533B9"/>
    <w:rsid w:val="1B9644B4"/>
    <w:rsid w:val="1C0C0D4B"/>
    <w:rsid w:val="1C4E29FE"/>
    <w:rsid w:val="1D0D26F0"/>
    <w:rsid w:val="1D580D09"/>
    <w:rsid w:val="1D5E178B"/>
    <w:rsid w:val="1DB433C9"/>
    <w:rsid w:val="1E02062B"/>
    <w:rsid w:val="1EC52991"/>
    <w:rsid w:val="1F574B3C"/>
    <w:rsid w:val="1F5D21F7"/>
    <w:rsid w:val="204848B7"/>
    <w:rsid w:val="20496213"/>
    <w:rsid w:val="20BD7D70"/>
    <w:rsid w:val="21E96262"/>
    <w:rsid w:val="22CC1C68"/>
    <w:rsid w:val="255C3CE5"/>
    <w:rsid w:val="25682FFD"/>
    <w:rsid w:val="25E2043F"/>
    <w:rsid w:val="25EE4081"/>
    <w:rsid w:val="270D4403"/>
    <w:rsid w:val="2775282D"/>
    <w:rsid w:val="27960256"/>
    <w:rsid w:val="288251CF"/>
    <w:rsid w:val="289263D3"/>
    <w:rsid w:val="28EF3F16"/>
    <w:rsid w:val="291A7D79"/>
    <w:rsid w:val="29552CED"/>
    <w:rsid w:val="2B544412"/>
    <w:rsid w:val="2BA6663C"/>
    <w:rsid w:val="2BCF7659"/>
    <w:rsid w:val="2C237B7C"/>
    <w:rsid w:val="2C464170"/>
    <w:rsid w:val="2C5D1C70"/>
    <w:rsid w:val="2D180A86"/>
    <w:rsid w:val="2D40251A"/>
    <w:rsid w:val="2D61213C"/>
    <w:rsid w:val="2D9F696A"/>
    <w:rsid w:val="2DBD0DC8"/>
    <w:rsid w:val="2E23137C"/>
    <w:rsid w:val="2E6318E8"/>
    <w:rsid w:val="2ED9631E"/>
    <w:rsid w:val="2F0B3019"/>
    <w:rsid w:val="2FCB7F0F"/>
    <w:rsid w:val="306637EC"/>
    <w:rsid w:val="308F75A8"/>
    <w:rsid w:val="30F029EA"/>
    <w:rsid w:val="31481F40"/>
    <w:rsid w:val="315E20A2"/>
    <w:rsid w:val="3254204D"/>
    <w:rsid w:val="32E44A78"/>
    <w:rsid w:val="34AD402C"/>
    <w:rsid w:val="36700DA1"/>
    <w:rsid w:val="387016D5"/>
    <w:rsid w:val="387B7D19"/>
    <w:rsid w:val="38D7033F"/>
    <w:rsid w:val="39295020"/>
    <w:rsid w:val="392F58DF"/>
    <w:rsid w:val="393D757D"/>
    <w:rsid w:val="3A613FA9"/>
    <w:rsid w:val="3ABF3758"/>
    <w:rsid w:val="3B543893"/>
    <w:rsid w:val="3D4A3FBA"/>
    <w:rsid w:val="3DB53425"/>
    <w:rsid w:val="3E68514B"/>
    <w:rsid w:val="3E975AB1"/>
    <w:rsid w:val="3EB764D2"/>
    <w:rsid w:val="3F237E3F"/>
    <w:rsid w:val="3F3859A4"/>
    <w:rsid w:val="3F424E2A"/>
    <w:rsid w:val="40021C1E"/>
    <w:rsid w:val="400E2EB7"/>
    <w:rsid w:val="40E644C1"/>
    <w:rsid w:val="410F05EB"/>
    <w:rsid w:val="41722CF4"/>
    <w:rsid w:val="42323925"/>
    <w:rsid w:val="427A61D9"/>
    <w:rsid w:val="4377014E"/>
    <w:rsid w:val="4380616A"/>
    <w:rsid w:val="43D436AA"/>
    <w:rsid w:val="443521E6"/>
    <w:rsid w:val="44632062"/>
    <w:rsid w:val="44E34B97"/>
    <w:rsid w:val="44F533CC"/>
    <w:rsid w:val="45184324"/>
    <w:rsid w:val="45216890"/>
    <w:rsid w:val="46174116"/>
    <w:rsid w:val="46D97E96"/>
    <w:rsid w:val="474B0525"/>
    <w:rsid w:val="479E22F3"/>
    <w:rsid w:val="48914BB9"/>
    <w:rsid w:val="491B3EF6"/>
    <w:rsid w:val="49FB21F5"/>
    <w:rsid w:val="4A3A2E8B"/>
    <w:rsid w:val="4A546A0C"/>
    <w:rsid w:val="4AEB349A"/>
    <w:rsid w:val="4AF53FB3"/>
    <w:rsid w:val="4B940D6C"/>
    <w:rsid w:val="4C4C4E25"/>
    <w:rsid w:val="4C6A0B0E"/>
    <w:rsid w:val="4CF71DD3"/>
    <w:rsid w:val="4D6D39F8"/>
    <w:rsid w:val="4E0A74D6"/>
    <w:rsid w:val="4E304600"/>
    <w:rsid w:val="4E373D17"/>
    <w:rsid w:val="4E49661D"/>
    <w:rsid w:val="4EDC6888"/>
    <w:rsid w:val="4F062F2A"/>
    <w:rsid w:val="4F073262"/>
    <w:rsid w:val="4F7321DA"/>
    <w:rsid w:val="4FC372A3"/>
    <w:rsid w:val="50045A74"/>
    <w:rsid w:val="517A5277"/>
    <w:rsid w:val="51CB446E"/>
    <w:rsid w:val="52840C9B"/>
    <w:rsid w:val="536F6F79"/>
    <w:rsid w:val="541F1477"/>
    <w:rsid w:val="54644ABD"/>
    <w:rsid w:val="547917D6"/>
    <w:rsid w:val="548F69A4"/>
    <w:rsid w:val="564E092B"/>
    <w:rsid w:val="581D24A7"/>
    <w:rsid w:val="585F1CF8"/>
    <w:rsid w:val="58AE623E"/>
    <w:rsid w:val="59591C21"/>
    <w:rsid w:val="599B4DA3"/>
    <w:rsid w:val="5A053B91"/>
    <w:rsid w:val="5AE95B79"/>
    <w:rsid w:val="5B13536C"/>
    <w:rsid w:val="5B2F75F6"/>
    <w:rsid w:val="5CF77BDB"/>
    <w:rsid w:val="5EC634BC"/>
    <w:rsid w:val="5F1006FB"/>
    <w:rsid w:val="5F9349A8"/>
    <w:rsid w:val="60032637"/>
    <w:rsid w:val="60F118E8"/>
    <w:rsid w:val="614662E9"/>
    <w:rsid w:val="614D2DB3"/>
    <w:rsid w:val="61B07DFC"/>
    <w:rsid w:val="61B53D9A"/>
    <w:rsid w:val="61DB0CE8"/>
    <w:rsid w:val="61E773AA"/>
    <w:rsid w:val="6326297B"/>
    <w:rsid w:val="63CC26E3"/>
    <w:rsid w:val="64657F31"/>
    <w:rsid w:val="64F770E0"/>
    <w:rsid w:val="66771BD8"/>
    <w:rsid w:val="66BC03F5"/>
    <w:rsid w:val="67100A34"/>
    <w:rsid w:val="67305E7C"/>
    <w:rsid w:val="67531289"/>
    <w:rsid w:val="67B15B0D"/>
    <w:rsid w:val="67CC5186"/>
    <w:rsid w:val="68AF4147"/>
    <w:rsid w:val="6A870D8E"/>
    <w:rsid w:val="6B30720F"/>
    <w:rsid w:val="6B3D3E80"/>
    <w:rsid w:val="6BE46CB2"/>
    <w:rsid w:val="6BED786A"/>
    <w:rsid w:val="6C030EBE"/>
    <w:rsid w:val="6D2B4D4D"/>
    <w:rsid w:val="6DDB357E"/>
    <w:rsid w:val="6E9216D3"/>
    <w:rsid w:val="6E973A83"/>
    <w:rsid w:val="6E9B6CC6"/>
    <w:rsid w:val="70675689"/>
    <w:rsid w:val="70945336"/>
    <w:rsid w:val="70B9205A"/>
    <w:rsid w:val="71037B86"/>
    <w:rsid w:val="715E2352"/>
    <w:rsid w:val="71D85800"/>
    <w:rsid w:val="72153C15"/>
    <w:rsid w:val="72C61359"/>
    <w:rsid w:val="72D8359F"/>
    <w:rsid w:val="72EB02DA"/>
    <w:rsid w:val="73543EAC"/>
    <w:rsid w:val="73B75277"/>
    <w:rsid w:val="742E19DE"/>
    <w:rsid w:val="74C27869"/>
    <w:rsid w:val="754E6C12"/>
    <w:rsid w:val="75AB5428"/>
    <w:rsid w:val="75B41E7A"/>
    <w:rsid w:val="76E52776"/>
    <w:rsid w:val="77113A1B"/>
    <w:rsid w:val="77130348"/>
    <w:rsid w:val="782C5A9B"/>
    <w:rsid w:val="783F07E6"/>
    <w:rsid w:val="784C73EA"/>
    <w:rsid w:val="7891785F"/>
    <w:rsid w:val="789858F3"/>
    <w:rsid w:val="793608E7"/>
    <w:rsid w:val="79E100A2"/>
    <w:rsid w:val="7A44652F"/>
    <w:rsid w:val="7ACE4D94"/>
    <w:rsid w:val="7AF73003"/>
    <w:rsid w:val="7B19231F"/>
    <w:rsid w:val="7C5B711E"/>
    <w:rsid w:val="7CA838F5"/>
    <w:rsid w:val="7D0C2BD4"/>
    <w:rsid w:val="7D277D87"/>
    <w:rsid w:val="7D9205A2"/>
    <w:rsid w:val="7DC4112E"/>
    <w:rsid w:val="7DD6340B"/>
    <w:rsid w:val="7E26713C"/>
    <w:rsid w:val="7E6D064A"/>
    <w:rsid w:val="7EA25A84"/>
    <w:rsid w:val="7EA35781"/>
    <w:rsid w:val="7ECD462E"/>
    <w:rsid w:val="7ED758D2"/>
    <w:rsid w:val="7F863A30"/>
    <w:rsid w:val="7F8831AB"/>
    <w:rsid w:val="7FE230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footnote text"/>
    <w:lsdException w:name="annotation text" w:semiHidden="0" w:qFormat="1"/>
    <w:lsdException w:name="header" w:semiHidden="0" w:uiPriority="0" w:unhideWhenUsed="0" w:qFormat="1"/>
    <w:lsdException w:name="footer" w:semiHidden="0" w:unhideWhenUsed="0" w:qFormat="1"/>
    <w:lsdException w:name="index heading"/>
    <w:lsdException w:name="caption" w:locked="1" w:uiPriority="0"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ocked="1" w:semiHidden="0" w:uiPriority="0" w:unhideWhenUsed="0" w:qFormat="1"/>
    <w:lsdException w:name="Closing"/>
    <w:lsdException w:name="Signature"/>
    <w:lsdException w:name="Default Paragraph Font" w:uiPriority="1" w:qFormat="1"/>
    <w:lsdException w:name="Body Text" w:semiHidden="0" w:uiPriority="0" w:unhideWhenUsed="0" w:qFormat="1"/>
    <w:lsdException w:name="Body Text Indent" w:semiHidden="0" w:qFormat="1"/>
    <w:lsdException w:name="List Continue"/>
    <w:lsdException w:name="List Continue 2"/>
    <w:lsdException w:name="List Continue 3"/>
    <w:lsdException w:name="List Continue 4"/>
    <w:lsdException w:name="List Continue 5"/>
    <w:lsdException w:name="Message Header"/>
    <w:lsdException w:name="Subtitle" w:locked="1" w:semiHidden="0" w:uiPriority="0" w:unhideWhenUsed="0" w:qFormat="1"/>
    <w:lsdException w:name="Salutation"/>
    <w:lsdException w:name="Date" w:semiHidden="0" w:uiPriority="0" w:qFormat="1"/>
    <w:lsdException w:name="Body Text First Indent"/>
    <w:lsdException w:name="Body Text First Indent 2"/>
    <w:lsdException w:name="Note Heading"/>
    <w:lsdException w:name="Body Text 2"/>
    <w:lsdException w:name="Body Text 3"/>
    <w:lsdException w:name="Body Text Indent 2" w:semiHidden="0" w:uiPriority="0" w:unhideWhenUsed="0" w:qFormat="1"/>
    <w:lsdException w:name="Body Text Indent 3"/>
    <w:lsdException w:name="Block Text"/>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Document Map" w:semiHidden="0" w:unhideWhenUsed="0" w:qFormat="1"/>
    <w:lsdException w:name="Plain Text" w:semiHidden="0" w:qFormat="1"/>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locked="1"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uiPriority w:val="99"/>
    <w:qFormat/>
    <w:pPr>
      <w:keepNext/>
      <w:spacing w:before="240"/>
      <w:jc w:val="right"/>
      <w:outlineLvl w:val="0"/>
    </w:pPr>
    <w:rPr>
      <w:b/>
      <w:bCs/>
      <w:kern w:val="44"/>
      <w:sz w:val="44"/>
      <w:szCs w:val="44"/>
    </w:rPr>
  </w:style>
  <w:style w:type="paragraph" w:styleId="Heading6">
    <w:name w:val="heading 6"/>
    <w:basedOn w:val="Normal"/>
    <w:next w:val="Normal"/>
    <w:qFormat/>
    <w:locked/>
    <w:pPr>
      <w:keepNext/>
      <w:jc w:val="center"/>
      <w:outlineLvl w:val="5"/>
    </w:pPr>
    <w:rPr>
      <w:rFonts w:ascii="Times New Roman"/>
      <w:b/>
      <w:sz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NormalIndent">
    <w:name w:val="Normal Indent"/>
    <w:basedOn w:val="Normal"/>
    <w:uiPriority w:val="99"/>
    <w:qFormat/>
    <w:pPr>
      <w:ind w:firstLine="420" w:firstLineChars="200"/>
    </w:pPr>
    <w:rPr>
      <w:sz w:val="24"/>
    </w:rPr>
  </w:style>
  <w:style w:type="paragraph" w:styleId="DocumentMap">
    <w:name w:val="Document Map"/>
    <w:basedOn w:val="Normal"/>
    <w:link w:val="Char0"/>
    <w:uiPriority w:val="99"/>
    <w:qFormat/>
    <w:rPr>
      <w:rFonts w:ascii="宋体"/>
      <w:sz w:val="18"/>
      <w:szCs w:val="18"/>
    </w:rPr>
  </w:style>
  <w:style w:type="paragraph" w:styleId="CommentText">
    <w:name w:val="annotation text"/>
    <w:basedOn w:val="Normal"/>
    <w:link w:val="Char"/>
    <w:uiPriority w:val="99"/>
    <w:unhideWhenUsed/>
    <w:qFormat/>
    <w:pPr>
      <w:jc w:val="left"/>
    </w:pPr>
  </w:style>
  <w:style w:type="paragraph" w:styleId="BodyText">
    <w:name w:val="Body Text"/>
    <w:basedOn w:val="Normal"/>
    <w:link w:val="Char2"/>
    <w:qFormat/>
    <w:pPr>
      <w:widowControl/>
      <w:spacing w:before="100" w:beforeAutospacing="1" w:after="100" w:afterAutospacing="1"/>
      <w:jc w:val="left"/>
    </w:pPr>
    <w:rPr>
      <w:kern w:val="0"/>
      <w:sz w:val="24"/>
    </w:rPr>
  </w:style>
  <w:style w:type="paragraph" w:styleId="BodyTextIndent">
    <w:name w:val="Body Text Indent"/>
    <w:basedOn w:val="Normal"/>
    <w:link w:val="Char3"/>
    <w:uiPriority w:val="99"/>
    <w:unhideWhenUsed/>
    <w:qFormat/>
    <w:pPr>
      <w:spacing w:after="120"/>
      <w:ind w:left="420" w:leftChars="200"/>
    </w:pPr>
  </w:style>
  <w:style w:type="paragraph" w:styleId="PlainText">
    <w:name w:val="Plain Text"/>
    <w:basedOn w:val="Normal"/>
    <w:link w:val="Char8"/>
    <w:uiPriority w:val="99"/>
    <w:unhideWhenUsed/>
    <w:qFormat/>
    <w:pPr>
      <w:widowControl/>
      <w:shd w:val="clear" w:color="auto" w:fill="FFFFFF"/>
      <w:spacing w:before="100" w:beforeAutospacing="1" w:after="100" w:afterAutospacing="1"/>
      <w:jc w:val="left"/>
    </w:pPr>
    <w:rPr>
      <w:rFonts w:ascii="ˎ̥" w:hAnsi="ˎ̥"/>
      <w:kern w:val="0"/>
      <w:sz w:val="18"/>
      <w:szCs w:val="18"/>
    </w:rPr>
  </w:style>
  <w:style w:type="paragraph" w:styleId="Date">
    <w:name w:val="Date"/>
    <w:basedOn w:val="Normal"/>
    <w:next w:val="Normal"/>
    <w:link w:val="Char6"/>
    <w:unhideWhenUsed/>
    <w:qFormat/>
    <w:pPr>
      <w:ind w:left="100" w:leftChars="2500"/>
    </w:pPr>
  </w:style>
  <w:style w:type="paragraph" w:styleId="BodyTextIndent2">
    <w:name w:val="Body Text Indent 2"/>
    <w:basedOn w:val="Normal"/>
    <w:link w:val="2Char"/>
    <w:qFormat/>
    <w:pPr>
      <w:spacing w:after="120" w:line="480" w:lineRule="auto"/>
      <w:ind w:left="420" w:leftChars="200"/>
    </w:pPr>
  </w:style>
  <w:style w:type="paragraph" w:styleId="BalloonText">
    <w:name w:val="Balloon Text"/>
    <w:basedOn w:val="Normal"/>
    <w:link w:val="Char4"/>
    <w:uiPriority w:val="99"/>
    <w:qFormat/>
    <w:rPr>
      <w:sz w:val="18"/>
      <w:szCs w:val="18"/>
    </w:rPr>
  </w:style>
  <w:style w:type="paragraph" w:styleId="Footer">
    <w:name w:val="footer"/>
    <w:basedOn w:val="Normal"/>
    <w:link w:val="Char7"/>
    <w:uiPriority w:val="99"/>
    <w:qFormat/>
    <w:pPr>
      <w:tabs>
        <w:tab w:val="center" w:pos="4153"/>
        <w:tab w:val="right" w:pos="8306"/>
      </w:tabs>
      <w:snapToGrid w:val="0"/>
      <w:jc w:val="left"/>
    </w:pPr>
    <w:rPr>
      <w:sz w:val="18"/>
      <w:szCs w:val="18"/>
    </w:rPr>
  </w:style>
  <w:style w:type="paragraph" w:styleId="Header">
    <w:name w:val="header"/>
    <w:basedOn w:val="Normal"/>
    <w:link w:val="Char5"/>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rPr>
  </w:style>
  <w:style w:type="paragraph" w:styleId="CommentSubject">
    <w:name w:val="annotation subject"/>
    <w:basedOn w:val="CommentText"/>
    <w:next w:val="CommentText"/>
    <w:link w:val="Char1"/>
    <w:uiPriority w:val="99"/>
    <w:unhideWhenUsed/>
    <w:qFormat/>
    <w:rPr>
      <w:b/>
      <w:bCs/>
    </w:rPr>
  </w:style>
  <w:style w:type="table" w:styleId="TableGrid">
    <w:name w:val="Table Grid"/>
    <w:basedOn w:val="TableNormal"/>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qFormat/>
  </w:style>
  <w:style w:type="character" w:styleId="FollowedHyperlink">
    <w:name w:val="FollowedHyperlink"/>
    <w:uiPriority w:val="99"/>
    <w:unhideWhenUsed/>
    <w:qFormat/>
    <w:rPr>
      <w:color w:val="800080"/>
      <w:u w:val="single"/>
    </w:rPr>
  </w:style>
  <w:style w:type="character" w:styleId="Emphasis">
    <w:name w:val="Emphasis"/>
    <w:qFormat/>
    <w:locked/>
    <w:rPr>
      <w:color w:val="CC0000"/>
    </w:rPr>
  </w:style>
  <w:style w:type="character" w:styleId="Hyperlink">
    <w:name w:val="Hyperlink"/>
    <w:uiPriority w:val="99"/>
    <w:unhideWhenUsed/>
    <w:qFormat/>
    <w:rPr>
      <w:color w:val="0000FF"/>
      <w:u w:val="single"/>
    </w:rPr>
  </w:style>
  <w:style w:type="character" w:styleId="CommentReference">
    <w:name w:val="annotation reference"/>
    <w:uiPriority w:val="99"/>
    <w:unhideWhenUsed/>
    <w:qFormat/>
    <w:rPr>
      <w:sz w:val="21"/>
      <w:szCs w:val="21"/>
    </w:rPr>
  </w:style>
  <w:style w:type="character" w:customStyle="1" w:styleId="font191">
    <w:name w:val="font191"/>
    <w:qFormat/>
    <w:rPr>
      <w:rFonts w:ascii="宋体" w:eastAsia="宋体" w:hAnsi="宋体" w:cs="宋体" w:hint="eastAsia"/>
      <w:b/>
      <w:color w:val="000000"/>
      <w:sz w:val="28"/>
      <w:szCs w:val="28"/>
      <w:u w:val="single"/>
    </w:rPr>
  </w:style>
  <w:style w:type="character" w:customStyle="1" w:styleId="font171">
    <w:name w:val="font171"/>
    <w:qFormat/>
    <w:rPr>
      <w:rFonts w:ascii="宋体" w:eastAsia="宋体" w:hAnsi="宋体" w:cs="宋体" w:hint="eastAsia"/>
      <w:b/>
      <w:color w:val="000000"/>
      <w:sz w:val="28"/>
      <w:szCs w:val="28"/>
      <w:u w:val="none"/>
    </w:rPr>
  </w:style>
  <w:style w:type="character" w:customStyle="1" w:styleId="Char">
    <w:name w:val="批注文字 Char"/>
    <w:link w:val="CommentText"/>
    <w:uiPriority w:val="99"/>
    <w:semiHidden/>
    <w:qFormat/>
    <w:rPr>
      <w:kern w:val="2"/>
      <w:sz w:val="21"/>
      <w:szCs w:val="24"/>
    </w:rPr>
  </w:style>
  <w:style w:type="character" w:customStyle="1" w:styleId="Char0">
    <w:name w:val="文档结构图 Char"/>
    <w:link w:val="DocumentMap"/>
    <w:uiPriority w:val="99"/>
    <w:qFormat/>
    <w:locked/>
    <w:rPr>
      <w:rFonts w:ascii="宋体" w:cs="Times New Roman"/>
      <w:kern w:val="2"/>
      <w:sz w:val="18"/>
      <w:szCs w:val="18"/>
    </w:rPr>
  </w:style>
  <w:style w:type="character" w:customStyle="1" w:styleId="1Char">
    <w:name w:val="标题 1 Char"/>
    <w:link w:val="Heading1"/>
    <w:uiPriority w:val="99"/>
    <w:qFormat/>
    <w:locked/>
    <w:rPr>
      <w:rFonts w:cs="Times New Roman"/>
      <w:b/>
      <w:bCs/>
      <w:kern w:val="44"/>
      <w:sz w:val="44"/>
      <w:szCs w:val="44"/>
    </w:rPr>
  </w:style>
  <w:style w:type="character" w:customStyle="1" w:styleId="font211">
    <w:name w:val="font211"/>
    <w:qFormat/>
    <w:rPr>
      <w:rFonts w:ascii="宋体" w:eastAsia="宋体" w:hAnsi="宋体" w:cs="宋体" w:hint="eastAsia"/>
      <w:b/>
      <w:color w:val="000000"/>
      <w:sz w:val="22"/>
      <w:szCs w:val="22"/>
      <w:u w:val="single"/>
    </w:rPr>
  </w:style>
  <w:style w:type="character" w:customStyle="1" w:styleId="font21">
    <w:name w:val="font21"/>
    <w:basedOn w:val="DefaultParagraphFont"/>
    <w:qFormat/>
    <w:rPr>
      <w:rFonts w:ascii="宋体" w:eastAsia="宋体" w:hAnsi="宋体" w:cs="宋体" w:hint="eastAsia"/>
      <w:b/>
      <w:color w:val="000000"/>
      <w:sz w:val="28"/>
      <w:szCs w:val="28"/>
      <w:u w:val="none"/>
    </w:rPr>
  </w:style>
  <w:style w:type="character" w:customStyle="1" w:styleId="Char1">
    <w:name w:val="批注主题 Char"/>
    <w:link w:val="CommentSubject"/>
    <w:uiPriority w:val="99"/>
    <w:semiHidden/>
    <w:qFormat/>
    <w:rPr>
      <w:b/>
      <w:bCs/>
      <w:kern w:val="2"/>
      <w:sz w:val="21"/>
      <w:szCs w:val="24"/>
    </w:rPr>
  </w:style>
  <w:style w:type="character" w:customStyle="1" w:styleId="Char2">
    <w:name w:val="正文文本 Char"/>
    <w:link w:val="BodyText"/>
    <w:qFormat/>
    <w:locked/>
    <w:rPr>
      <w:rFonts w:cs="Times New Roman"/>
      <w:sz w:val="24"/>
      <w:szCs w:val="24"/>
    </w:rPr>
  </w:style>
  <w:style w:type="character" w:customStyle="1" w:styleId="Char3">
    <w:name w:val="正文文本缩进 Char"/>
    <w:link w:val="BodyTextIndent"/>
    <w:uiPriority w:val="99"/>
    <w:qFormat/>
    <w:rPr>
      <w:kern w:val="2"/>
      <w:sz w:val="21"/>
      <w:szCs w:val="24"/>
    </w:rPr>
  </w:style>
  <w:style w:type="character" w:customStyle="1" w:styleId="Char10">
    <w:name w:val="纯文本 Char1"/>
    <w:uiPriority w:val="99"/>
    <w:semiHidden/>
    <w:qFormat/>
    <w:rPr>
      <w:rFonts w:ascii="宋体" w:hAnsi="Courier New" w:cs="Courier New"/>
      <w:kern w:val="2"/>
      <w:sz w:val="21"/>
      <w:szCs w:val="21"/>
    </w:rPr>
  </w:style>
  <w:style w:type="character" w:customStyle="1" w:styleId="font112">
    <w:name w:val="font112"/>
    <w:qFormat/>
    <w:rPr>
      <w:rFonts w:ascii="宋体" w:eastAsia="宋体" w:hAnsi="宋体" w:cs="宋体" w:hint="eastAsia"/>
      <w:color w:val="000000"/>
      <w:sz w:val="24"/>
      <w:szCs w:val="24"/>
      <w:u w:val="none"/>
    </w:rPr>
  </w:style>
  <w:style w:type="character" w:customStyle="1" w:styleId="font121">
    <w:name w:val="font121"/>
    <w:qFormat/>
    <w:rPr>
      <w:rFonts w:ascii="宋体" w:eastAsia="宋体" w:hAnsi="宋体" w:cs="宋体" w:hint="eastAsia"/>
      <w:color w:val="000000"/>
      <w:sz w:val="18"/>
      <w:szCs w:val="18"/>
      <w:u w:val="none"/>
    </w:rPr>
  </w:style>
  <w:style w:type="character" w:customStyle="1" w:styleId="font141">
    <w:name w:val="font141"/>
    <w:qFormat/>
    <w:rPr>
      <w:rFonts w:ascii="Symbol" w:hAnsi="Symbol" w:cs="Symbol"/>
      <w:color w:val="000000"/>
      <w:sz w:val="18"/>
      <w:szCs w:val="18"/>
      <w:u w:val="none"/>
    </w:rPr>
  </w:style>
  <w:style w:type="character" w:customStyle="1" w:styleId="font41">
    <w:name w:val="font41"/>
    <w:basedOn w:val="DefaultParagraphFont"/>
    <w:qFormat/>
    <w:rPr>
      <w:rFonts w:ascii="宋体" w:eastAsia="宋体" w:hAnsi="宋体" w:cs="宋体" w:hint="eastAsia"/>
      <w:color w:val="000000"/>
      <w:sz w:val="24"/>
      <w:szCs w:val="24"/>
      <w:u w:val="none"/>
    </w:rPr>
  </w:style>
  <w:style w:type="character" w:customStyle="1" w:styleId="Char4">
    <w:name w:val="批注框文本 Char"/>
    <w:link w:val="BalloonText"/>
    <w:uiPriority w:val="99"/>
    <w:qFormat/>
    <w:locked/>
    <w:rPr>
      <w:rFonts w:cs="Times New Roman"/>
      <w:kern w:val="2"/>
      <w:sz w:val="18"/>
      <w:szCs w:val="18"/>
    </w:rPr>
  </w:style>
  <w:style w:type="character" w:customStyle="1" w:styleId="font01">
    <w:name w:val="font01"/>
    <w:qFormat/>
    <w:rPr>
      <w:rFonts w:ascii="Tahoma" w:eastAsia="Tahoma" w:hAnsi="Tahoma" w:cs="Tahoma"/>
      <w:color w:val="000000"/>
      <w:sz w:val="24"/>
      <w:szCs w:val="24"/>
      <w:u w:val="none"/>
    </w:rPr>
  </w:style>
  <w:style w:type="character" w:customStyle="1" w:styleId="font31">
    <w:name w:val="font31"/>
    <w:basedOn w:val="DefaultParagraphFont"/>
    <w:qFormat/>
    <w:rPr>
      <w:rFonts w:ascii="Tahoma" w:eastAsia="Tahoma" w:hAnsi="Tahoma" w:cs="Tahoma"/>
      <w:color w:val="3C3C3C"/>
      <w:sz w:val="24"/>
      <w:szCs w:val="24"/>
      <w:u w:val="none"/>
    </w:rPr>
  </w:style>
  <w:style w:type="character" w:customStyle="1" w:styleId="font151">
    <w:name w:val="font151"/>
    <w:qFormat/>
    <w:rPr>
      <w:rFonts w:ascii="宋体" w:eastAsia="宋体" w:hAnsi="宋体" w:cs="宋体" w:hint="eastAsia"/>
      <w:b/>
      <w:color w:val="000000"/>
      <w:sz w:val="28"/>
      <w:szCs w:val="28"/>
      <w:u w:val="single"/>
    </w:rPr>
  </w:style>
  <w:style w:type="character" w:customStyle="1" w:styleId="font71">
    <w:name w:val="font71"/>
    <w:qFormat/>
    <w:rPr>
      <w:rFonts w:ascii="宋体" w:eastAsia="宋体" w:hAnsi="宋体" w:cs="宋体" w:hint="eastAsia"/>
      <w:b/>
      <w:color w:val="000000"/>
      <w:sz w:val="28"/>
      <w:szCs w:val="28"/>
      <w:u w:val="single"/>
    </w:rPr>
  </w:style>
  <w:style w:type="character" w:customStyle="1" w:styleId="Char5">
    <w:name w:val="页眉 Char"/>
    <w:link w:val="Header"/>
    <w:qFormat/>
    <w:locked/>
    <w:rPr>
      <w:rFonts w:cs="Times New Roman"/>
      <w:kern w:val="2"/>
      <w:sz w:val="18"/>
      <w:szCs w:val="18"/>
    </w:rPr>
  </w:style>
  <w:style w:type="character" w:customStyle="1" w:styleId="font51">
    <w:name w:val="font51"/>
    <w:basedOn w:val="DefaultParagraphFont"/>
    <w:qFormat/>
    <w:rPr>
      <w:rFonts w:ascii="宋体" w:eastAsia="宋体" w:hAnsi="宋体" w:cs="宋体" w:hint="eastAsia"/>
      <w:color w:val="333333"/>
      <w:sz w:val="24"/>
      <w:szCs w:val="24"/>
      <w:u w:val="none"/>
    </w:rPr>
  </w:style>
  <w:style w:type="character" w:customStyle="1" w:styleId="2Char">
    <w:name w:val="正文文本缩进 2 Char"/>
    <w:link w:val="BodyTextIndent2"/>
    <w:qFormat/>
    <w:rPr>
      <w:kern w:val="2"/>
      <w:sz w:val="21"/>
      <w:szCs w:val="24"/>
    </w:rPr>
  </w:style>
  <w:style w:type="character" w:customStyle="1" w:styleId="Char6">
    <w:name w:val="日期 Char"/>
    <w:link w:val="Date"/>
    <w:qFormat/>
    <w:rPr>
      <w:kern w:val="2"/>
      <w:sz w:val="21"/>
      <w:szCs w:val="24"/>
    </w:rPr>
  </w:style>
  <w:style w:type="character" w:customStyle="1" w:styleId="font91">
    <w:name w:val="font91"/>
    <w:qFormat/>
    <w:rPr>
      <w:rFonts w:ascii="宋体" w:eastAsia="宋体" w:hAnsi="宋体" w:cs="宋体" w:hint="eastAsia"/>
      <w:color w:val="000000"/>
      <w:sz w:val="24"/>
      <w:szCs w:val="24"/>
      <w:u w:val="none"/>
    </w:rPr>
  </w:style>
  <w:style w:type="character" w:customStyle="1" w:styleId="Char7">
    <w:name w:val="页脚 Char"/>
    <w:link w:val="Footer"/>
    <w:uiPriority w:val="99"/>
    <w:qFormat/>
    <w:locked/>
    <w:rPr>
      <w:rFonts w:cs="Times New Roman"/>
      <w:kern w:val="2"/>
      <w:sz w:val="18"/>
      <w:szCs w:val="18"/>
    </w:rPr>
  </w:style>
  <w:style w:type="character" w:customStyle="1" w:styleId="2Char1">
    <w:name w:val="正文文本缩进 2 Char1"/>
    <w:uiPriority w:val="99"/>
    <w:semiHidden/>
    <w:qFormat/>
    <w:rPr>
      <w:kern w:val="2"/>
      <w:sz w:val="21"/>
      <w:szCs w:val="24"/>
    </w:rPr>
  </w:style>
  <w:style w:type="character" w:customStyle="1" w:styleId="font61">
    <w:name w:val="font61"/>
    <w:basedOn w:val="DefaultParagraphFont"/>
    <w:qFormat/>
    <w:rPr>
      <w:rFonts w:ascii="宋体" w:eastAsia="宋体" w:hAnsi="宋体" w:cs="宋体" w:hint="eastAsia"/>
      <w:b/>
      <w:color w:val="000000"/>
      <w:sz w:val="28"/>
      <w:szCs w:val="28"/>
      <w:u w:val="none"/>
    </w:rPr>
  </w:style>
  <w:style w:type="character" w:customStyle="1" w:styleId="Char8">
    <w:name w:val="纯文本 Char"/>
    <w:link w:val="PlainText"/>
    <w:uiPriority w:val="99"/>
    <w:qFormat/>
    <w:rPr>
      <w:rFonts w:ascii="ˎ̥" w:hAnsi="ˎ̥" w:cs="宋体"/>
      <w:sz w:val="18"/>
      <w:szCs w:val="18"/>
      <w:shd w:val="clear" w:color="auto" w:fill="FFFFFF"/>
    </w:rPr>
  </w:style>
  <w:style w:type="character" w:customStyle="1" w:styleId="font11">
    <w:name w:val="font11"/>
    <w:qFormat/>
    <w:rPr>
      <w:rFonts w:ascii="Symbol" w:hAnsi="Symbol" w:cs="Symbol"/>
      <w:color w:val="000000"/>
      <w:sz w:val="18"/>
      <w:szCs w:val="18"/>
      <w:u w:val="none"/>
    </w:rPr>
  </w:style>
  <w:style w:type="paragraph" w:customStyle="1" w:styleId="xl104">
    <w:name w:val="xl104"/>
    <w:basedOn w:val="Normal"/>
    <w:qFormat/>
    <w:pPr>
      <w:widowControl/>
      <w:pBdr>
        <w:left w:val="single" w:sz="8" w:space="0" w:color="auto"/>
        <w:right w:val="single" w:sz="8" w:space="0" w:color="auto"/>
      </w:pBdr>
      <w:spacing w:before="100" w:beforeAutospacing="1" w:after="100" w:afterAutospacing="1"/>
      <w:jc w:val="center"/>
      <w:textAlignment w:val="center"/>
    </w:pPr>
    <w:rPr>
      <w:rFonts w:ascii="宋体" w:hAnsi="宋体" w:cs="宋体"/>
      <w:b/>
      <w:bCs/>
      <w:color w:val="000000"/>
      <w:kern w:val="0"/>
      <w:sz w:val="24"/>
    </w:rPr>
  </w:style>
  <w:style w:type="paragraph" w:customStyle="1" w:styleId="xl102">
    <w:name w:val="xl102"/>
    <w:basedOn w:val="Normal"/>
    <w:qFormat/>
    <w:pPr>
      <w:widowControl/>
      <w:pBdr>
        <w:bottom w:val="single" w:sz="8" w:space="0" w:color="auto"/>
        <w:right w:val="single" w:sz="8" w:space="0" w:color="auto"/>
      </w:pBdr>
      <w:spacing w:before="100" w:beforeAutospacing="1" w:after="100" w:afterAutospacing="1"/>
      <w:jc w:val="center"/>
      <w:textAlignment w:val="center"/>
    </w:pPr>
    <w:rPr>
      <w:rFonts w:ascii="宋体" w:hAnsi="宋体" w:cs="宋体"/>
      <w:b/>
      <w:bCs/>
      <w:kern w:val="0"/>
      <w:sz w:val="24"/>
    </w:rPr>
  </w:style>
  <w:style w:type="paragraph" w:customStyle="1" w:styleId="xl99">
    <w:name w:val="xl99"/>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b/>
      <w:bCs/>
      <w:kern w:val="0"/>
      <w:sz w:val="24"/>
    </w:rPr>
  </w:style>
  <w:style w:type="paragraph" w:customStyle="1" w:styleId="xl73">
    <w:name w:val="xl73"/>
    <w:basedOn w:val="Normal"/>
    <w:qFormat/>
    <w:pPr>
      <w:widowControl/>
      <w:pBdr>
        <w:top w:val="single" w:sz="8" w:space="0" w:color="auto"/>
        <w:bottom w:val="single" w:sz="8" w:space="0" w:color="auto"/>
        <w:right w:val="single" w:sz="8" w:space="0" w:color="auto"/>
      </w:pBdr>
      <w:spacing w:before="100" w:beforeAutospacing="1" w:after="100" w:afterAutospacing="1"/>
      <w:jc w:val="left"/>
    </w:pPr>
    <w:rPr>
      <w:rFonts w:ascii="宋体" w:hAnsi="宋体" w:cs="宋体"/>
      <w:kern w:val="0"/>
      <w:sz w:val="24"/>
    </w:rPr>
  </w:style>
  <w:style w:type="paragraph" w:customStyle="1" w:styleId="xl74">
    <w:name w:val="xl74"/>
    <w:basedOn w:val="Normal"/>
    <w:qFormat/>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00">
    <w:name w:val="xl100"/>
    <w:basedOn w:val="Normal"/>
    <w:qFormat/>
    <w:pPr>
      <w:widowControl/>
      <w:pBdr>
        <w:top w:val="single" w:sz="8" w:space="0" w:color="auto"/>
        <w:right w:val="single" w:sz="8" w:space="0" w:color="auto"/>
      </w:pBdr>
      <w:spacing w:before="100" w:beforeAutospacing="1" w:after="100" w:afterAutospacing="1"/>
      <w:jc w:val="center"/>
      <w:textAlignment w:val="center"/>
    </w:pPr>
    <w:rPr>
      <w:rFonts w:ascii="宋体" w:hAnsi="宋体" w:cs="宋体"/>
      <w:b/>
      <w:bCs/>
      <w:kern w:val="0"/>
      <w:sz w:val="24"/>
    </w:rPr>
  </w:style>
  <w:style w:type="paragraph" w:customStyle="1" w:styleId="xl103">
    <w:name w:val="xl103"/>
    <w:basedOn w:val="Normal"/>
    <w:qFormat/>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宋体" w:hAnsi="宋体" w:cs="宋体"/>
      <w:b/>
      <w:bCs/>
      <w:color w:val="000000"/>
      <w:kern w:val="0"/>
      <w:sz w:val="24"/>
    </w:rPr>
  </w:style>
  <w:style w:type="paragraph" w:customStyle="1" w:styleId="xl95">
    <w:name w:val="xl95"/>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hAnsi="宋体" w:cs="宋体"/>
      <w:kern w:val="0"/>
      <w:sz w:val="24"/>
    </w:rPr>
  </w:style>
  <w:style w:type="paragraph" w:customStyle="1" w:styleId="xl85">
    <w:name w:val="xl85"/>
    <w:basedOn w:val="Normal"/>
    <w:qFormat/>
    <w:pPr>
      <w:widowControl/>
      <w:spacing w:before="100" w:beforeAutospacing="1" w:after="100" w:afterAutospacing="1"/>
      <w:jc w:val="center"/>
      <w:textAlignment w:val="center"/>
    </w:pPr>
    <w:rPr>
      <w:rFonts w:ascii="宋体" w:hAnsi="宋体" w:cs="宋体"/>
      <w:kern w:val="0"/>
      <w:sz w:val="24"/>
    </w:rPr>
  </w:style>
  <w:style w:type="paragraph" w:customStyle="1" w:styleId="xl81">
    <w:name w:val="xl81"/>
    <w:basedOn w:val="Normal"/>
    <w:qFormat/>
    <w:pPr>
      <w:widowControl/>
      <w:pBdr>
        <w:top w:val="single" w:sz="8" w:space="0" w:color="auto"/>
        <w:bottom w:val="single" w:sz="8" w:space="0" w:color="auto"/>
      </w:pBdr>
      <w:shd w:val="clear" w:color="000000" w:fill="92D050"/>
      <w:spacing w:before="100" w:beforeAutospacing="1" w:after="100" w:afterAutospacing="1"/>
      <w:jc w:val="center"/>
    </w:pPr>
    <w:rPr>
      <w:rFonts w:ascii="宋体" w:hAnsi="宋体" w:cs="宋体"/>
      <w:kern w:val="0"/>
      <w:sz w:val="24"/>
    </w:rPr>
  </w:style>
  <w:style w:type="paragraph" w:customStyle="1" w:styleId="p0">
    <w:name w:val="p0"/>
    <w:basedOn w:val="Normal"/>
    <w:uiPriority w:val="99"/>
    <w:qFormat/>
    <w:pPr>
      <w:widowControl/>
    </w:pPr>
    <w:rPr>
      <w:kern w:val="0"/>
      <w:szCs w:val="21"/>
    </w:rPr>
  </w:style>
  <w:style w:type="paragraph" w:customStyle="1" w:styleId="font6">
    <w:name w:val="font6"/>
    <w:basedOn w:val="Normal"/>
    <w:qFormat/>
    <w:pPr>
      <w:widowControl/>
      <w:spacing w:before="100" w:beforeAutospacing="1" w:after="100" w:afterAutospacing="1"/>
      <w:jc w:val="left"/>
    </w:pPr>
    <w:rPr>
      <w:rFonts w:ascii="宋体" w:hAnsi="宋体" w:cs="宋体"/>
      <w:kern w:val="0"/>
      <w:sz w:val="18"/>
      <w:szCs w:val="18"/>
    </w:rPr>
  </w:style>
  <w:style w:type="paragraph" w:customStyle="1" w:styleId="xl75">
    <w:name w:val="xl75"/>
    <w:basedOn w:val="Normal"/>
    <w:qFormat/>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89">
    <w:name w:val="xl89"/>
    <w:basedOn w:val="Normal"/>
    <w:qFormat/>
    <w:pPr>
      <w:widowControl/>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宋体" w:hAnsi="宋体" w:cs="宋体"/>
      <w:color w:val="000000"/>
      <w:kern w:val="0"/>
      <w:sz w:val="18"/>
      <w:szCs w:val="18"/>
    </w:rPr>
  </w:style>
  <w:style w:type="paragraph" w:customStyle="1" w:styleId="xl79">
    <w:name w:val="xl79"/>
    <w:basedOn w:val="Normal"/>
    <w:qFormat/>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kern w:val="0"/>
      <w:sz w:val="24"/>
    </w:rPr>
  </w:style>
  <w:style w:type="paragraph" w:customStyle="1" w:styleId="xl83">
    <w:name w:val="xl83"/>
    <w:basedOn w:val="Normal"/>
    <w:qFormat/>
    <w:pPr>
      <w:widowControl/>
      <w:spacing w:before="100" w:beforeAutospacing="1" w:after="100" w:afterAutospacing="1"/>
      <w:jc w:val="center"/>
    </w:pPr>
    <w:rPr>
      <w:rFonts w:ascii="宋体" w:hAnsi="宋体" w:cs="宋体"/>
      <w:kern w:val="0"/>
      <w:sz w:val="24"/>
    </w:rPr>
  </w:style>
  <w:style w:type="paragraph" w:customStyle="1" w:styleId="xl101">
    <w:name w:val="xl101"/>
    <w:basedOn w:val="Normal"/>
    <w:qFormat/>
    <w:pPr>
      <w:widowControl/>
      <w:pBdr>
        <w:right w:val="single" w:sz="8" w:space="0" w:color="auto"/>
      </w:pBdr>
      <w:spacing w:before="100" w:beforeAutospacing="1" w:after="100" w:afterAutospacing="1"/>
      <w:jc w:val="center"/>
      <w:textAlignment w:val="center"/>
    </w:pPr>
    <w:rPr>
      <w:rFonts w:ascii="宋体" w:hAnsi="宋体" w:cs="宋体"/>
      <w:b/>
      <w:bCs/>
      <w:kern w:val="0"/>
      <w:sz w:val="24"/>
    </w:rPr>
  </w:style>
  <w:style w:type="paragraph" w:customStyle="1" w:styleId="xl91">
    <w:name w:val="xl91"/>
    <w:basedOn w:val="Normal"/>
    <w:qFormat/>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font5">
    <w:name w:val="font5"/>
    <w:basedOn w:val="Normal"/>
    <w:qFormat/>
    <w:pPr>
      <w:widowControl/>
      <w:spacing w:before="100" w:beforeAutospacing="1" w:after="100" w:afterAutospacing="1"/>
      <w:jc w:val="left"/>
    </w:pPr>
    <w:rPr>
      <w:rFonts w:ascii="宋体" w:hAnsi="宋体" w:cs="宋体"/>
      <w:kern w:val="0"/>
      <w:sz w:val="24"/>
    </w:rPr>
  </w:style>
  <w:style w:type="paragraph" w:customStyle="1" w:styleId="xl70">
    <w:name w:val="xl70"/>
    <w:basedOn w:val="Normal"/>
    <w:qFormat/>
    <w:pPr>
      <w:widowControl/>
      <w:pBdr>
        <w:top w:val="single" w:sz="8" w:space="0" w:color="auto"/>
        <w:bottom w:val="single" w:sz="8" w:space="0" w:color="auto"/>
        <w:right w:val="single" w:sz="8" w:space="0" w:color="auto"/>
      </w:pBdr>
      <w:shd w:val="clear" w:color="000000" w:fill="92D050"/>
      <w:spacing w:before="100" w:beforeAutospacing="1" w:after="100" w:afterAutospacing="1"/>
      <w:jc w:val="center"/>
    </w:pPr>
    <w:rPr>
      <w:rFonts w:ascii="宋体" w:hAnsi="宋体" w:cs="宋体"/>
      <w:b/>
      <w:bCs/>
      <w:kern w:val="0"/>
      <w:sz w:val="24"/>
    </w:rPr>
  </w:style>
  <w:style w:type="paragraph" w:customStyle="1" w:styleId="xl98">
    <w:name w:val="xl98"/>
    <w:basedOn w:val="Normal"/>
    <w:qFormat/>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宋体" w:hAnsi="宋体" w:cs="宋体"/>
      <w:b/>
      <w:bCs/>
      <w:kern w:val="0"/>
      <w:sz w:val="24"/>
    </w:rPr>
  </w:style>
  <w:style w:type="paragraph" w:customStyle="1" w:styleId="xl80">
    <w:name w:val="xl80"/>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82">
    <w:name w:val="xl82"/>
    <w:basedOn w:val="Normal"/>
    <w:qFormat/>
    <w:pPr>
      <w:widowControl/>
      <w:pBdr>
        <w:top w:val="single" w:sz="8" w:space="0" w:color="auto"/>
        <w:bottom w:val="single" w:sz="8" w:space="0" w:color="auto"/>
      </w:pBdr>
      <w:spacing w:before="100" w:beforeAutospacing="1" w:after="100" w:afterAutospacing="1"/>
      <w:jc w:val="center"/>
    </w:pPr>
    <w:rPr>
      <w:rFonts w:ascii="宋体" w:hAnsi="宋体" w:cs="宋体"/>
      <w:kern w:val="0"/>
      <w:sz w:val="24"/>
    </w:rPr>
  </w:style>
  <w:style w:type="paragraph" w:customStyle="1" w:styleId="CharCharCharChar">
    <w:name w:val="Char Char Char Char"/>
    <w:basedOn w:val="Normal"/>
    <w:uiPriority w:val="99"/>
    <w:qFormat/>
    <w:rPr>
      <w:rFonts w:ascii="Tahoma" w:hAnsi="Tahoma"/>
      <w:sz w:val="24"/>
      <w:szCs w:val="20"/>
    </w:rPr>
  </w:style>
  <w:style w:type="paragraph" w:customStyle="1" w:styleId="xl68">
    <w:name w:val="xl68"/>
    <w:basedOn w:val="Normal"/>
    <w:qFormat/>
    <w:pPr>
      <w:widowControl/>
      <w:pBdr>
        <w:top w:val="single" w:sz="8" w:space="0" w:color="auto"/>
        <w:bottom w:val="single" w:sz="8" w:space="0" w:color="auto"/>
        <w:right w:val="single" w:sz="8" w:space="0" w:color="auto"/>
      </w:pBdr>
      <w:shd w:val="clear" w:color="000000" w:fill="92D050"/>
      <w:spacing w:before="100" w:beforeAutospacing="1" w:after="100" w:afterAutospacing="1"/>
      <w:jc w:val="center"/>
    </w:pPr>
    <w:rPr>
      <w:rFonts w:ascii="宋体" w:hAnsi="宋体" w:cs="宋体"/>
      <w:kern w:val="0"/>
      <w:sz w:val="24"/>
    </w:rPr>
  </w:style>
  <w:style w:type="paragraph" w:customStyle="1" w:styleId="xl96">
    <w:name w:val="xl96"/>
    <w:basedOn w:val="Normal"/>
    <w:qFormat/>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Char9">
    <w:name w:val="Char"/>
    <w:basedOn w:val="Normal"/>
    <w:qFormat/>
    <w:rPr>
      <w:rFonts w:ascii="Tahoma" w:hAnsi="Tahoma"/>
      <w:sz w:val="24"/>
      <w:szCs w:val="20"/>
    </w:rPr>
  </w:style>
  <w:style w:type="paragraph" w:customStyle="1" w:styleId="xl92">
    <w:name w:val="xl92"/>
    <w:basedOn w:val="Normal"/>
    <w:qFormat/>
    <w:pPr>
      <w:widowControl/>
      <w:pBdr>
        <w:top w:val="single" w:sz="8" w:space="0" w:color="auto"/>
        <w:bottom w:val="single" w:sz="8" w:space="0" w:color="auto"/>
        <w:right w:val="single" w:sz="8" w:space="0" w:color="auto"/>
      </w:pBdr>
      <w:spacing w:before="100" w:beforeAutospacing="1" w:after="100" w:afterAutospacing="1"/>
      <w:textAlignment w:val="center"/>
    </w:pPr>
    <w:rPr>
      <w:rFonts w:ascii="宋体" w:hAnsi="宋体" w:cs="宋体"/>
      <w:b/>
      <w:bCs/>
      <w:color w:val="000000"/>
      <w:kern w:val="0"/>
      <w:sz w:val="18"/>
      <w:szCs w:val="18"/>
    </w:rPr>
  </w:style>
  <w:style w:type="paragraph" w:customStyle="1" w:styleId="xl93">
    <w:name w:val="xl93"/>
    <w:basedOn w:val="Normal"/>
    <w:qFormat/>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msonormalcxspmiddle">
    <w:name w:val="msonormalcxspmiddle"/>
    <w:basedOn w:val="Normal"/>
    <w:qFormat/>
    <w:pPr>
      <w:widowControl/>
      <w:spacing w:before="100" w:beforeAutospacing="1" w:after="100" w:afterAutospacing="1"/>
      <w:jc w:val="left"/>
    </w:pPr>
    <w:rPr>
      <w:rFonts w:ascii="宋体" w:hAnsi="宋体" w:cs="宋体"/>
      <w:kern w:val="0"/>
      <w:sz w:val="24"/>
    </w:rPr>
  </w:style>
  <w:style w:type="paragraph" w:customStyle="1" w:styleId="xl90">
    <w:name w:val="xl90"/>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72">
    <w:name w:val="xl72"/>
    <w:basedOn w:val="Normal"/>
    <w:qFormat/>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94">
    <w:name w:val="xl94"/>
    <w:basedOn w:val="Normal"/>
    <w:qFormat/>
    <w:pPr>
      <w:widowControl/>
      <w:pBdr>
        <w:top w:val="single" w:sz="8" w:space="0" w:color="auto"/>
        <w:bottom w:val="single" w:sz="8" w:space="0" w:color="auto"/>
        <w:right w:val="single" w:sz="8" w:space="0" w:color="auto"/>
      </w:pBdr>
      <w:spacing w:before="100" w:beforeAutospacing="1" w:after="100" w:afterAutospacing="1"/>
      <w:textAlignment w:val="center"/>
    </w:pPr>
    <w:rPr>
      <w:rFonts w:ascii="宋体" w:hAnsi="宋体" w:cs="宋体"/>
      <w:color w:val="000000"/>
      <w:kern w:val="0"/>
      <w:sz w:val="18"/>
      <w:szCs w:val="18"/>
    </w:rPr>
  </w:style>
  <w:style w:type="paragraph" w:customStyle="1" w:styleId="xl97">
    <w:name w:val="xl97"/>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b/>
      <w:bCs/>
      <w:kern w:val="0"/>
      <w:sz w:val="24"/>
    </w:rPr>
  </w:style>
  <w:style w:type="paragraph" w:customStyle="1" w:styleId="xl66">
    <w:name w:val="xl66"/>
    <w:basedOn w:val="Normal"/>
    <w:qFormat/>
    <w:pPr>
      <w:widowControl/>
      <w:spacing w:before="100" w:beforeAutospacing="1" w:after="100" w:afterAutospacing="1"/>
      <w:jc w:val="left"/>
    </w:pPr>
    <w:rPr>
      <w:rFonts w:ascii="宋体" w:hAnsi="宋体" w:cs="宋体"/>
      <w:b/>
      <w:bCs/>
      <w:kern w:val="0"/>
      <w:sz w:val="24"/>
    </w:rPr>
  </w:style>
  <w:style w:type="paragraph" w:customStyle="1" w:styleId="xl105">
    <w:name w:val="xl105"/>
    <w:basedOn w:val="Normal"/>
    <w:qFormat/>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b/>
      <w:bCs/>
      <w:color w:val="000000"/>
      <w:kern w:val="0"/>
      <w:sz w:val="24"/>
    </w:rPr>
  </w:style>
  <w:style w:type="paragraph" w:customStyle="1" w:styleId="xl88">
    <w:name w:val="xl88"/>
    <w:basedOn w:val="Normal"/>
    <w:qFormat/>
    <w:pPr>
      <w:widowControl/>
      <w:pBdr>
        <w:top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宋体" w:hAnsi="宋体" w:cs="宋体"/>
      <w:color w:val="000000"/>
      <w:kern w:val="0"/>
      <w:sz w:val="18"/>
      <w:szCs w:val="18"/>
    </w:rPr>
  </w:style>
  <w:style w:type="paragraph" w:customStyle="1" w:styleId="xl78">
    <w:name w:val="xl78"/>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Normal"/>
    <w:qFormat/>
    <w:pPr>
      <w:widowControl/>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宋体" w:hAnsi="宋体" w:cs="宋体"/>
      <w:kern w:val="0"/>
      <w:sz w:val="24"/>
    </w:rPr>
  </w:style>
  <w:style w:type="paragraph" w:customStyle="1" w:styleId="xl69">
    <w:name w:val="xl69"/>
    <w:basedOn w:val="Normal"/>
    <w:qFormat/>
    <w:pPr>
      <w:widowControl/>
      <w:pBdr>
        <w:top w:val="single" w:sz="8" w:space="0" w:color="auto"/>
      </w:pBdr>
      <w:shd w:val="clear" w:color="000000" w:fill="92D050"/>
      <w:spacing w:before="100" w:beforeAutospacing="1" w:after="100" w:afterAutospacing="1"/>
      <w:jc w:val="center"/>
    </w:pPr>
    <w:rPr>
      <w:rFonts w:ascii="宋体" w:hAnsi="宋体" w:cs="宋体"/>
      <w:kern w:val="0"/>
      <w:sz w:val="24"/>
    </w:rPr>
  </w:style>
  <w:style w:type="paragraph" w:customStyle="1" w:styleId="xl86">
    <w:name w:val="xl86"/>
    <w:basedOn w:val="Normal"/>
    <w:qFormat/>
    <w:pPr>
      <w:widowControl/>
      <w:pBdr>
        <w:bottom w:val="single" w:sz="8" w:space="0" w:color="auto"/>
      </w:pBdr>
      <w:spacing w:before="100" w:beforeAutospacing="1" w:after="100" w:afterAutospacing="1"/>
      <w:jc w:val="center"/>
      <w:textAlignment w:val="center"/>
    </w:pPr>
    <w:rPr>
      <w:rFonts w:ascii="宋体" w:hAnsi="宋体" w:cs="宋体"/>
      <w:kern w:val="0"/>
      <w:sz w:val="24"/>
    </w:rPr>
  </w:style>
  <w:style w:type="paragraph" w:customStyle="1" w:styleId="xl77">
    <w:name w:val="xl77"/>
    <w:basedOn w:val="Normal"/>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kern w:val="0"/>
      <w:sz w:val="24"/>
    </w:rPr>
  </w:style>
  <w:style w:type="paragraph" w:customStyle="1" w:styleId="xl76">
    <w:name w:val="xl76"/>
    <w:basedOn w:val="Normal"/>
    <w:qFormat/>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Normal"/>
    <w:qFormat/>
    <w:pPr>
      <w:widowControl/>
      <w:pBdr>
        <w:top w:val="single" w:sz="8" w:space="0" w:color="auto"/>
        <w:left w:val="single" w:sz="8" w:space="0" w:color="auto"/>
        <w:bottom w:val="single" w:sz="8" w:space="0" w:color="auto"/>
      </w:pBdr>
      <w:spacing w:before="100" w:beforeAutospacing="1" w:after="100" w:afterAutospacing="1"/>
      <w:jc w:val="center"/>
      <w:textAlignment w:val="center"/>
    </w:pPr>
    <w:rPr>
      <w:rFonts w:ascii="宋体" w:hAnsi="宋体" w:cs="宋体"/>
      <w:kern w:val="0"/>
      <w:sz w:val="24"/>
    </w:rPr>
  </w:style>
  <w:style w:type="paragraph" w:customStyle="1" w:styleId="xl87">
    <w:name w:val="xl87"/>
    <w:basedOn w:val="Normal"/>
    <w:qFormat/>
    <w:pPr>
      <w:widowControl/>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宋体" w:hAnsi="宋体" w:cs="宋体"/>
      <w:color w:val="000000"/>
      <w:kern w:val="0"/>
      <w:sz w:val="18"/>
      <w:szCs w:val="18"/>
    </w:rPr>
  </w:style>
  <w:style w:type="paragraph" w:styleId="ListParagraph">
    <w:name w:val="List Paragraph"/>
    <w:basedOn w:val="Normal"/>
    <w:uiPriority w:val="99"/>
    <w:unhideWhenUsed/>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yperlink" Target="https://d.book118.com/845002021231011112" TargetMode="External" /><Relationship Id="rId15" Type="http://schemas.openxmlformats.org/officeDocument/2006/relationships/header" Target="header10.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1158</Words>
  <Characters>6601</Characters>
  <Application>Microsoft Office Word</Application>
  <DocSecurity>0</DocSecurity>
  <Lines>55</Lines>
  <Paragraphs>15</Paragraphs>
  <ScaleCrop>false</ScaleCrop>
  <Company>ntvc</Company>
  <LinksUpToDate>false</LinksUpToDate>
  <CharactersWithSpaces>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南通职业大学校园广播系统更新及维护项目询价公告</dc:title>
  <dc:creator>lenovo</dc:creator>
  <cp:lastModifiedBy>Administrator</cp:lastModifiedBy>
  <cp:revision>41</cp:revision>
  <cp:lastPrinted>2020-06-15T07:01:00Z</cp:lastPrinted>
  <dcterms:created xsi:type="dcterms:W3CDTF">2019-02-28T00:28:00Z</dcterms:created>
  <dcterms:modified xsi:type="dcterms:W3CDTF">2020-06-17T01:09:45Z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