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港口物流业项目建设方案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4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_Toc1941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51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_Toc24251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_Toc19273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_Toc30283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_Toc3893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_Toc29395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_Toc2135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03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_Toc25703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7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_Toc8527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1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_Toc17021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8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_Toc13748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66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_Toc31866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7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_Toc6357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1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_Toc15341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4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_Toc19354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7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_Toc19817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7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_Toc8807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7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_Toc3417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5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_Toc25395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42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_Toc24642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2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_Toc25902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9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_Toc14929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4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_Toc18084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86" w:history="1">
        <w:r>
          <w:rPr>
            <w:rFonts w:ascii="仿宋" w:eastAsia="仿宋" w:hAnsi="仿宋" w:cs="仿宋" w:hint="eastAsia"/>
            <w:lang w:eastAsia="zh-CN"/>
          </w:rPr>
          <w:t>五、财务管理与成本控制</w:t>
        </w:r>
        <w:r>
          <w:tab/>
        </w:r>
        <w:r>
          <w:fldChar w:fldCharType="begin"/>
        </w:r>
        <w:r>
          <w:instrText xml:space="preserve"> PAGEREF _Toc6186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4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_Toc13064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1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_Toc6991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70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_Toc16970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9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_Toc20119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_Toc997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1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_Toc31631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79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_Toc6979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3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_Toc32703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7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_Toc16497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20" w:history="1">
        <w:r>
          <w:rPr>
            <w:rFonts w:ascii="仿宋" w:eastAsia="仿宋" w:hAnsi="仿宋" w:cs="仿宋" w:hint="eastAsia"/>
            <w:lang w:eastAsia="zh-CN"/>
          </w:rPr>
          <w:t>八、客户关系管理与市场拓展</w:t>
        </w:r>
        <w:r>
          <w:tab/>
        </w:r>
        <w:r>
          <w:fldChar w:fldCharType="begin"/>
        </w:r>
        <w:r>
          <w:instrText xml:space="preserve"> PAGEREF _Toc18720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3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_Toc20273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2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_Toc6992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79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_Toc8179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_Toc2876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_Toc314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9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_Toc19809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40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_Toc7540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821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_Toc4821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0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_Toc14420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16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_Toc21416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9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_Toc18469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2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_Toc6512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83" w:history="1">
        <w:r>
          <w:rPr>
            <w:rFonts w:ascii="仿宋" w:eastAsia="仿宋" w:hAnsi="仿宋" w:cs="仿宋" w:hint="eastAsia"/>
            <w:lang w:eastAsia="zh-CN"/>
          </w:rPr>
          <w:t>十二、经济效益与社会效益优化</w:t>
        </w:r>
        <w:r>
          <w:tab/>
        </w:r>
        <w:r>
          <w:fldChar w:fldCharType="begin"/>
        </w:r>
        <w:r>
          <w:instrText xml:space="preserve"> PAGEREF _Toc21183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8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_Toc13038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5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_Toc29435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50" w:history="1">
        <w:r>
          <w:rPr>
            <w:rFonts w:ascii="仿宋" w:eastAsia="仿宋" w:hAnsi="仿宋" w:cs="仿宋" w:hint="eastAsia"/>
            <w:lang w:eastAsia="zh-CN"/>
          </w:rPr>
          <w:t>十三、成果转化与推广应用</w:t>
        </w:r>
        <w:r>
          <w:tab/>
        </w:r>
        <w:r>
          <w:fldChar w:fldCharType="begin"/>
        </w:r>
        <w:r>
          <w:instrText xml:space="preserve"> PAGEREF _Toc16950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2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_Toc21202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9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_Toc24769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8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_Toc1948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6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_Toc12616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5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_Toc26875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73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_Toc13673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_Toc126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4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_Toc11604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2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_Toc24322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7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_Toc14877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45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_Toc20045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4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_Toc32614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3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_Toc18573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2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_Toc10102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6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_Toc11406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0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_Toc1280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1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_Toc7401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5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_Toc10275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27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_Toc10627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8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_Toc10348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7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_Toc7687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79" w:history="1">
        <w:r>
          <w:rPr>
            <w:rFonts w:ascii="仿宋" w:eastAsia="仿宋" w:hAnsi="仿宋" w:cs="仿宋" w:hint="eastAsia"/>
            <w:lang w:eastAsia="zh-CN"/>
          </w:rPr>
          <w:t>十九、创新驱动与持续发展</w:t>
        </w:r>
        <w:r>
          <w:tab/>
        </w:r>
        <w:r>
          <w:fldChar w:fldCharType="begin"/>
        </w:r>
        <w:r>
          <w:instrText xml:space="preserve"> PAGEREF _Toc13279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4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_Toc25934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7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_Toc13137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4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251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27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港口物流业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港口物流业项目将进行详细的生态影响评估，确保不会对当地的动植物种群和自然栖息地造成负面影响。如果项目地点附近有重要的生物栖息地或生态敏感区，项目将重新考虑建设地点或采取相应的保护措施。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港口物流业项目将积极采用可持续材料，如再生塑料和生物降解材料，以减少对环境的影响。项目还将推行废物减量和回收计划，例如通过再利用工业废料或建立回收系统。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港口物流业项目还将参与当地的环保活动和计划，如资助当地的环境保护项目或与社区合作进行环保宣传活动。通过这些活动，项目不仅能够提高自身的环境表现，还能在当地社区中树立积极的环保形象。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28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港口物流业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港口物流业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港口物流业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893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港口物流业项目将采用绿色屋顶和生态墙等环境友好型建筑设计，这些设计不仅有助于改善空气质量，还能为城市野生动植物提供栖息地。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港口物流业项目将建立高效的废水处理系统，确保所有工业废水在排放前都经过适当处理，达到或超过环保标准。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港口物流业项目将致力于使用清洁能源，如太阳能和风能，减少对化石燃料的依赖。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港口物流业项目将举办环保教育研讨会，向员工和当地社区普及环保知识，提升对环境保护重要性的认识。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939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在港口物流业项目启动前，将进行一系列深入的地质调查，包括钻探和土壤取样，以深入了解项目区域的地层结构和土壤组成。特别是对于土壤的承载能力和地下水位的深度进行详细评估。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港口物流业项目将通过地下水位监测系统定期检测水位变化，以预测和预防由高地下水位可能引起的地基问题。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港口物流业项目将进行详尽的水文和地形分析，以识别可能的洪水和泥石流风险区。基于这些分析，项目将设计防洪设施，如提高地基、构建防洪墙和排水沟。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港口物流业项目还将考虑建设排水系统，以减少地表水对土壤稳定性的影响。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完成初始的地质风险评估后，港口物流业项目将安装长期地质监测设备，如倾斜仪、裂缝计和地下水位计，以持续监测地质条件的变化。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13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港口物流业项目将通过这些措施来适应和尊重特殊环境条件，确保项目的可持续发展，同时减少对环境的负面影响。这不仅有助于保护自然和文化遗产，还能提升项目在社会责任方面的表现和形象。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5703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8527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7021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https://d.book118.com/845133220241011102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港口物流业项目建设方案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港口物流业项目建设方案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港口物流业项目建设方案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港口物流业项目建设方案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港口物流业项目建设方案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港口物流业项目建设方案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港口物流业项目建设方案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港口物流业项目建设方案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港口物流业项目建设方案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港口物流业项目建设方案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港口物流业项目建设方案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港口物流业项目建设方案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C8647F2"/>
    <w:rsid w:val="6C8647F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4513322024101110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2024-01-25T11:44:00Z</dcterms:created>
  <dcterms:modified xsi:type="dcterms:W3CDTF">2024-01-25T11:45:18Z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5AE1DD3D93474CFFA4024B1E4CE45A62_11</vt:lpwstr>
  </property>
  <property fmtid="{D5CDD505-2E9C-101B-9397-08002B2CF9AE}" pid="3" name="KSOProductBuildVer">
    <vt:lpwstr>2052-12.1.0.16250</vt:lpwstr>
  </property>
</Properties>
</file>