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幼圆" w:eastAsia="幼圆" w:hAnsi="幼圆" w:cs="幼圆" w:hint="eastAsia"/>
          <w:b/>
          <w:sz w:val="32"/>
        </w:rPr>
      </w:pPr>
      <w:r>
        <w:rPr>
          <w:rFonts w:ascii="幼圆" w:eastAsia="幼圆" w:hAnsi="幼圆" w:cs="幼圆" w:hint="eastAsia"/>
          <w:b/>
          <w:sz w:val="32"/>
        </w:rPr>
        <w:t>大数据“杀熟”的法律规制研究</w:t>
      </w:r>
    </w:p>
    <w:sdt>
      <w:sdtPr>
        <w:rPr>
          <w:rFonts w:ascii="幼圆" w:eastAsia="幼圆" w:hAnsi="幼圆" w:cs="幼圆" w:hint="eastAsia"/>
          <w:b w:val="0"/>
          <w:bCs w:val="0"/>
          <w:color w:val="auto"/>
          <w:kern w:val="2"/>
          <w:sz w:val="24"/>
          <w:szCs w:val="22"/>
          <w:lang w:val="zh-CN"/>
        </w:rPr>
        <w:id w:val="938105941"/>
        <w:docPartObj>
          <w:docPartGallery w:val="Table of Contents"/>
          <w:docPartUnique/>
        </w:docPartObj>
      </w:sdtPr>
      <w:sdtEndPr>
        <w:rPr>
          <w:rFonts w:ascii="幼圆" w:eastAsia="幼圆" w:hAnsi="幼圆" w:cs="幼圆" w:hint="eastAsia"/>
          <w:b w:val="0"/>
          <w:bCs w:val="0"/>
          <w:color w:val="auto"/>
          <w:kern w:val="2"/>
          <w:sz w:val="24"/>
          <w:szCs w:val="22"/>
          <w:lang w:val="zh-CN"/>
        </w:rPr>
      </w:sdtEndPr>
      <w:sdtContent>
        <w:p>
          <w:pPr>
            <w:pStyle w:val="TOCHeading"/>
            <w:spacing w:before="326" w:beforeLines="100" w:after="228" w:afterLines="70"/>
            <w:jc w:val="center"/>
            <w:rPr>
              <w:rFonts w:ascii="幼圆" w:eastAsia="幼圆" w:hAnsi="幼圆" w:cs="幼圆" w:hint="eastAsia"/>
              <w:color w:val="000000" w:themeColor="text1"/>
              <w:sz w:val="32"/>
              <w:szCs w:val="24"/>
              <w14:textFill>
                <w14:solidFill>
                  <w14:schemeClr w14:val="tx1"/>
                </w14:solidFill>
              </w14:textFill>
            </w:rPr>
          </w:pPr>
          <w:r>
            <w:rPr>
              <w:rFonts w:ascii="幼圆" w:eastAsia="幼圆" w:hAnsi="幼圆" w:cs="幼圆" w:hint="eastAsia"/>
              <w:color w:val="000000" w:themeColor="text1"/>
              <w:sz w:val="32"/>
              <w:szCs w:val="24"/>
              <w:lang w:val="zh-CN"/>
              <w14:textFill>
                <w14:solidFill>
                  <w14:schemeClr w14:val="tx1"/>
                </w14:solidFill>
              </w14:textFill>
            </w:rPr>
            <w:t>目</w:t>
          </w:r>
          <w:r>
            <w:rPr>
              <w:rFonts w:ascii="幼圆" w:eastAsia="幼圆" w:hAnsi="幼圆" w:cs="幼圆" w:hint="eastAsia"/>
              <w:color w:val="000000" w:themeColor="text1"/>
              <w:sz w:val="32"/>
              <w:szCs w:val="24"/>
              <w:lang w:val="zh-CN"/>
              <w14:textFill>
                <w14:solidFill>
                  <w14:schemeClr w14:val="tx1"/>
                </w14:solidFill>
              </w14:textFill>
            </w:rPr>
            <w:t xml:space="preserve">  </w:t>
          </w:r>
          <w:r>
            <w:rPr>
              <w:rFonts w:ascii="幼圆" w:eastAsia="幼圆" w:hAnsi="幼圆" w:cs="幼圆" w:hint="eastAsia"/>
              <w:color w:val="000000" w:themeColor="text1"/>
              <w:sz w:val="32"/>
              <w:szCs w:val="24"/>
              <w:lang w:val="zh-CN"/>
              <w14:textFill>
                <w14:solidFill>
                  <w14:schemeClr w14:val="tx1"/>
                </w14:solidFill>
              </w14:textFill>
            </w:rPr>
            <w:t>录</w:t>
          </w:r>
        </w:p>
        <w:p>
          <w:pPr>
            <w:pStyle w:val="TOC1"/>
            <w:rPr>
              <w:rStyle w:val="Hyperlink"/>
              <w:rFonts w:ascii="幼圆" w:eastAsia="幼圆" w:hAnsi="幼圆" w:cs="幼圆" w:hint="eastAsia"/>
              <w:b/>
            </w:rPr>
          </w:pPr>
          <w:r>
            <w:rPr>
              <w:rFonts w:ascii="幼圆" w:eastAsia="幼圆" w:hAnsi="幼圆" w:cs="幼圆" w:hint="eastAsia"/>
              <w:szCs w:val="24"/>
            </w:rPr>
            <w:fldChar w:fldCharType="begin"/>
          </w:r>
          <w:r>
            <w:rPr>
              <w:rFonts w:ascii="幼圆" w:eastAsia="幼圆" w:hAnsi="幼圆" w:cs="幼圆" w:hint="eastAsia"/>
              <w:szCs w:val="24"/>
            </w:rPr>
            <w:instrText xml:space="preserve"> TOC \o "1-4" \h \z \u </w:instrText>
          </w:r>
          <w:r>
            <w:rPr>
              <w:rFonts w:ascii="幼圆" w:eastAsia="幼圆" w:hAnsi="幼圆" w:cs="幼圆" w:hint="eastAsia"/>
              <w:szCs w:val="24"/>
            </w:rPr>
            <w:fldChar w:fldCharType="separate"/>
          </w:r>
          <w:hyperlink w:anchor="_Toc71743634" w:history="1">
            <w:r>
              <w:rPr>
                <w:rStyle w:val="Hyperlink"/>
                <w:rFonts w:ascii="幼圆" w:eastAsia="幼圆" w:hAnsi="幼圆" w:cs="幼圆" w:hint="eastAsia"/>
                <w:b/>
              </w:rPr>
              <w:t>引</w:t>
            </w:r>
            <w:r>
              <w:rPr>
                <w:rStyle w:val="Hyperlink"/>
                <w:rFonts w:ascii="幼圆" w:eastAsia="幼圆" w:hAnsi="幼圆" w:cs="幼圆" w:hint="eastAsia"/>
                <w:b/>
              </w:rPr>
              <w:t xml:space="preserve">  </w:t>
            </w:r>
            <w:r>
              <w:rPr>
                <w:rStyle w:val="Hyperlink"/>
                <w:rFonts w:ascii="幼圆" w:eastAsia="幼圆" w:hAnsi="幼圆" w:cs="幼圆" w:hint="eastAsia"/>
                <w:b/>
              </w:rPr>
              <w:t>言</w:t>
            </w:r>
            <w:r>
              <w:rPr>
                <w:rStyle w:val="Hyperlink"/>
                <w:rFonts w:ascii="幼圆" w:eastAsia="幼圆" w:hAnsi="幼圆" w:cs="幼圆" w:hint="eastAsia"/>
                <w:b/>
              </w:rPr>
              <w:tab/>
            </w:r>
            <w:r>
              <w:rPr>
                <w:rStyle w:val="Hyperlink"/>
                <w:rFonts w:ascii="幼圆" w:eastAsia="幼圆" w:hAnsi="幼圆" w:cs="幼圆" w:hint="eastAsia"/>
                <w:b/>
              </w:rPr>
              <w:fldChar w:fldCharType="begin"/>
            </w:r>
            <w:r>
              <w:rPr>
                <w:rStyle w:val="Hyperlink"/>
                <w:rFonts w:ascii="幼圆" w:eastAsia="幼圆" w:hAnsi="幼圆" w:cs="幼圆" w:hint="eastAsia"/>
                <w:b/>
              </w:rPr>
              <w:instrText xml:space="preserve"> PAGEREF _Toc71743634 \h </w:instrText>
            </w:r>
            <w:r>
              <w:rPr>
                <w:rStyle w:val="Hyperlink"/>
                <w:rFonts w:ascii="幼圆" w:eastAsia="幼圆" w:hAnsi="幼圆" w:cs="幼圆" w:hint="eastAsia"/>
                <w:b/>
              </w:rPr>
              <w:fldChar w:fldCharType="separate"/>
            </w:r>
            <w:r>
              <w:rPr>
                <w:rStyle w:val="Hyperlink"/>
                <w:rFonts w:ascii="幼圆" w:eastAsia="幼圆" w:hAnsi="幼圆" w:cs="幼圆" w:hint="eastAsia"/>
                <w:b/>
              </w:rPr>
              <w:t>1</w:t>
            </w:r>
            <w:r>
              <w:rPr>
                <w:rStyle w:val="Hyperlink"/>
                <w:rFonts w:ascii="幼圆" w:eastAsia="幼圆" w:hAnsi="幼圆" w:cs="幼圆" w:hint="eastAsia"/>
                <w:b/>
              </w:rPr>
              <w:fldChar w:fldCharType="end"/>
            </w:r>
          </w:hyperlink>
        </w:p>
        <w:p>
          <w:pPr>
            <w:pStyle w:val="TOC1"/>
            <w:rPr>
              <w:rStyle w:val="Hyperlink"/>
              <w:rFonts w:ascii="幼圆" w:eastAsia="幼圆" w:hAnsi="幼圆" w:cs="幼圆" w:hint="eastAsia"/>
              <w:b/>
            </w:rPr>
          </w:pPr>
          <w:hyperlink w:anchor="_Toc71743635" w:history="1">
            <w:r>
              <w:rPr>
                <w:rStyle w:val="Hyperlink"/>
                <w:rFonts w:ascii="幼圆" w:eastAsia="幼圆" w:hAnsi="幼圆" w:cs="幼圆" w:hint="eastAsia"/>
                <w:b/>
              </w:rPr>
              <w:t>一、大数据“杀熟”的概述</w:t>
            </w:r>
            <w:r>
              <w:rPr>
                <w:rStyle w:val="Hyperlink"/>
                <w:rFonts w:ascii="幼圆" w:eastAsia="幼圆" w:hAnsi="幼圆" w:cs="幼圆" w:hint="eastAsia"/>
                <w:b/>
              </w:rPr>
              <w:tab/>
            </w:r>
            <w:r>
              <w:rPr>
                <w:rStyle w:val="Hyperlink"/>
                <w:rFonts w:ascii="幼圆" w:eastAsia="幼圆" w:hAnsi="幼圆" w:cs="幼圆" w:hint="eastAsia"/>
                <w:b/>
              </w:rPr>
              <w:fldChar w:fldCharType="begin"/>
            </w:r>
            <w:r>
              <w:rPr>
                <w:rStyle w:val="Hyperlink"/>
                <w:rFonts w:ascii="幼圆" w:eastAsia="幼圆" w:hAnsi="幼圆" w:cs="幼圆" w:hint="eastAsia"/>
                <w:b/>
              </w:rPr>
              <w:instrText xml:space="preserve"> PAGEREF _Toc71743635 \h </w:instrText>
            </w:r>
            <w:r>
              <w:rPr>
                <w:rStyle w:val="Hyperlink"/>
                <w:rFonts w:ascii="幼圆" w:eastAsia="幼圆" w:hAnsi="幼圆" w:cs="幼圆" w:hint="eastAsia"/>
                <w:b/>
              </w:rPr>
              <w:fldChar w:fldCharType="separate"/>
            </w:r>
            <w:r>
              <w:rPr>
                <w:rStyle w:val="Hyperlink"/>
                <w:rFonts w:ascii="幼圆" w:eastAsia="幼圆" w:hAnsi="幼圆" w:cs="幼圆" w:hint="eastAsia"/>
                <w:b/>
              </w:rPr>
              <w:t>2</w:t>
            </w:r>
            <w:r>
              <w:rPr>
                <w:rStyle w:val="Hyperlink"/>
                <w:rFonts w:ascii="幼圆" w:eastAsia="幼圆" w:hAnsi="幼圆" w:cs="幼圆" w:hint="eastAsia"/>
                <w:b/>
              </w:rPr>
              <w:fldChar w:fldCharType="end"/>
            </w:r>
          </w:hyperlink>
        </w:p>
        <w:p>
          <w:pPr>
            <w:pStyle w:val="TOC2"/>
            <w:tabs>
              <w:tab w:val="right" w:leader="dot" w:pos="8296"/>
            </w:tabs>
            <w:ind w:left="480"/>
            <w:rPr>
              <w:rFonts w:ascii="幼圆" w:eastAsia="幼圆" w:hAnsi="幼圆" w:cs="幼圆" w:hint="eastAsia"/>
              <w:sz w:val="21"/>
            </w:rPr>
          </w:pPr>
          <w:hyperlink w:anchor="_Toc71743636" w:history="1">
            <w:r>
              <w:rPr>
                <w:rStyle w:val="Hyperlink"/>
                <w:rFonts w:ascii="幼圆" w:eastAsia="幼圆" w:hAnsi="幼圆" w:cs="幼圆" w:hint="eastAsia"/>
              </w:rPr>
              <w:t>（一）大数据“杀熟”的概念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_Toc71743636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2"/>
            <w:tabs>
              <w:tab w:val="right" w:leader="dot" w:pos="8296"/>
            </w:tabs>
            <w:ind w:left="480"/>
            <w:rPr>
              <w:rFonts w:ascii="幼圆" w:eastAsia="幼圆" w:hAnsi="幼圆" w:cs="幼圆" w:hint="eastAsia"/>
              <w:sz w:val="21"/>
            </w:rPr>
          </w:pPr>
          <w:hyperlink w:anchor="_Toc71743637" w:history="1">
            <w:r>
              <w:rPr>
                <w:rStyle w:val="Hyperlink"/>
                <w:rFonts w:ascii="幼圆" w:eastAsia="幼圆" w:hAnsi="幼圆" w:cs="幼圆" w:hint="eastAsia"/>
              </w:rPr>
              <w:t>（二）大数据“杀熟”的特征</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_Toc71743637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38" w:history="1">
            <w:r>
              <w:rPr>
                <w:rStyle w:val="Hyperlink"/>
                <w:rFonts w:ascii="幼圆" w:eastAsia="幼圆" w:hAnsi="幼圆" w:cs="幼圆" w:hint="eastAsia"/>
              </w:rPr>
              <w:t xml:space="preserve">1. </w:t>
            </w:r>
            <w:r>
              <w:rPr>
                <w:rStyle w:val="Hyperlink"/>
                <w:rFonts w:ascii="幼圆" w:eastAsia="幼圆" w:hAnsi="幼圆" w:cs="幼圆" w:hint="eastAsia"/>
              </w:rPr>
              <w:t>实施对象的选择性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_Toc71743638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39" w:history="1">
            <w:r>
              <w:rPr>
                <w:rStyle w:val="Hyperlink"/>
                <w:rFonts w:ascii="幼圆" w:eastAsia="幼圆" w:hAnsi="幼圆" w:cs="幼圆" w:hint="eastAsia"/>
              </w:rPr>
              <w:t xml:space="preserve">2. </w:t>
            </w:r>
            <w:r>
              <w:rPr>
                <w:rStyle w:val="Hyperlink"/>
                <w:rFonts w:ascii="幼圆" w:eastAsia="幼圆" w:hAnsi="幼圆" w:cs="幼圆" w:hint="eastAsia"/>
              </w:rPr>
              <w:t>实施手段的隐蔽性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_Toc71743639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40" w:history="1">
            <w:r>
              <w:rPr>
                <w:rStyle w:val="Hyperlink"/>
                <w:rFonts w:ascii="幼圆" w:eastAsia="幼圆" w:hAnsi="幼圆" w:cs="幼圆" w:hint="eastAsia"/>
              </w:rPr>
              <w:t xml:space="preserve">3. </w:t>
            </w:r>
            <w:r>
              <w:rPr>
                <w:rStyle w:val="Hyperlink"/>
                <w:rFonts w:ascii="幼圆" w:eastAsia="幼圆" w:hAnsi="幼圆" w:cs="幼圆" w:hint="eastAsia"/>
              </w:rPr>
              <w:t>实施效果的精准性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_Toc71743640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8296"/>
            </w:tabs>
            <w:ind w:left="480"/>
            <w:rPr>
              <w:rFonts w:ascii="幼圆" w:eastAsia="幼圆" w:hAnsi="幼圆" w:cs="幼圆" w:hint="eastAsia"/>
              <w:sz w:val="21"/>
            </w:rPr>
          </w:pPr>
          <w:hyperlink w:anchor="_Toc71743641" w:history="1">
            <w:r>
              <w:rPr>
                <w:rStyle w:val="Hyperlink"/>
                <w:rFonts w:ascii="幼圆" w:eastAsia="幼圆" w:hAnsi="幼圆" w:cs="幼圆" w:hint="eastAsia"/>
              </w:rPr>
              <w:t>（三）大数据“杀熟”的形成原因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_Toc71743641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42" w:history="1">
            <w:r>
              <w:rPr>
                <w:rStyle w:val="Hyperlink"/>
                <w:rFonts w:ascii="幼圆" w:eastAsia="幼圆" w:hAnsi="幼圆" w:cs="幼圆" w:hint="eastAsia"/>
              </w:rPr>
              <w:t xml:space="preserve">1. </w:t>
            </w:r>
            <w:r>
              <w:rPr>
                <w:rStyle w:val="Hyperlink"/>
                <w:rFonts w:ascii="幼圆" w:eastAsia="幼圆" w:hAnsi="幼圆" w:cs="幼圆" w:hint="eastAsia"/>
              </w:rPr>
              <w:t>经营者的逐利本性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_Toc71743642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43" w:history="1">
            <w:r>
              <w:rPr>
                <w:rStyle w:val="Hyperlink"/>
                <w:rFonts w:ascii="幼圆" w:eastAsia="幼圆" w:hAnsi="幼圆" w:cs="幼圆" w:hint="eastAsia"/>
              </w:rPr>
              <w:t xml:space="preserve">2. </w:t>
            </w:r>
            <w:r>
              <w:rPr>
                <w:rStyle w:val="Hyperlink"/>
                <w:rFonts w:ascii="幼圆" w:eastAsia="幼圆" w:hAnsi="幼圆" w:cs="幼圆" w:hint="eastAsia"/>
              </w:rPr>
              <w:t>信息不对称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_Toc71743643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2"/>
            <w:tabs>
              <w:tab w:val="right" w:leader="dot" w:pos="8296"/>
            </w:tabs>
            <w:ind w:left="480"/>
            <w:rPr>
              <w:rFonts w:ascii="幼圆" w:eastAsia="幼圆" w:hAnsi="幼圆" w:cs="幼圆" w:hint="eastAsia"/>
              <w:sz w:val="21"/>
            </w:rPr>
          </w:pPr>
          <w:hyperlink w:anchor="_Toc71743644" w:history="1">
            <w:r>
              <w:rPr>
                <w:rStyle w:val="Hyperlink"/>
                <w:rFonts w:ascii="幼圆" w:eastAsia="幼圆" w:hAnsi="幼圆" w:cs="幼圆" w:hint="eastAsia"/>
              </w:rPr>
              <w:t>（四）大数据“杀熟”的性质</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_Toc71743644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45" w:history="1">
            <w:r>
              <w:rPr>
                <w:rStyle w:val="Hyperlink"/>
                <w:rFonts w:ascii="幼圆" w:eastAsia="幼圆" w:hAnsi="幼圆" w:cs="幼圆" w:hint="eastAsia"/>
              </w:rPr>
              <w:t xml:space="preserve">1. </w:t>
            </w:r>
            <w:r>
              <w:rPr>
                <w:rStyle w:val="Hyperlink"/>
                <w:rFonts w:ascii="幼圆" w:eastAsia="幼圆" w:hAnsi="幼圆" w:cs="幼圆" w:hint="eastAsia"/>
              </w:rPr>
              <w:t>价格歧视说</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_Toc71743645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46" w:history="1">
            <w:r>
              <w:rPr>
                <w:rStyle w:val="Hyperlink"/>
                <w:rFonts w:ascii="幼圆" w:eastAsia="幼圆" w:hAnsi="幼圆" w:cs="幼圆" w:hint="eastAsia"/>
              </w:rPr>
              <w:t xml:space="preserve">2. </w:t>
            </w:r>
            <w:r>
              <w:rPr>
                <w:rStyle w:val="Hyperlink"/>
                <w:rFonts w:ascii="幼圆" w:eastAsia="幼圆" w:hAnsi="幼圆" w:cs="幼圆" w:hint="eastAsia"/>
              </w:rPr>
              <w:t>价格欺诈说</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_Toc71743646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1"/>
            <w:rPr>
              <w:rStyle w:val="Hyperlink"/>
              <w:rFonts w:ascii="幼圆" w:eastAsia="幼圆" w:hAnsi="幼圆" w:cs="幼圆" w:hint="eastAsia"/>
              <w:b/>
            </w:rPr>
          </w:pPr>
          <w:hyperlink w:anchor="_Toc71743647" w:history="1">
            <w:r>
              <w:rPr>
                <w:rStyle w:val="Hyperlink"/>
                <w:rFonts w:ascii="幼圆" w:eastAsia="幼圆" w:hAnsi="幼圆" w:cs="幼圆" w:hint="eastAsia"/>
                <w:b/>
              </w:rPr>
              <w:t>二、大数据“杀熟”的法律规制必要性</w:t>
            </w:r>
            <w:r>
              <w:rPr>
                <w:rStyle w:val="Hyperlink"/>
                <w:rFonts w:ascii="幼圆" w:eastAsia="幼圆" w:hAnsi="幼圆" w:cs="幼圆" w:hint="eastAsia"/>
                <w:b/>
              </w:rPr>
              <w:tab/>
            </w:r>
            <w:r>
              <w:rPr>
                <w:rStyle w:val="Hyperlink"/>
                <w:rFonts w:ascii="幼圆" w:eastAsia="幼圆" w:hAnsi="幼圆" w:cs="幼圆" w:hint="eastAsia"/>
                <w:b/>
              </w:rPr>
              <w:fldChar w:fldCharType="begin"/>
            </w:r>
            <w:r>
              <w:rPr>
                <w:rStyle w:val="Hyperlink"/>
                <w:rFonts w:ascii="幼圆" w:eastAsia="幼圆" w:hAnsi="幼圆" w:cs="幼圆" w:hint="eastAsia"/>
                <w:b/>
              </w:rPr>
              <w:instrText xml:space="preserve"> PAGEREF _Toc71743647 \h </w:instrText>
            </w:r>
            <w:r>
              <w:rPr>
                <w:rStyle w:val="Hyperlink"/>
                <w:rFonts w:ascii="幼圆" w:eastAsia="幼圆" w:hAnsi="幼圆" w:cs="幼圆" w:hint="eastAsia"/>
                <w:b/>
              </w:rPr>
              <w:fldChar w:fldCharType="separate"/>
            </w:r>
            <w:r>
              <w:rPr>
                <w:rStyle w:val="Hyperlink"/>
                <w:rFonts w:ascii="幼圆" w:eastAsia="幼圆" w:hAnsi="幼圆" w:cs="幼圆" w:hint="eastAsia"/>
                <w:b/>
              </w:rPr>
              <w:t>6</w:t>
            </w:r>
            <w:r>
              <w:rPr>
                <w:rStyle w:val="Hyperlink"/>
                <w:rFonts w:ascii="幼圆" w:eastAsia="幼圆" w:hAnsi="幼圆" w:cs="幼圆" w:hint="eastAsia"/>
                <w:b/>
              </w:rPr>
              <w:fldChar w:fldCharType="end"/>
            </w:r>
          </w:hyperlink>
        </w:p>
        <w:p>
          <w:pPr>
            <w:pStyle w:val="TOC2"/>
            <w:tabs>
              <w:tab w:val="right" w:leader="dot" w:pos="8296"/>
            </w:tabs>
            <w:ind w:left="480"/>
            <w:rPr>
              <w:rFonts w:ascii="幼圆" w:eastAsia="幼圆" w:hAnsi="幼圆" w:cs="幼圆" w:hint="eastAsia"/>
              <w:sz w:val="21"/>
            </w:rPr>
          </w:pPr>
          <w:hyperlink w:anchor="_Toc71743648" w:history="1">
            <w:r>
              <w:rPr>
                <w:rStyle w:val="Hyperlink"/>
                <w:rFonts w:ascii="幼圆" w:eastAsia="幼圆" w:hAnsi="幼圆" w:cs="幼圆" w:hint="eastAsia"/>
              </w:rPr>
              <w:t>（一）大数据“杀熟”的危害性分析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_Toc71743648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49" w:history="1">
            <w:r>
              <w:rPr>
                <w:rStyle w:val="Hyperlink"/>
                <w:rFonts w:ascii="幼圆" w:eastAsia="幼圆" w:hAnsi="幼圆" w:cs="幼圆" w:hint="eastAsia"/>
              </w:rPr>
              <w:t xml:space="preserve">1. </w:t>
            </w:r>
            <w:r>
              <w:rPr>
                <w:rStyle w:val="Hyperlink"/>
                <w:rFonts w:ascii="幼圆" w:eastAsia="幼圆" w:hAnsi="幼圆" w:cs="幼圆" w:hint="eastAsia"/>
              </w:rPr>
              <w:t>大数据“杀熟”违反明码标价义务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_Toc71743649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50" w:history="1">
            <w:r>
              <w:rPr>
                <w:rStyle w:val="Hyperlink"/>
                <w:rFonts w:ascii="幼圆" w:eastAsia="幼圆" w:hAnsi="幼圆" w:cs="幼圆" w:hint="eastAsia"/>
              </w:rPr>
              <w:t xml:space="preserve">2. </w:t>
            </w:r>
            <w:r>
              <w:rPr>
                <w:rStyle w:val="Hyperlink"/>
                <w:rFonts w:ascii="幼圆" w:eastAsia="幼圆" w:hAnsi="幼圆" w:cs="幼圆" w:hint="eastAsia"/>
              </w:rPr>
              <w:t>大数据“杀熟”损害消费者知情权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_Toc71743650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51" w:history="1">
            <w:r>
              <w:rPr>
                <w:rStyle w:val="Hyperlink"/>
                <w:rFonts w:ascii="幼圆" w:eastAsia="幼圆" w:hAnsi="幼圆" w:cs="幼圆" w:hint="eastAsia"/>
              </w:rPr>
              <w:t xml:space="preserve">3. </w:t>
            </w:r>
            <w:r>
              <w:rPr>
                <w:rStyle w:val="Hyperlink"/>
                <w:rFonts w:ascii="幼圆" w:eastAsia="幼圆" w:hAnsi="幼圆" w:cs="幼圆" w:hint="eastAsia"/>
              </w:rPr>
              <w:t>大数据“杀熟”侵犯公平交易权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_Toc71743651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2"/>
            <w:tabs>
              <w:tab w:val="right" w:leader="dot" w:pos="8296"/>
            </w:tabs>
            <w:ind w:left="480"/>
            <w:rPr>
              <w:rFonts w:ascii="幼圆" w:eastAsia="幼圆" w:hAnsi="幼圆" w:cs="幼圆" w:hint="eastAsia"/>
              <w:sz w:val="21"/>
            </w:rPr>
          </w:pPr>
          <w:hyperlink w:anchor="_Toc71743652" w:history="1">
            <w:r>
              <w:rPr>
                <w:rStyle w:val="Hyperlink"/>
                <w:rFonts w:ascii="幼圆" w:eastAsia="幼圆" w:hAnsi="幼圆" w:cs="幼圆" w:hint="eastAsia"/>
              </w:rPr>
              <w:t>（二）规制大数据“杀熟”的意义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_Toc71743652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53" w:history="1">
            <w:r>
              <w:rPr>
                <w:rStyle w:val="Hyperlink"/>
                <w:rFonts w:ascii="幼圆" w:eastAsia="幼圆" w:hAnsi="幼圆" w:cs="幼圆" w:hint="eastAsia"/>
              </w:rPr>
              <w:t xml:space="preserve">1. </w:t>
            </w:r>
            <w:r>
              <w:rPr>
                <w:rStyle w:val="Hyperlink"/>
                <w:rFonts w:ascii="幼圆" w:eastAsia="幼圆" w:hAnsi="幼圆" w:cs="幼圆" w:hint="eastAsia"/>
              </w:rPr>
              <w:t>有利于维护市场经济秩序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_Toc71743653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54" w:history="1">
            <w:r>
              <w:rPr>
                <w:rStyle w:val="Hyperlink"/>
                <w:rFonts w:ascii="幼圆" w:eastAsia="幼圆" w:hAnsi="幼圆" w:cs="幼圆" w:hint="eastAsia"/>
              </w:rPr>
              <w:t xml:space="preserve">2. </w:t>
            </w:r>
            <w:r>
              <w:rPr>
                <w:rStyle w:val="Hyperlink"/>
                <w:rFonts w:ascii="幼圆" w:eastAsia="幼圆" w:hAnsi="幼圆" w:cs="幼圆" w:hint="eastAsia"/>
              </w:rPr>
              <w:t>有利于保护杀熟对象的公平权益</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_Toc71743654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1"/>
            <w:rPr>
              <w:rStyle w:val="Hyperlink"/>
              <w:rFonts w:ascii="幼圆" w:eastAsia="幼圆" w:hAnsi="幼圆" w:cs="幼圆" w:hint="eastAsia"/>
              <w:b/>
            </w:rPr>
          </w:pPr>
          <w:hyperlink w:anchor="_Toc71743655" w:history="1">
            <w:r>
              <w:rPr>
                <w:rStyle w:val="Hyperlink"/>
                <w:rFonts w:ascii="幼圆" w:eastAsia="幼圆" w:hAnsi="幼圆" w:cs="幼圆" w:hint="eastAsia"/>
                <w:b/>
              </w:rPr>
              <w:t>三、大数据“杀熟”的法律规制困境</w:t>
            </w:r>
            <w:r>
              <w:rPr>
                <w:rStyle w:val="Hyperlink"/>
                <w:rFonts w:ascii="幼圆" w:eastAsia="幼圆" w:hAnsi="幼圆" w:cs="幼圆" w:hint="eastAsia"/>
                <w:b/>
              </w:rPr>
              <w:tab/>
            </w:r>
            <w:r>
              <w:rPr>
                <w:rStyle w:val="Hyperlink"/>
                <w:rFonts w:ascii="幼圆" w:eastAsia="幼圆" w:hAnsi="幼圆" w:cs="幼圆" w:hint="eastAsia"/>
                <w:b/>
              </w:rPr>
              <w:fldChar w:fldCharType="begin"/>
            </w:r>
            <w:r>
              <w:rPr>
                <w:rStyle w:val="Hyperlink"/>
                <w:rFonts w:ascii="幼圆" w:eastAsia="幼圆" w:hAnsi="幼圆" w:cs="幼圆" w:hint="eastAsia"/>
                <w:b/>
              </w:rPr>
              <w:instrText xml:space="preserve"> PAGEREF _Toc71743655 \h </w:instrText>
            </w:r>
            <w:r>
              <w:rPr>
                <w:rStyle w:val="Hyperlink"/>
                <w:rFonts w:ascii="幼圆" w:eastAsia="幼圆" w:hAnsi="幼圆" w:cs="幼圆" w:hint="eastAsia"/>
                <w:b/>
              </w:rPr>
              <w:fldChar w:fldCharType="separate"/>
            </w:r>
            <w:r>
              <w:rPr>
                <w:rStyle w:val="Hyperlink"/>
                <w:rFonts w:ascii="幼圆" w:eastAsia="幼圆" w:hAnsi="幼圆" w:cs="幼圆" w:hint="eastAsia"/>
                <w:b/>
              </w:rPr>
              <w:t>9</w:t>
            </w:r>
            <w:r>
              <w:rPr>
                <w:rStyle w:val="Hyperlink"/>
                <w:rFonts w:ascii="幼圆" w:eastAsia="幼圆" w:hAnsi="幼圆" w:cs="幼圆" w:hint="eastAsia"/>
                <w:b/>
              </w:rPr>
              <w:fldChar w:fldCharType="end"/>
            </w:r>
          </w:hyperlink>
        </w:p>
        <w:p>
          <w:pPr>
            <w:pStyle w:val="TOC2"/>
            <w:tabs>
              <w:tab w:val="right" w:leader="dot" w:pos="8296"/>
            </w:tabs>
            <w:ind w:left="480"/>
            <w:rPr>
              <w:rFonts w:ascii="幼圆" w:eastAsia="幼圆" w:hAnsi="幼圆" w:cs="幼圆" w:hint="eastAsia"/>
              <w:sz w:val="21"/>
            </w:rPr>
          </w:pPr>
          <w:hyperlink w:anchor="_Toc71743656" w:history="1">
            <w:r>
              <w:rPr>
                <w:rStyle w:val="Hyperlink"/>
                <w:rFonts w:ascii="幼圆" w:eastAsia="幼圆" w:hAnsi="幼圆" w:cs="幼圆" w:hint="eastAsia"/>
              </w:rPr>
              <w:t>（一）大数据收集与使用的规定过于原则性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_Toc71743656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sectPr>
              <w:footerReference w:type="even" r:id="rId6"/>
              <w:footerReference w:type="default" r:id="rId7"/>
              <w:footnotePr>
                <w:numFmt w:val="chicago"/>
                <w:numRestart w:val="eachPage"/>
              </w:footnotePr>
              <w:pgSz w:w="11906" w:h="16838"/>
              <w:pgMar w:top="1440" w:right="1800" w:bottom="1440" w:left="1800" w:header="851" w:footer="992" w:gutter="0"/>
              <w:pgNumType w:fmt="numberInDash" w:start="1"/>
              <w:cols w:num="1" w:space="425"/>
              <w:docGrid w:type="lines" w:linePitch="326" w:charSpace="0"/>
            </w:sectPr>
          </w:pPr>
          <w:hyperlink w:anchor="_Toc71743657" w:history="1">
            <w:r>
              <w:rPr>
                <w:rStyle w:val="Hyperlink"/>
                <w:rFonts w:ascii="幼圆" w:eastAsia="幼圆" w:hAnsi="幼圆" w:cs="幼圆" w:hint="eastAsia"/>
              </w:rPr>
              <w:t xml:space="preserve">1. </w:t>
            </w:r>
            <w:r>
              <w:rPr>
                <w:rStyle w:val="Hyperlink"/>
                <w:rFonts w:ascii="幼圆" w:eastAsia="幼圆" w:hAnsi="幼圆" w:cs="幼圆" w:hint="eastAsia"/>
              </w:rPr>
              <w:t>对大数据的过度收集难以防范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_Toc71743657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sdtContent>
    </w:sdt>
    <w:sdt>
      <w:sdtPr>
        <w:rPr>
          <w:rFonts w:ascii="幼圆" w:eastAsia="幼圆" w:hAnsi="幼圆" w:cs="幼圆" w:hint="eastAsia"/>
          <w:b w:val="0"/>
          <w:bCs w:val="0"/>
          <w:color w:val="auto"/>
          <w:kern w:val="2"/>
          <w:sz w:val="24"/>
          <w:szCs w:val="22"/>
          <w:lang w:val="zh-CN"/>
        </w:rPr>
        <w:id w:val="1427828396"/>
        <w:docPartObj>
          <w:docPartGallery w:val="Table of Contents"/>
          <w:docPartUnique/>
        </w:docPartObj>
      </w:sdtPr>
      <w:sdtEndPr>
        <w:rPr>
          <w:rFonts w:ascii="幼圆" w:eastAsia="幼圆" w:hAnsi="幼圆" w:cs="幼圆" w:hint="eastAsia"/>
          <w:b w:val="0"/>
          <w:bCs w:val="0"/>
          <w:color w:val="auto"/>
          <w:kern w:val="2"/>
          <w:sz w:val="24"/>
          <w:szCs w:val="22"/>
          <w:lang w:val="zh-CN"/>
        </w:rPr>
      </w:sdtEndPr>
      <w:sdtContent>
        <w:p>
          <w:pPr>
            <w:pStyle w:val="TOC3"/>
            <w:tabs>
              <w:tab w:val="right" w:leader="dot" w:pos="8296"/>
            </w:tabs>
            <w:ind w:left="960"/>
            <w:rPr>
              <w:rFonts w:ascii="幼圆" w:eastAsia="幼圆" w:hAnsi="幼圆" w:cs="幼圆" w:hint="eastAsia"/>
              <w:sz w:val="21"/>
            </w:rPr>
          </w:pPr>
          <w:hyperlink w:anchor="_Toc71743658" w:history="1">
            <w:r>
              <w:rPr>
                <w:rStyle w:val="Hyperlink"/>
                <w:rFonts w:ascii="幼圆" w:eastAsia="幼圆" w:hAnsi="幼圆" w:cs="幼圆" w:hint="eastAsia"/>
              </w:rPr>
              <w:t xml:space="preserve">2. </w:t>
            </w:r>
            <w:r>
              <w:rPr>
                <w:rStyle w:val="Hyperlink"/>
                <w:rFonts w:ascii="幼圆" w:eastAsia="幼圆" w:hAnsi="幼圆" w:cs="幼圆" w:hint="eastAsia"/>
              </w:rPr>
              <w:t>对形同虚设的同意权约束困境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_Toc71743658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59" w:history="1">
            <w:r>
              <w:rPr>
                <w:rStyle w:val="Hyperlink"/>
                <w:rFonts w:ascii="幼圆" w:eastAsia="幼圆" w:hAnsi="幼圆" w:cs="幼圆" w:hint="eastAsia"/>
              </w:rPr>
              <w:t xml:space="preserve">3. </w:t>
            </w:r>
            <w:r>
              <w:rPr>
                <w:rStyle w:val="Hyperlink"/>
                <w:rFonts w:ascii="幼圆" w:eastAsia="幼圆" w:hAnsi="幼圆" w:cs="幼圆" w:hint="eastAsia"/>
              </w:rPr>
              <w:t>对大数据的滥用难以规范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_Toc71743659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2"/>
            <w:tabs>
              <w:tab w:val="right" w:leader="dot" w:pos="8296"/>
            </w:tabs>
            <w:ind w:left="480"/>
            <w:rPr>
              <w:rFonts w:ascii="幼圆" w:eastAsia="幼圆" w:hAnsi="幼圆" w:cs="幼圆" w:hint="eastAsia"/>
              <w:sz w:val="21"/>
            </w:rPr>
          </w:pPr>
          <w:hyperlink w:anchor="_Toc71743660" w:history="1">
            <w:r>
              <w:rPr>
                <w:rStyle w:val="Hyperlink"/>
                <w:rFonts w:ascii="幼圆" w:eastAsia="幼圆" w:hAnsi="幼圆" w:cs="幼圆" w:hint="eastAsia"/>
              </w:rPr>
              <w:t>（二）大数据“杀熟”规制制度的适用局限性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_Toc71743660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61" w:history="1">
            <w:r>
              <w:rPr>
                <w:rStyle w:val="Hyperlink"/>
                <w:rFonts w:ascii="幼圆" w:eastAsia="幼圆" w:hAnsi="幼圆" w:cs="幼圆" w:hint="eastAsia"/>
              </w:rPr>
              <w:t xml:space="preserve">1. </w:t>
            </w:r>
            <w:r>
              <w:rPr>
                <w:rStyle w:val="Hyperlink"/>
                <w:rFonts w:ascii="幼圆" w:eastAsia="幼圆" w:hAnsi="幼圆" w:cs="幼圆" w:hint="eastAsia"/>
              </w:rPr>
              <w:t>适用的主体范围狭窄且不统一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_Toc71743661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62" w:history="1">
            <w:r>
              <w:rPr>
                <w:rStyle w:val="Hyperlink"/>
                <w:rFonts w:ascii="幼圆" w:eastAsia="幼圆" w:hAnsi="幼圆" w:cs="幼圆" w:hint="eastAsia"/>
              </w:rPr>
              <w:t xml:space="preserve">2. </w:t>
            </w:r>
            <w:r>
              <w:rPr>
                <w:rStyle w:val="Hyperlink"/>
                <w:rFonts w:ascii="幼圆" w:eastAsia="幼圆" w:hAnsi="幼圆" w:cs="幼圆" w:hint="eastAsia"/>
              </w:rPr>
              <w:t>适用的责任规定不一致且自由裁量权过大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_Toc71743662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2"/>
            <w:tabs>
              <w:tab w:val="right" w:leader="dot" w:pos="8296"/>
            </w:tabs>
            <w:ind w:left="480"/>
            <w:rPr>
              <w:rFonts w:ascii="幼圆" w:eastAsia="幼圆" w:hAnsi="幼圆" w:cs="幼圆" w:hint="eastAsia"/>
              <w:sz w:val="21"/>
            </w:rPr>
          </w:pPr>
          <w:hyperlink w:anchor="_Toc71743663" w:history="1">
            <w:r>
              <w:rPr>
                <w:rStyle w:val="Hyperlink"/>
                <w:rFonts w:ascii="幼圆" w:eastAsia="幼圆" w:hAnsi="幼圆" w:cs="幼圆" w:hint="eastAsia"/>
              </w:rPr>
              <w:t>（三）大数据“杀熟”的维权难度高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_Toc71743663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64" w:history="1">
            <w:r>
              <w:rPr>
                <w:rStyle w:val="Hyperlink"/>
                <w:rFonts w:ascii="幼圆" w:eastAsia="幼圆" w:hAnsi="幼圆" w:cs="幼圆" w:hint="eastAsia"/>
              </w:rPr>
              <w:t xml:space="preserve">1. </w:t>
            </w:r>
            <w:r>
              <w:rPr>
                <w:rStyle w:val="Hyperlink"/>
                <w:rFonts w:ascii="幼圆" w:eastAsia="幼圆" w:hAnsi="幼圆" w:cs="幼圆" w:hint="eastAsia"/>
              </w:rPr>
              <w:t>杀熟行为难以辨别</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_Toc71743664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65" w:history="1">
            <w:r>
              <w:rPr>
                <w:rStyle w:val="Hyperlink"/>
                <w:rFonts w:ascii="幼圆" w:eastAsia="幼圆" w:hAnsi="幼圆" w:cs="幼圆" w:hint="eastAsia"/>
              </w:rPr>
              <w:t xml:space="preserve">2. </w:t>
            </w:r>
            <w:r>
              <w:rPr>
                <w:rStyle w:val="Hyperlink"/>
                <w:rFonts w:ascii="幼圆" w:eastAsia="幼圆" w:hAnsi="幼圆" w:cs="幼圆" w:hint="eastAsia"/>
              </w:rPr>
              <w:t>诉讼原告范围较窄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_Toc71743665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66" w:history="1">
            <w:r>
              <w:rPr>
                <w:rStyle w:val="Hyperlink"/>
                <w:rFonts w:ascii="幼圆" w:eastAsia="幼圆" w:hAnsi="幼圆" w:cs="幼圆" w:hint="eastAsia"/>
              </w:rPr>
              <w:t xml:space="preserve">3. </w:t>
            </w:r>
            <w:r>
              <w:rPr>
                <w:rStyle w:val="Hyperlink"/>
                <w:rFonts w:ascii="幼圆" w:eastAsia="幼圆" w:hAnsi="幼圆" w:cs="幼圆" w:hint="eastAsia"/>
              </w:rPr>
              <w:t>举证责任分配不当</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_Toc71743666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1"/>
            <w:rPr>
              <w:rStyle w:val="Hyperlink"/>
              <w:rFonts w:ascii="幼圆" w:eastAsia="幼圆" w:hAnsi="幼圆" w:cs="幼圆" w:hint="eastAsia"/>
              <w:b/>
            </w:rPr>
          </w:pPr>
          <w:hyperlink w:anchor="_Toc71743667" w:history="1">
            <w:r>
              <w:rPr>
                <w:rStyle w:val="Hyperlink"/>
                <w:rFonts w:ascii="幼圆" w:eastAsia="幼圆" w:hAnsi="幼圆" w:cs="幼圆" w:hint="eastAsia"/>
                <w:b/>
              </w:rPr>
              <w:t>四、大数据“杀熟”法律规制制度的完善</w:t>
            </w:r>
            <w:r>
              <w:rPr>
                <w:rStyle w:val="Hyperlink"/>
                <w:rFonts w:ascii="幼圆" w:eastAsia="幼圆" w:hAnsi="幼圆" w:cs="幼圆" w:hint="eastAsia"/>
                <w:b/>
              </w:rPr>
              <w:tab/>
            </w:r>
            <w:r>
              <w:rPr>
                <w:rStyle w:val="Hyperlink"/>
                <w:rFonts w:ascii="幼圆" w:eastAsia="幼圆" w:hAnsi="幼圆" w:cs="幼圆" w:hint="eastAsia"/>
                <w:b/>
              </w:rPr>
              <w:fldChar w:fldCharType="begin"/>
            </w:r>
            <w:r>
              <w:rPr>
                <w:rStyle w:val="Hyperlink"/>
                <w:rFonts w:ascii="幼圆" w:eastAsia="幼圆" w:hAnsi="幼圆" w:cs="幼圆" w:hint="eastAsia"/>
                <w:b/>
              </w:rPr>
              <w:instrText xml:space="preserve"> PAGEREF _Toc71743667 \h </w:instrText>
            </w:r>
            <w:r>
              <w:rPr>
                <w:rStyle w:val="Hyperlink"/>
                <w:rFonts w:ascii="幼圆" w:eastAsia="幼圆" w:hAnsi="幼圆" w:cs="幼圆" w:hint="eastAsia"/>
                <w:b/>
              </w:rPr>
              <w:fldChar w:fldCharType="separate"/>
            </w:r>
            <w:r>
              <w:rPr>
                <w:rStyle w:val="Hyperlink"/>
                <w:rFonts w:ascii="幼圆" w:eastAsia="幼圆" w:hAnsi="幼圆" w:cs="幼圆" w:hint="eastAsia"/>
                <w:b/>
              </w:rPr>
              <w:t>14</w:t>
            </w:r>
            <w:r>
              <w:rPr>
                <w:rStyle w:val="Hyperlink"/>
                <w:rFonts w:ascii="幼圆" w:eastAsia="幼圆" w:hAnsi="幼圆" w:cs="幼圆" w:hint="eastAsia"/>
                <w:b/>
              </w:rPr>
              <w:fldChar w:fldCharType="end"/>
            </w:r>
          </w:hyperlink>
        </w:p>
        <w:p>
          <w:pPr>
            <w:pStyle w:val="TOC2"/>
            <w:tabs>
              <w:tab w:val="right" w:leader="dot" w:pos="8296"/>
            </w:tabs>
            <w:ind w:left="480"/>
            <w:rPr>
              <w:rFonts w:ascii="幼圆" w:eastAsia="幼圆" w:hAnsi="幼圆" w:cs="幼圆" w:hint="eastAsia"/>
              <w:sz w:val="21"/>
            </w:rPr>
          </w:pPr>
          <w:hyperlink w:anchor="_Toc71743668" w:history="1">
            <w:r>
              <w:rPr>
                <w:rStyle w:val="Hyperlink"/>
                <w:rFonts w:ascii="幼圆" w:eastAsia="幼圆" w:hAnsi="幼圆" w:cs="幼圆" w:hint="eastAsia"/>
              </w:rPr>
              <w:t>（一）细化大数据收集与使用原则</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_Toc71743668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69" w:history="1">
            <w:r>
              <w:rPr>
                <w:rStyle w:val="Hyperlink"/>
                <w:rFonts w:ascii="幼圆" w:eastAsia="幼圆" w:hAnsi="幼圆" w:cs="幼圆" w:hint="eastAsia"/>
              </w:rPr>
              <w:t xml:space="preserve">1. </w:t>
            </w:r>
            <w:r>
              <w:rPr>
                <w:rStyle w:val="Hyperlink"/>
                <w:rFonts w:ascii="幼圆" w:eastAsia="幼圆" w:hAnsi="幼圆" w:cs="幼圆" w:hint="eastAsia"/>
              </w:rPr>
              <w:t>贯彻数据最小化原则</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_Toc71743669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70" w:history="1">
            <w:r>
              <w:rPr>
                <w:rStyle w:val="Hyperlink"/>
                <w:rFonts w:ascii="幼圆" w:eastAsia="幼圆" w:hAnsi="幼圆" w:cs="幼圆" w:hint="eastAsia"/>
              </w:rPr>
              <w:t xml:space="preserve">2. </w:t>
            </w:r>
            <w:r>
              <w:rPr>
                <w:rStyle w:val="Hyperlink"/>
                <w:rFonts w:ascii="幼圆" w:eastAsia="幼圆" w:hAnsi="幼圆" w:cs="幼圆" w:hint="eastAsia"/>
              </w:rPr>
              <w:t>适用数据透明原则</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_Toc71743670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71" w:history="1">
            <w:r>
              <w:rPr>
                <w:rStyle w:val="Hyperlink"/>
                <w:rFonts w:ascii="幼圆" w:eastAsia="幼圆" w:hAnsi="幼圆" w:cs="幼圆" w:hint="eastAsia"/>
              </w:rPr>
              <w:t xml:space="preserve">3. </w:t>
            </w:r>
            <w:r>
              <w:rPr>
                <w:rStyle w:val="Hyperlink"/>
                <w:rFonts w:ascii="幼圆" w:eastAsia="幼圆" w:hAnsi="幼圆" w:cs="幼圆" w:hint="eastAsia"/>
              </w:rPr>
              <w:t>落实“被遗忘权</w:t>
            </w:r>
            <w:r>
              <w:rPr>
                <w:rStyle w:val="Hyperlink"/>
                <w:rFonts w:ascii="幼圆" w:eastAsia="幼圆" w:hAnsi="幼圆" w:cs="幼圆" w:hint="eastAsia"/>
              </w:rPr>
              <w:t>”</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_Toc71743671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2"/>
            <w:tabs>
              <w:tab w:val="right" w:leader="dot" w:pos="8296"/>
            </w:tabs>
            <w:ind w:left="480"/>
            <w:rPr>
              <w:rFonts w:ascii="幼圆" w:eastAsia="幼圆" w:hAnsi="幼圆" w:cs="幼圆" w:hint="eastAsia"/>
              <w:sz w:val="21"/>
            </w:rPr>
          </w:pPr>
          <w:hyperlink w:anchor="_Toc71743672" w:history="1">
            <w:r>
              <w:rPr>
                <w:rStyle w:val="Hyperlink"/>
                <w:rFonts w:ascii="幼圆" w:eastAsia="幼圆" w:hAnsi="幼圆" w:cs="幼圆" w:hint="eastAsia"/>
              </w:rPr>
              <w:t>（二）完善大数据“杀熟”规制制度的适用</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_Toc71743672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73" w:history="1">
            <w:r>
              <w:rPr>
                <w:rStyle w:val="Hyperlink"/>
                <w:rFonts w:ascii="幼圆" w:eastAsia="幼圆" w:hAnsi="幼圆" w:cs="幼圆" w:hint="eastAsia"/>
              </w:rPr>
              <w:t xml:space="preserve">1. </w:t>
            </w:r>
            <w:r>
              <w:rPr>
                <w:rStyle w:val="Hyperlink"/>
                <w:rFonts w:ascii="幼圆" w:eastAsia="幼圆" w:hAnsi="幼圆" w:cs="幼圆" w:hint="eastAsia"/>
              </w:rPr>
              <w:t>统一并扩大主体范围</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_Toc71743673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74" w:history="1">
            <w:r>
              <w:rPr>
                <w:rStyle w:val="Hyperlink"/>
                <w:rFonts w:ascii="幼圆" w:eastAsia="幼圆" w:hAnsi="幼圆" w:cs="幼圆" w:hint="eastAsia"/>
              </w:rPr>
              <w:t xml:space="preserve">2. </w:t>
            </w:r>
            <w:r>
              <w:rPr>
                <w:rStyle w:val="Hyperlink"/>
                <w:rFonts w:ascii="幼圆" w:eastAsia="幼圆" w:hAnsi="幼圆" w:cs="幼圆" w:hint="eastAsia"/>
              </w:rPr>
              <w:t>统一责任规定并限制自由裁量权</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_Toc71743674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TOC2"/>
            <w:tabs>
              <w:tab w:val="right" w:leader="dot" w:pos="8296"/>
            </w:tabs>
            <w:ind w:left="480"/>
            <w:rPr>
              <w:rFonts w:ascii="幼圆" w:eastAsia="幼圆" w:hAnsi="幼圆" w:cs="幼圆" w:hint="eastAsia"/>
              <w:sz w:val="21"/>
            </w:rPr>
          </w:pPr>
          <w:hyperlink w:anchor="_Toc71743675" w:history="1">
            <w:r>
              <w:rPr>
                <w:rStyle w:val="Hyperlink"/>
                <w:rFonts w:ascii="幼圆" w:eastAsia="幼圆" w:hAnsi="幼圆" w:cs="幼圆" w:hint="eastAsia"/>
              </w:rPr>
              <w:t>（三）健全大数据“杀熟”的维权途径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_Toc71743675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76" w:history="1">
            <w:r>
              <w:rPr>
                <w:rStyle w:val="Hyperlink"/>
                <w:rFonts w:ascii="幼圆" w:eastAsia="幼圆" w:hAnsi="幼圆" w:cs="幼圆" w:hint="eastAsia"/>
              </w:rPr>
              <w:t xml:space="preserve">1. </w:t>
            </w:r>
            <w:r>
              <w:rPr>
                <w:rStyle w:val="Hyperlink"/>
                <w:rFonts w:ascii="幼圆" w:eastAsia="幼圆" w:hAnsi="幼圆" w:cs="幼圆" w:hint="eastAsia"/>
              </w:rPr>
              <w:t>明确算法公开的范围和对象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_Toc71743676 \h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77" w:history="1">
            <w:r>
              <w:rPr>
                <w:rStyle w:val="Hyperlink"/>
                <w:rFonts w:ascii="幼圆" w:eastAsia="幼圆" w:hAnsi="幼圆" w:cs="幼圆" w:hint="eastAsia"/>
              </w:rPr>
              <w:t xml:space="preserve">2. </w:t>
            </w:r>
            <w:r>
              <w:rPr>
                <w:rStyle w:val="Hyperlink"/>
                <w:rFonts w:ascii="幼圆" w:eastAsia="幼圆" w:hAnsi="幼圆" w:cs="幼圆" w:hint="eastAsia"/>
              </w:rPr>
              <w:t>扩大诉讼主体资格</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_Toc71743677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tabs>
              <w:tab w:val="right" w:leader="dot" w:pos="8296"/>
            </w:tabs>
            <w:ind w:left="960"/>
            <w:rPr>
              <w:rFonts w:ascii="幼圆" w:eastAsia="幼圆" w:hAnsi="幼圆" w:cs="幼圆" w:hint="eastAsia"/>
              <w:sz w:val="21"/>
            </w:rPr>
          </w:pPr>
          <w:hyperlink w:anchor="_Toc71743678" w:history="1">
            <w:r>
              <w:rPr>
                <w:rStyle w:val="Hyperlink"/>
                <w:rFonts w:ascii="幼圆" w:eastAsia="幼圆" w:hAnsi="幼圆" w:cs="幼圆" w:hint="eastAsia"/>
              </w:rPr>
              <w:t xml:space="preserve">3. </w:t>
            </w:r>
            <w:r>
              <w:rPr>
                <w:rStyle w:val="Hyperlink"/>
                <w:rFonts w:ascii="幼圆" w:eastAsia="幼圆" w:hAnsi="幼圆" w:cs="幼圆" w:hint="eastAsia"/>
              </w:rPr>
              <w:t>加强举证责任制度建设</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_Toc71743678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1"/>
            <w:rPr>
              <w:rFonts w:ascii="幼圆" w:eastAsia="幼圆" w:hAnsi="幼圆" w:cs="幼圆" w:hint="eastAsia"/>
              <w:b/>
              <w:sz w:val="21"/>
            </w:rPr>
          </w:pPr>
          <w:hyperlink w:anchor="_Toc71743679" w:history="1">
            <w:r>
              <w:rPr>
                <w:rStyle w:val="Hyperlink"/>
                <w:rFonts w:ascii="幼圆" w:eastAsia="幼圆" w:hAnsi="幼圆" w:cs="幼圆" w:hint="eastAsia"/>
                <w:b/>
              </w:rPr>
              <w:t>五、结语</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_Toc71743679 \h </w:instrText>
            </w:r>
            <w:r>
              <w:rPr>
                <w:rFonts w:ascii="幼圆" w:eastAsia="幼圆" w:hAnsi="幼圆" w:cs="幼圆" w:hint="eastAsia"/>
                <w:b/>
              </w:rPr>
              <w:fldChar w:fldCharType="separate"/>
            </w:r>
            <w:r>
              <w:rPr>
                <w:rFonts w:ascii="幼圆" w:eastAsia="幼圆" w:hAnsi="幼圆" w:cs="幼圆" w:hint="eastAsia"/>
                <w:b/>
              </w:rPr>
              <w:t>19</w:t>
            </w:r>
            <w:r>
              <w:rPr>
                <w:rFonts w:ascii="幼圆" w:eastAsia="幼圆" w:hAnsi="幼圆" w:cs="幼圆" w:hint="eastAsia"/>
                <w:b/>
              </w:rPr>
              <w:fldChar w:fldCharType="end"/>
            </w:r>
          </w:hyperlink>
        </w:p>
        <w:p>
          <w:pPr>
            <w:pStyle w:val="TOC1"/>
            <w:rPr>
              <w:rFonts w:ascii="幼圆" w:eastAsia="幼圆" w:hAnsi="幼圆" w:cs="幼圆" w:hint="eastAsia"/>
              <w:b/>
              <w:sz w:val="21"/>
            </w:rPr>
          </w:pPr>
          <w:hyperlink w:anchor="_Toc71743680" w:history="1">
            <w:r>
              <w:rPr>
                <w:rStyle w:val="Hyperlink"/>
                <w:rFonts w:ascii="幼圆" w:eastAsia="幼圆" w:hAnsi="幼圆" w:cs="幼圆" w:hint="eastAsia"/>
                <w:b/>
              </w:rPr>
              <w:t>参考文献</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_Toc71743680 \h </w:instrText>
            </w:r>
            <w:r>
              <w:rPr>
                <w:rFonts w:ascii="幼圆" w:eastAsia="幼圆" w:hAnsi="幼圆" w:cs="幼圆" w:hint="eastAsia"/>
                <w:b/>
              </w:rPr>
              <w:fldChar w:fldCharType="separate"/>
            </w:r>
            <w:r>
              <w:rPr>
                <w:rFonts w:ascii="幼圆" w:eastAsia="幼圆" w:hAnsi="幼圆" w:cs="幼圆" w:hint="eastAsia"/>
                <w:b/>
              </w:rPr>
              <w:t>20</w:t>
            </w:r>
            <w:r>
              <w:rPr>
                <w:rFonts w:ascii="幼圆" w:eastAsia="幼圆" w:hAnsi="幼圆" w:cs="幼圆" w:hint="eastAsia"/>
                <w:b/>
              </w:rPr>
              <w:fldChar w:fldCharType="end"/>
            </w:r>
          </w:hyperlink>
        </w:p>
        <w:p>
          <w:pPr>
            <w:rPr>
              <w:rFonts w:ascii="幼圆" w:eastAsia="幼圆" w:hAnsi="幼圆" w:cs="幼圆" w:hint="eastAsia"/>
            </w:rPr>
          </w:pPr>
          <w:r>
            <w:rPr>
              <w:rFonts w:ascii="幼圆" w:eastAsia="幼圆" w:hAnsi="幼圆" w:cs="幼圆" w:hint="eastAsia"/>
              <w:szCs w:val="24"/>
            </w:rPr>
            <w:fldChar w:fldCharType="end"/>
          </w:r>
        </w:p>
      </w:sdtContent>
    </w:sdt>
    <w:p>
      <w:pPr>
        <w:widowControl/>
        <w:jc w:val="left"/>
        <w:rPr>
          <w:rFonts w:ascii="幼圆" w:eastAsia="幼圆" w:hAnsi="幼圆" w:cs="幼圆" w:hint="eastAsia"/>
          <w:b/>
          <w:sz w:val="28"/>
        </w:rPr>
      </w:pPr>
    </w:p>
    <w:p>
      <w:pPr>
        <w:widowControl/>
        <w:jc w:val="left"/>
        <w:rPr>
          <w:rFonts w:ascii="幼圆" w:eastAsia="幼圆" w:hAnsi="幼圆" w:cs="幼圆" w:hint="eastAsia"/>
          <w:b/>
          <w:sz w:val="28"/>
        </w:rPr>
        <w:sectPr>
          <w:footerReference w:type="even" r:id="rId8"/>
          <w:footerReference w:type="default" r:id="rId9"/>
          <w:footnotePr>
            <w:numFmt w:val="chicago"/>
            <w:numRestart w:val="eachPage"/>
          </w:footnotePr>
          <w:type w:val="nextPage"/>
          <w:pgSz w:w="11906" w:h="16838"/>
          <w:pgMar w:top="1440" w:right="1800" w:bottom="1440" w:left="1800" w:header="851" w:footer="992" w:gutter="0"/>
          <w:pgNumType w:fmt="numberInDash" w:start="2"/>
          <w:cols w:num="1" w:space="425"/>
          <w:titlePg w:val="0"/>
          <w:docGrid w:type="lines" w:linePitch="326" w:charSpace="0"/>
        </w:sectPr>
      </w:pPr>
    </w:p>
    <w:p>
      <w:pPr>
        <w:pStyle w:val="Heading1"/>
        <w:spacing w:before="100" w:beforeAutospacing="1"/>
        <w:jc w:val="center"/>
        <w:rPr>
          <w:rFonts w:ascii="幼圆" w:eastAsia="幼圆" w:hAnsi="幼圆" w:cs="幼圆" w:hint="eastAsia"/>
          <w:sz w:val="32"/>
        </w:rPr>
      </w:pPr>
      <w:bookmarkStart w:id="0" w:name="_Toc71743634"/>
      <w:bookmarkStart w:id="1" w:name="_Toc70605261"/>
      <w:r>
        <w:rPr>
          <w:rFonts w:ascii="幼圆" w:eastAsia="幼圆" w:hAnsi="幼圆" w:cs="幼圆" w:hint="eastAsia"/>
          <w:sz w:val="32"/>
        </w:rPr>
        <w:t>引  言</w:t>
      </w:r>
      <w:bookmarkEnd w:id="0"/>
      <w:bookmarkEnd w:id="1"/>
    </w:p>
    <w:p>
      <w:pPr>
        <w:ind w:firstLine="480" w:firstLineChars="200"/>
        <w:rPr>
          <w:rFonts w:ascii="幼圆" w:eastAsia="幼圆" w:hAnsi="幼圆" w:cs="幼圆" w:hint="eastAsia"/>
          <w:szCs w:val="24"/>
        </w:rPr>
      </w:pPr>
      <w:r>
        <w:rPr>
          <w:rFonts w:ascii="幼圆" w:eastAsia="幼圆" w:hAnsi="幼圆" w:cs="幼圆" w:hint="eastAsia"/>
          <w:szCs w:val="24"/>
        </w:rPr>
        <w:t>2018年，大数据“杀熟”事件横空出世，占据各大互联网平台，成为了话题的中心，引发众多网友热议。网友们纷纷表示自己曾在机票、酒店、电影、外卖等多个领域遭遇过大数据“杀熟”，但却无计可施。同时，部分用户还反映道自己的个人信息被其他平台共享，但本人并不知情的问题</w:t>
      </w:r>
      <w:r>
        <w:rPr>
          <w:rStyle w:val="FootnoteReference"/>
          <w:rFonts w:ascii="幼圆" w:eastAsia="幼圆" w:hAnsi="幼圆" w:cs="幼圆" w:hint="eastAsia"/>
          <w:szCs w:val="24"/>
        </w:rPr>
        <w:footnoteReference w:id="2"/>
      </w:r>
      <w:r>
        <w:rPr>
          <w:rFonts w:ascii="幼圆" w:eastAsia="幼圆" w:hAnsi="幼圆" w:cs="幼圆" w:hint="eastAsia"/>
          <w:szCs w:val="24"/>
        </w:rPr>
        <w:t>。</w:t>
      </w:r>
    </w:p>
    <w:p>
      <w:pPr>
        <w:ind w:firstLine="480" w:firstLineChars="200"/>
        <w:rPr>
          <w:rFonts w:ascii="幼圆" w:eastAsia="幼圆" w:hAnsi="幼圆" w:cs="幼圆" w:hint="eastAsia"/>
          <w:szCs w:val="24"/>
        </w:rPr>
      </w:pPr>
      <w:r>
        <w:rPr>
          <w:rFonts w:ascii="幼圆" w:eastAsia="幼圆" w:hAnsi="幼圆" w:cs="幼圆" w:hint="eastAsia"/>
          <w:szCs w:val="24"/>
        </w:rPr>
        <w:t>当然,域外同样也存在"大数据杀熟"的现象:2000年,亚马逊公司一名用户拆除了 cookie 后,发现 DVD 的市场销售价格比之前要低,自此引起讨论</w:t>
      </w:r>
      <w:r>
        <w:rPr>
          <w:rStyle w:val="FootnoteReference"/>
          <w:rFonts w:ascii="幼圆" w:eastAsia="幼圆" w:hAnsi="幼圆" w:cs="幼圆" w:hint="eastAsia"/>
          <w:szCs w:val="24"/>
        </w:rPr>
        <w:footnoteReference w:id="3"/>
      </w:r>
      <w:r>
        <w:rPr>
          <w:rFonts w:ascii="幼圆" w:eastAsia="幼圆" w:hAnsi="幼圆" w:cs="幼圆" w:hint="eastAsia"/>
          <w:szCs w:val="24"/>
        </w:rPr>
        <w:t>。2012年《华尔街日报》报告称, Orbitz Worldwide 旅行社为 Mac 设备和 PC 用户提供的酒店服务比为 PC 设备和用户提供的更昂贵</w:t>
      </w:r>
      <w:r>
        <w:rPr>
          <w:rStyle w:val="FootnoteReference"/>
          <w:rFonts w:ascii="幼圆" w:eastAsia="幼圆" w:hAnsi="幼圆" w:cs="幼圆" w:hint="eastAsia"/>
          <w:szCs w:val="24"/>
        </w:rPr>
        <w:footnoteReference w:id="4"/>
      </w:r>
      <w:r>
        <w:rPr>
          <w:rFonts w:ascii="幼圆" w:eastAsia="幼圆" w:hAnsi="幼圆" w:cs="幼圆" w:hint="eastAsia"/>
          <w:szCs w:val="24"/>
        </w:rPr>
        <w:t>。2018年, Uber 被指针对相同路途,不同的消费者被分别收取了不同的费用</w:t>
      </w:r>
      <w:r>
        <w:rPr>
          <w:rStyle w:val="FootnoteReference"/>
          <w:rFonts w:ascii="幼圆" w:eastAsia="幼圆" w:hAnsi="幼圆" w:cs="幼圆" w:hint="eastAsia"/>
          <w:szCs w:val="24"/>
        </w:rPr>
        <w:footnoteReference w:id="5"/>
      </w:r>
      <w:r>
        <w:rPr>
          <w:rFonts w:ascii="幼圆" w:eastAsia="幼圆" w:hAnsi="幼圆" w:cs="幼圆" w:hint="eastAsia"/>
          <w:szCs w:val="24"/>
        </w:rPr>
        <w:t>。</w:t>
      </w:r>
    </w:p>
    <w:p>
      <w:pPr>
        <w:ind w:firstLine="480" w:firstLineChars="200"/>
        <w:rPr>
          <w:rFonts w:ascii="幼圆" w:eastAsia="幼圆" w:hAnsi="幼圆" w:cs="幼圆" w:hint="eastAsia"/>
          <w:szCs w:val="24"/>
        </w:rPr>
      </w:pPr>
      <w:r>
        <w:rPr>
          <w:rFonts w:ascii="幼圆" w:eastAsia="幼圆" w:hAnsi="幼圆" w:cs="幼圆" w:hint="eastAsia"/>
          <w:szCs w:val="24"/>
        </w:rPr>
        <w:t>诚然，互联网技术为人们的生产和生活带来了诸多便利，特别是在信息收集和使用方面，互联网技术的产生使得消费者只要动动手指便很快就能获取到信息，大数据收集和算法分析的广泛应用为消费者筛选出有效信息提供了便捷的通道，减少了消费者的搜索成本，同时也方便经营者制定出与之相匹配的营销策略，实现了资源的高效利用和合理分配，在一定程度上提高了交易活动效率，增加了社会福利。</w:t>
      </w:r>
    </w:p>
    <w:p>
      <w:pPr>
        <w:ind w:firstLine="480" w:firstLineChars="200"/>
        <w:rPr>
          <w:rFonts w:ascii="幼圆" w:eastAsia="幼圆" w:hAnsi="幼圆" w:cs="幼圆" w:hint="eastAsia"/>
          <w:szCs w:val="24"/>
        </w:rPr>
      </w:pPr>
      <w:r>
        <w:rPr>
          <w:rFonts w:ascii="幼圆" w:eastAsia="幼圆" w:hAnsi="幼圆" w:cs="幼圆" w:hint="eastAsia"/>
          <w:szCs w:val="24"/>
        </w:rPr>
        <w:t>然而，某些无良经营者恶意使用通过大数据技术收集来的信息，辜负消费者的信任，侵害消费者的信赖权益，背弃了诚实信用原则。一些大型企业可能也会利用自己的优势地位进行大数据“杀熟”，实施不正当的价格行为，攫取市场份额，从而排除和限制竞争对手，破坏有序的市场竞争秩序。不同于传统的杀熟行为，大数据“杀熟”具有实施对象的选择性、实施手段的隐蔽性以及实施结果的精准性，因此其法律规制亟待研究。</w:t>
      </w:r>
    </w:p>
    <w:p>
      <w:pPr>
        <w:widowControl/>
        <w:ind w:firstLine="480" w:firstLineChars="200"/>
        <w:jc w:val="left"/>
        <w:rPr>
          <w:rFonts w:ascii="幼圆" w:eastAsia="幼圆" w:hAnsi="幼圆" w:cs="幼圆" w:hint="eastAsia"/>
        </w:rPr>
        <w:sectPr>
          <w:headerReference w:type="even" r:id="rId10"/>
          <w:headerReference w:type="default" r:id="rId11"/>
          <w:footerReference w:type="even" r:id="rId12"/>
          <w:footerReference w:type="default" r:id="rId13"/>
          <w:footnotePr>
            <w:numFmt w:val="decimalEnclosedCircleChinese"/>
            <w:numRestart w:val="eachPage"/>
          </w:footnotePr>
          <w:pgSz w:w="11906" w:h="16838"/>
          <w:pgMar w:top="1440" w:right="1800" w:bottom="1440" w:left="1800" w:header="851" w:footer="992" w:gutter="0"/>
          <w:pgNumType w:start="3"/>
          <w:cols w:num="1" w:space="425"/>
          <w:docGrid w:type="lines" w:linePitch="326" w:charSpace="0"/>
        </w:sectPr>
      </w:pPr>
    </w:p>
    <w:p>
      <w:pPr>
        <w:widowControl/>
        <w:ind w:firstLine="480" w:firstLineChars="200"/>
        <w:jc w:val="left"/>
        <w:rPr>
          <w:rFonts w:ascii="幼圆" w:eastAsia="幼圆" w:hAnsi="幼圆" w:cs="幼圆" w:hint="eastAsia"/>
        </w:rPr>
      </w:pPr>
      <w:r>
        <w:rPr>
          <w:rFonts w:ascii="幼圆" w:eastAsia="幼圆" w:hAnsi="幼圆" w:cs="幼圆" w:hint="eastAsia"/>
        </w:rPr>
        <w:t>基于此，本文将对大数据“杀熟”行为的法律规制问题展开讨论，尝试着通过梳理大数据“杀熟”的相关理论，分析大数据“杀熟”的违法属性，结合大数据“杀熟”的现状和法律规制困境，对所需完善的问题提出自己的对策，以期为未来具体司法实践中大数据“杀熟”的案件起到帮助作用。</w:t>
      </w:r>
    </w:p>
    <w:p>
      <w:pPr>
        <w:widowControl/>
        <w:jc w:val="left"/>
        <w:rPr>
          <w:rFonts w:ascii="幼圆" w:eastAsia="幼圆" w:hAnsi="幼圆" w:cs="幼圆" w:hint="eastAsia"/>
        </w:rPr>
      </w:pPr>
    </w:p>
    <w:p>
      <w:pPr>
        <w:pStyle w:val="Heading1"/>
        <w:rPr>
          <w:rFonts w:ascii="幼圆" w:eastAsia="幼圆" w:hAnsi="幼圆" w:cs="幼圆" w:hint="eastAsia"/>
        </w:rPr>
      </w:pPr>
      <w:bookmarkStart w:id="3" w:name="_Toc71743635"/>
      <w:bookmarkStart w:id="4" w:name="_Toc70605262"/>
      <w:r>
        <w:rPr>
          <w:rFonts w:ascii="幼圆" w:eastAsia="幼圆" w:hAnsi="幼圆" w:cs="幼圆" w:hint="eastAsia"/>
        </w:rPr>
        <w:t>一</w:t>
      </w:r>
      <w:r>
        <w:rPr>
          <w:rFonts w:ascii="幼圆" w:eastAsia="幼圆" w:hAnsi="幼圆" w:cs="幼圆" w:hint="eastAsia"/>
        </w:rPr>
        <w:t>、大数据“杀熟”的概述</w:t>
      </w:r>
      <w:bookmarkEnd w:id="3"/>
      <w:bookmarkEnd w:id="4"/>
    </w:p>
    <w:p>
      <w:pPr>
        <w:pStyle w:val="Heading2"/>
        <w:ind w:firstLine="240"/>
        <w:rPr>
          <w:rFonts w:ascii="幼圆" w:eastAsia="幼圆" w:hAnsi="幼圆" w:cs="幼圆" w:hint="eastAsia"/>
        </w:rPr>
      </w:pPr>
      <w:bookmarkStart w:id="5" w:name="_Toc70605263"/>
      <w:bookmarkStart w:id="6" w:name="_Toc71743636"/>
      <w:r>
        <w:rPr>
          <w:rFonts w:ascii="幼圆" w:eastAsia="幼圆" w:hAnsi="幼圆" w:cs="幼圆" w:hint="eastAsia"/>
        </w:rPr>
        <w:t>（一）大数据“杀熟”的概念</w:t>
      </w:r>
      <w:bookmarkEnd w:id="5"/>
      <w:bookmarkEnd w:id="6"/>
    </w:p>
    <w:p>
      <w:pPr>
        <w:ind w:firstLine="480" w:firstLineChars="200"/>
        <w:rPr>
          <w:rFonts w:ascii="幼圆" w:eastAsia="幼圆" w:hAnsi="幼圆" w:cs="幼圆" w:hint="eastAsia"/>
          <w:szCs w:val="24"/>
        </w:rPr>
      </w:pPr>
      <w:r>
        <w:rPr>
          <w:rFonts w:ascii="幼圆" w:eastAsia="幼圆" w:hAnsi="幼圆" w:cs="幼圆" w:hint="eastAsia"/>
          <w:szCs w:val="24"/>
        </w:rPr>
        <w:t>“杀熟”这一概念对大多数人来说并不陌生，它是一种商业策略，在一定程度上可以提高经济效率，增加社会福利。“杀熟”行为</w:t>
      </w:r>
      <w:r>
        <w:rPr>
          <w:rStyle w:val="FootnoteReference"/>
          <w:rFonts w:ascii="幼圆" w:eastAsia="幼圆" w:hAnsi="幼圆" w:cs="幼圆" w:hint="eastAsia"/>
          <w:szCs w:val="24"/>
        </w:rPr>
        <w:footnoteReference w:id="6"/>
      </w:r>
      <w:r>
        <w:rPr>
          <w:rFonts w:ascii="幼圆" w:eastAsia="幼圆" w:hAnsi="幼圆" w:cs="幼圆" w:hint="eastAsia"/>
          <w:szCs w:val="24"/>
        </w:rPr>
        <w:t>是指经营者利用熟人群体的信任而产生的依赖性和用户粘性等特征，为其制定比新用户更高的价格，来赚取更多的利益。简言之，“杀熟”就是指为私利而损害熟人的利益。</w:t>
      </w:r>
    </w:p>
    <w:p>
      <w:pPr>
        <w:ind w:firstLine="480" w:firstLineChars="200"/>
        <w:rPr>
          <w:rFonts w:ascii="幼圆" w:eastAsia="幼圆" w:hAnsi="幼圆" w:cs="幼圆" w:hint="eastAsia"/>
        </w:rPr>
      </w:pPr>
      <w:r>
        <w:rPr>
          <w:rFonts w:ascii="幼圆" w:eastAsia="幼圆" w:hAnsi="幼圆" w:cs="幼圆" w:hint="eastAsia"/>
        </w:rPr>
        <w:t>大数据“杀熟”与传统的杀熟行为有共通之处，他们都是针对熟人群体，都是利用熟人群体的依赖性和用户粘性，都是对熟人群体实行差异化定价行为。但是二者</w:t>
      </w:r>
      <w:r>
        <w:rPr>
          <w:rFonts w:ascii="幼圆" w:eastAsia="幼圆" w:hAnsi="幼圆" w:cs="幼圆" w:hint="eastAsia"/>
          <w:szCs w:val="24"/>
        </w:rPr>
        <w:t>最主要的差别是在于手段的不同，即大数据“杀熟”是利用大数据收集和算法分析技术，传统的杀熟行为只是一种普通的营销手段。因此，大数据“杀熟”的概念便不言而喻。</w:t>
      </w:r>
    </w:p>
    <w:p>
      <w:pPr>
        <w:ind w:firstLine="480" w:firstLineChars="200"/>
        <w:rPr>
          <w:rFonts w:ascii="幼圆" w:eastAsia="幼圆" w:hAnsi="幼圆" w:cs="幼圆" w:hint="eastAsia"/>
          <w:szCs w:val="24"/>
        </w:rPr>
      </w:pPr>
      <w:r>
        <w:rPr>
          <w:rFonts w:ascii="幼圆" w:eastAsia="幼圆" w:hAnsi="幼圆" w:cs="幼圆" w:hint="eastAsia"/>
          <w:szCs w:val="24"/>
        </w:rPr>
        <w:t>大数据“杀熟”是指在大数据技术的支持下，经营者通过收集用户的个人信息数据，使用算法分析系统刻画出用户的消费“画像”，即购买意愿和支付水平等特点，再利用“熟客”的路径依赖和信息不对称，就同一商品或服务上实施差异化定价，以期获取更多利益的行为。其中，个人信息数据主要包括工作属性、支付能力、消费偏好、价格耐受度、近期需求等</w:t>
      </w:r>
      <w:r>
        <w:rPr>
          <w:rStyle w:val="FootnoteReference"/>
          <w:rFonts w:ascii="幼圆" w:eastAsia="幼圆" w:hAnsi="幼圆" w:cs="幼圆" w:hint="eastAsia"/>
          <w:szCs w:val="24"/>
        </w:rPr>
        <w:footnoteReference w:id="7"/>
      </w:r>
      <w:r>
        <w:rPr>
          <w:rFonts w:ascii="幼圆" w:eastAsia="幼圆" w:hAnsi="幼圆" w:cs="幼圆" w:hint="eastAsia"/>
          <w:szCs w:val="24"/>
        </w:rPr>
        <w:t>。</w:t>
      </w:r>
    </w:p>
    <w:p>
      <w:pPr>
        <w:ind w:firstLine="480" w:firstLineChars="200"/>
        <w:rPr>
          <w:rFonts w:ascii="幼圆" w:eastAsia="幼圆" w:hAnsi="幼圆" w:cs="幼圆" w:hint="eastAsia"/>
          <w:szCs w:val="24"/>
        </w:rPr>
      </w:pPr>
      <w:r>
        <w:rPr>
          <w:rFonts w:ascii="幼圆" w:eastAsia="幼圆" w:hAnsi="幼圆" w:cs="幼圆" w:hint="eastAsia"/>
          <w:szCs w:val="24"/>
        </w:rPr>
        <w:t>大数据“杀熟”看似错综复杂，但其行为路径主要可以分为四个步骤：采、存、算、用</w:t>
      </w:r>
      <w:r>
        <w:rPr>
          <w:rStyle w:val="FootnoteReference"/>
          <w:rFonts w:ascii="幼圆" w:eastAsia="幼圆" w:hAnsi="幼圆" w:cs="幼圆" w:hint="eastAsia"/>
          <w:szCs w:val="24"/>
        </w:rPr>
        <w:footnoteReference w:id="8"/>
      </w:r>
      <w:r>
        <w:rPr>
          <w:rFonts w:ascii="幼圆" w:eastAsia="幼圆" w:hAnsi="幼圆" w:cs="幼圆" w:hint="eastAsia"/>
          <w:szCs w:val="24"/>
        </w:rPr>
        <w:t>。具体而言就是，首先对用户的个人信息数据进行采集，然后将采集来的数据进行存储，再通过算法对存储的数据进行计算分析，最后将计算分析得出的用户“画像”进行实际利用，便可实现杀熟的目的。</w:t>
      </w:r>
    </w:p>
    <w:p>
      <w:pPr>
        <w:ind w:firstLine="480" w:firstLineChars="200"/>
        <w:rPr>
          <w:rFonts w:ascii="幼圆" w:eastAsia="幼圆" w:hAnsi="幼圆" w:cs="幼圆" w:hint="eastAsia"/>
          <w:highlight w:val="cyan"/>
        </w:rPr>
        <w:sectPr>
          <w:headerReference w:type="even" r:id="rId14"/>
          <w:headerReference w:type="default" r:id="rId15"/>
          <w:footerReference w:type="even" r:id="rId16"/>
          <w:footerReference w:type="default" r:id="rId17"/>
          <w:footnotePr>
            <w:numFmt w:val="decimalEnclosedCircleChinese"/>
            <w:numRestart w:val="eachPage"/>
          </w:footnotePr>
          <w:type w:val="nextPage"/>
          <w:pgSz w:w="11906" w:h="16838"/>
          <w:pgMar w:top="1440" w:right="1800" w:bottom="1440" w:left="1800" w:header="851" w:footer="992" w:gutter="0"/>
          <w:pgNumType w:start="4"/>
          <w:cols w:num="1" w:space="425"/>
          <w:titlePg w:val="0"/>
          <w:docGrid w:type="lines" w:linePitch="326" w:charSpace="0"/>
        </w:sectPr>
      </w:pPr>
    </w:p>
    <w:p>
      <w:pPr>
        <w:ind w:firstLine="480" w:firstLineChars="200"/>
        <w:rPr>
          <w:rFonts w:ascii="幼圆" w:eastAsia="幼圆" w:hAnsi="幼圆" w:cs="幼圆" w:hint="eastAsia"/>
          <w:highlight w:val="cyan"/>
        </w:rPr>
      </w:pPr>
      <w:r>
        <w:rPr>
          <w:rFonts w:ascii="幼圆" w:eastAsia="幼圆" w:hAnsi="幼圆" w:cs="幼圆" w:hint="eastAsia"/>
          <w:szCs w:val="24"/>
        </w:rPr>
        <w:t>大数据“杀熟”可以根据交易主体的不同分为两类，一类是经营者和消费者进行交易活动；另一类是经营者和经营者进行交易活动，即大型企业和中小型企业之间的交易。本文主要探讨经营者对消费者实施的大数据“杀熟”行为。</w:t>
      </w:r>
    </w:p>
    <w:p>
      <w:pPr>
        <w:ind w:firstLine="480" w:firstLineChars="200"/>
        <w:rPr>
          <w:rFonts w:ascii="幼圆" w:eastAsia="幼圆" w:hAnsi="幼圆" w:cs="幼圆" w:hint="eastAsia"/>
          <w:szCs w:val="24"/>
        </w:rPr>
      </w:pPr>
      <w:r>
        <w:rPr>
          <w:rFonts w:ascii="幼圆" w:eastAsia="幼圆" w:hAnsi="幼圆" w:cs="幼圆" w:hint="eastAsia"/>
          <w:szCs w:val="24"/>
        </w:rPr>
        <w:t>需要说明的是，现实生活中的大数据“杀熟”可能并不是只针对价格这一方面，还可能涉及商品或服务的数量、质量、付款条件、售后保障等多个方面，但本文仅对最常见的价格“杀熟”行为展开讨论。当然，这里的“价格”也不简单指商品或服务的标价，还包括优惠折扣、返现、积分等各种形式计算出来的价格，在分析价格差异时，应该比较消费者的最终支出。</w:t>
      </w:r>
    </w:p>
    <w:p>
      <w:pPr>
        <w:pStyle w:val="Heading2"/>
        <w:ind w:firstLine="240"/>
        <w:rPr>
          <w:rFonts w:ascii="幼圆" w:eastAsia="幼圆" w:hAnsi="幼圆" w:cs="幼圆" w:hint="eastAsia"/>
        </w:rPr>
      </w:pPr>
      <w:bookmarkStart w:id="7" w:name="_Toc70605264"/>
      <w:bookmarkStart w:id="8" w:name="_Toc71743637"/>
      <w:r>
        <w:rPr>
          <w:rFonts w:ascii="幼圆" w:eastAsia="幼圆" w:hAnsi="幼圆" w:cs="幼圆" w:hint="eastAsia"/>
        </w:rPr>
        <w:t>（二）大数据“杀熟”的特征</w:t>
      </w:r>
      <w:bookmarkEnd w:id="7"/>
      <w:bookmarkEnd w:id="8"/>
    </w:p>
    <w:p>
      <w:pPr>
        <w:ind w:firstLine="480" w:firstLineChars="200"/>
        <w:rPr>
          <w:rFonts w:ascii="幼圆" w:eastAsia="幼圆" w:hAnsi="幼圆" w:cs="幼圆" w:hint="eastAsia"/>
          <w:szCs w:val="24"/>
        </w:rPr>
      </w:pPr>
      <w:r>
        <w:rPr>
          <w:rFonts w:ascii="幼圆" w:eastAsia="幼圆" w:hAnsi="幼圆" w:cs="幼圆" w:hint="eastAsia"/>
          <w:szCs w:val="24"/>
        </w:rPr>
        <w:t>大数据“杀熟”作为互联网和大数据相结合的产物，其特征不同于传统的“杀熟”行为，具有实施对象的选择性、实施手段的隐蔽性以及实施效果的精准性等特点，使得大数据“杀熟”行为更加不易被发现和甄别，所造成的损害也更加地严重，规制难度也相对较高。</w:t>
      </w:r>
    </w:p>
    <w:p>
      <w:pPr>
        <w:pStyle w:val="Heading3"/>
        <w:ind w:firstLine="720"/>
        <w:rPr>
          <w:rFonts w:ascii="幼圆" w:eastAsia="幼圆" w:hAnsi="幼圆" w:cs="幼圆" w:hint="eastAsia"/>
        </w:rPr>
      </w:pPr>
      <w:bookmarkStart w:id="9" w:name="_Toc70605265"/>
      <w:bookmarkStart w:id="10" w:name="_Toc71743638"/>
      <w:r>
        <w:rPr>
          <w:rFonts w:ascii="幼圆" w:eastAsia="幼圆" w:hAnsi="幼圆" w:cs="幼圆" w:hint="eastAsia"/>
        </w:rPr>
        <w:t>1. 实施对象的选择性</w:t>
      </w:r>
      <w:bookmarkEnd w:id="9"/>
      <w:bookmarkEnd w:id="10"/>
      <w:r>
        <w:rPr>
          <w:rFonts w:ascii="幼圆" w:eastAsia="幼圆" w:hAnsi="幼圆" w:cs="幼圆" w:hint="eastAsia"/>
        </w:rPr>
        <w:t xml:space="preserve">  </w:t>
      </w:r>
    </w:p>
    <w:p>
      <w:pPr>
        <w:ind w:firstLine="480" w:firstLineChars="200"/>
        <w:rPr>
          <w:rFonts w:ascii="幼圆" w:eastAsia="幼圆" w:hAnsi="幼圆" w:cs="幼圆" w:hint="eastAsia"/>
          <w:szCs w:val="24"/>
        </w:rPr>
      </w:pPr>
      <w:r>
        <w:rPr>
          <w:rFonts w:ascii="幼圆" w:eastAsia="幼圆" w:hAnsi="幼圆" w:cs="幼圆" w:hint="eastAsia"/>
          <w:szCs w:val="24"/>
        </w:rPr>
        <w:t>大数据的杀熟对象并不是盲目选择、胡乱针对的，一般经营者会优先考虑对熟客下手，特别是那些对价格变动感知较弱的熟客和对昂贵定价耐受度高的熟客。选择熟客的理由很简单，他们在消费平台上残留的数据信息相对充分并且对习用的消费平台具有较高的信任和依赖，更方便算法系统分析出消费者的保留价格</w:t>
      </w:r>
      <w:r>
        <w:rPr>
          <w:rStyle w:val="FootnoteReference"/>
          <w:rFonts w:ascii="幼圆" w:eastAsia="幼圆" w:hAnsi="幼圆" w:cs="幼圆" w:hint="eastAsia"/>
          <w:szCs w:val="24"/>
        </w:rPr>
        <w:footnoteReference w:id="9"/>
      </w:r>
      <w:r>
        <w:rPr>
          <w:rFonts w:ascii="幼圆" w:eastAsia="幼圆" w:hAnsi="幼圆" w:cs="幼圆" w:hint="eastAsia"/>
          <w:szCs w:val="24"/>
        </w:rPr>
        <w:t>。</w:t>
      </w:r>
    </w:p>
    <w:p>
      <w:pPr>
        <w:ind w:firstLine="480" w:firstLineChars="200"/>
        <w:rPr>
          <w:rFonts w:ascii="幼圆" w:eastAsia="幼圆" w:hAnsi="幼圆" w:cs="幼圆" w:hint="eastAsia"/>
          <w:szCs w:val="24"/>
        </w:rPr>
      </w:pPr>
      <w:r>
        <w:rPr>
          <w:rFonts w:ascii="幼圆" w:eastAsia="幼圆" w:hAnsi="幼圆" w:cs="幼圆" w:hint="eastAsia"/>
          <w:szCs w:val="24"/>
        </w:rPr>
        <w:t>杀熟对象青睐于对价格不敏感的熟客，是因为他们不会轻易发现自己被杀熟，经营者便可以长期实行杀熟行为，对昂贵定价耐受度高的熟客，经营者可以将价格调至上限值，轻松赚取利益，同时又不用担心他们计较价格的不合理性。因此，这两类消费者是大数据“杀熟”的首要选择对象。</w:t>
      </w:r>
    </w:p>
    <w:p>
      <w:pPr>
        <w:pStyle w:val="Heading3"/>
        <w:ind w:firstLine="720"/>
        <w:rPr>
          <w:rFonts w:ascii="幼圆" w:eastAsia="幼圆" w:hAnsi="幼圆" w:cs="幼圆" w:hint="eastAsia"/>
        </w:rPr>
      </w:pPr>
      <w:bookmarkStart w:id="11" w:name="_Toc70605266"/>
      <w:bookmarkStart w:id="12" w:name="_Toc71743639"/>
      <w:r>
        <w:rPr>
          <w:rFonts w:ascii="幼圆" w:eastAsia="幼圆" w:hAnsi="幼圆" w:cs="幼圆" w:hint="eastAsia"/>
        </w:rPr>
        <w:t>2. 实施手段的隐蔽性</w:t>
      </w:r>
      <w:bookmarkEnd w:id="11"/>
      <w:bookmarkEnd w:id="12"/>
      <w:r>
        <w:rPr>
          <w:rFonts w:ascii="幼圆" w:eastAsia="幼圆" w:hAnsi="幼圆" w:cs="幼圆" w:hint="eastAsia"/>
        </w:rPr>
        <w:t xml:space="preserve">  </w:t>
      </w:r>
    </w:p>
    <w:p>
      <w:pPr>
        <w:ind w:firstLine="480" w:firstLineChars="200"/>
        <w:rPr>
          <w:rFonts w:ascii="幼圆" w:eastAsia="幼圆" w:hAnsi="幼圆" w:cs="幼圆" w:hint="eastAsia"/>
          <w:szCs w:val="24"/>
        </w:rPr>
        <w:sectPr>
          <w:headerReference w:type="even" r:id="rId18"/>
          <w:headerReference w:type="default" r:id="rId19"/>
          <w:footerReference w:type="even" r:id="rId20"/>
          <w:footerReference w:type="default" r:id="rId21"/>
          <w:footnotePr>
            <w:numFmt w:val="decimalEnclosedCircleChinese"/>
            <w:numRestart w:val="eachPage"/>
          </w:footnotePr>
          <w:type w:val="nextPage"/>
          <w:pgSz w:w="11906" w:h="16838"/>
          <w:pgMar w:top="1440" w:right="1800" w:bottom="1440" w:left="1800" w:header="851" w:footer="992" w:gutter="0"/>
          <w:pgNumType w:start="5"/>
          <w:cols w:num="1" w:space="425"/>
          <w:titlePg w:val="0"/>
          <w:docGrid w:type="lines" w:linePitch="326" w:charSpace="0"/>
        </w:sectPr>
      </w:pPr>
    </w:p>
    <w:p>
      <w:pPr>
        <w:ind w:firstLine="480" w:firstLineChars="200"/>
        <w:rPr>
          <w:rFonts w:ascii="幼圆" w:eastAsia="幼圆" w:hAnsi="幼圆" w:cs="幼圆" w:hint="eastAsia"/>
          <w:szCs w:val="24"/>
        </w:rPr>
      </w:pPr>
      <w:r>
        <w:rPr>
          <w:rFonts w:ascii="幼圆" w:eastAsia="幼圆" w:hAnsi="幼圆" w:cs="幼圆" w:hint="eastAsia"/>
          <w:szCs w:val="24"/>
        </w:rPr>
        <w:t>传统的“杀熟”行为往往较为困难，因为实体商店想要针对每一个消费者定制独一无二的商品价格需要耗费较大的人力、物力、财力才能实现，且消费者对于实体商店里面的产品价格敏感度较高，很容易便可以察觉出价格的变化</w:t>
      </w:r>
      <w:r>
        <w:rPr>
          <w:rStyle w:val="FootnoteReference"/>
          <w:rFonts w:ascii="幼圆" w:eastAsia="幼圆" w:hAnsi="幼圆" w:cs="幼圆" w:hint="eastAsia"/>
          <w:szCs w:val="24"/>
        </w:rPr>
        <w:footnoteReference w:id="10"/>
      </w:r>
      <w:r>
        <w:rPr>
          <w:rFonts w:ascii="幼圆" w:eastAsia="幼圆" w:hAnsi="幼圆" w:cs="幼圆" w:hint="eastAsia"/>
          <w:szCs w:val="24"/>
        </w:rPr>
        <w:t>。</w:t>
      </w:r>
    </w:p>
    <w:p>
      <w:pPr>
        <w:ind w:firstLine="480" w:firstLineChars="200"/>
        <w:rPr>
          <w:rFonts w:ascii="幼圆" w:eastAsia="幼圆" w:hAnsi="幼圆" w:cs="幼圆" w:hint="eastAsia"/>
          <w:szCs w:val="24"/>
        </w:rPr>
      </w:pPr>
      <w:r>
        <w:rPr>
          <w:rFonts w:ascii="幼圆" w:eastAsia="幼圆" w:hAnsi="幼圆" w:cs="幼圆" w:hint="eastAsia"/>
          <w:szCs w:val="24"/>
        </w:rPr>
        <w:t>反之，大数据“杀熟”依托于网络平台及算法技术，经营者只需操控后台数据便可以实现价格的变动，再加上互联网的独立性和封闭性将消费者区隔开来，每一个消费者只能看见自己个人的商品价格，如果没有特意去与其他消费者进行对比，抑或是没有通过不同用户同时下单完成相同交易，则无法通晓出现在自己屏幕上的价格，究竟是不偏不倚的统一定价，还是量身定做的专属价格，这便使得消费者在购买商品或服务时无法快速得知自己是否遭受了大数据“杀熟”，因此，大数据“杀熟”行为的实施手段具有隐蔽性</w:t>
      </w:r>
      <w:r>
        <w:rPr>
          <w:rStyle w:val="FootnoteReference"/>
          <w:rFonts w:ascii="幼圆" w:eastAsia="幼圆" w:hAnsi="幼圆" w:cs="幼圆" w:hint="eastAsia"/>
          <w:szCs w:val="24"/>
        </w:rPr>
        <w:footnoteReference w:id="11"/>
      </w:r>
      <w:r>
        <w:rPr>
          <w:rFonts w:ascii="幼圆" w:eastAsia="幼圆" w:hAnsi="幼圆" w:cs="幼圆" w:hint="eastAsia"/>
          <w:szCs w:val="24"/>
        </w:rPr>
        <w:t>。</w:t>
      </w:r>
    </w:p>
    <w:p>
      <w:pPr>
        <w:pStyle w:val="Heading3"/>
        <w:ind w:firstLine="720"/>
        <w:rPr>
          <w:rFonts w:ascii="幼圆" w:eastAsia="幼圆" w:hAnsi="幼圆" w:cs="幼圆" w:hint="eastAsia"/>
        </w:rPr>
      </w:pPr>
      <w:bookmarkStart w:id="13" w:name="_Toc71743640"/>
      <w:bookmarkStart w:id="14" w:name="_Toc70605267"/>
      <w:r>
        <w:rPr>
          <w:rFonts w:ascii="幼圆" w:eastAsia="幼圆" w:hAnsi="幼圆" w:cs="幼圆" w:hint="eastAsia"/>
        </w:rPr>
        <w:t>3. 实施效果的精准性</w:t>
      </w:r>
      <w:bookmarkEnd w:id="13"/>
      <w:bookmarkEnd w:id="14"/>
      <w:r>
        <w:rPr>
          <w:rFonts w:ascii="幼圆" w:eastAsia="幼圆" w:hAnsi="幼圆" w:cs="幼圆" w:hint="eastAsia"/>
        </w:rPr>
        <w:t xml:space="preserve">  </w:t>
      </w:r>
    </w:p>
    <w:p>
      <w:pPr>
        <w:ind w:firstLine="480" w:firstLineChars="200"/>
        <w:rPr>
          <w:rFonts w:ascii="幼圆" w:eastAsia="幼圆" w:hAnsi="幼圆" w:cs="幼圆" w:hint="eastAsia"/>
          <w:szCs w:val="24"/>
        </w:rPr>
      </w:pPr>
      <w:r>
        <w:rPr>
          <w:rFonts w:ascii="幼圆" w:eastAsia="幼圆" w:hAnsi="幼圆" w:cs="幼圆" w:hint="eastAsia"/>
          <w:szCs w:val="24"/>
        </w:rPr>
        <w:t>在这个信息爆炸的时代，人们的日常生活轨迹无时无刻不以数据的形式被记录下来，这些数据形式主要有文字、图片、音频、视频等形式</w:t>
      </w:r>
      <w:r>
        <w:rPr>
          <w:rStyle w:val="FootnoteReference"/>
          <w:rFonts w:ascii="幼圆" w:eastAsia="幼圆" w:hAnsi="幼圆" w:cs="幼圆" w:hint="eastAsia"/>
          <w:szCs w:val="24"/>
        </w:rPr>
        <w:footnoteReference w:id="12"/>
      </w:r>
      <w:r>
        <w:rPr>
          <w:rFonts w:ascii="幼圆" w:eastAsia="幼圆" w:hAnsi="幼圆" w:cs="幼圆" w:hint="eastAsia"/>
          <w:szCs w:val="24"/>
        </w:rPr>
        <w:t>。正是基于这些大量的信息数据，再辅之于算法分析技术，人们的行动方向变得可量化、可预测、可知晓了，由此经营者便可以为每一位用户都描绘出专属的“画像”，实施更为精准、有效的商品投放，设定最接近消费者的保留价格，以掠夺尽可能多的消费者的剩余利益，实现真正的“千人千价”。</w:t>
      </w:r>
    </w:p>
    <w:p>
      <w:pPr>
        <w:pStyle w:val="Heading2"/>
        <w:ind w:firstLine="240"/>
        <w:rPr>
          <w:rFonts w:ascii="幼圆" w:eastAsia="幼圆" w:hAnsi="幼圆" w:cs="幼圆" w:hint="eastAsia"/>
        </w:rPr>
      </w:pPr>
      <w:bookmarkStart w:id="15" w:name="_Toc70605268"/>
      <w:bookmarkStart w:id="16" w:name="_Toc71743641"/>
      <w:r>
        <w:rPr>
          <w:rFonts w:ascii="幼圆" w:eastAsia="幼圆" w:hAnsi="幼圆" w:cs="幼圆" w:hint="eastAsia"/>
        </w:rPr>
        <w:t>（三）大数据“杀熟”的形成原因</w:t>
      </w:r>
      <w:bookmarkEnd w:id="15"/>
      <w:bookmarkEnd w:id="16"/>
    </w:p>
    <w:p>
      <w:pPr>
        <w:pStyle w:val="Heading3"/>
        <w:ind w:firstLine="720"/>
        <w:rPr>
          <w:rFonts w:ascii="幼圆" w:eastAsia="幼圆" w:hAnsi="幼圆" w:cs="幼圆" w:hint="eastAsia"/>
        </w:rPr>
      </w:pPr>
      <w:bookmarkStart w:id="17" w:name="_Toc70605269"/>
      <w:bookmarkStart w:id="18" w:name="_Toc71743642"/>
      <w:r>
        <w:rPr>
          <w:rFonts w:ascii="幼圆" w:eastAsia="幼圆" w:hAnsi="幼圆" w:cs="幼圆" w:hint="eastAsia"/>
        </w:rPr>
        <w:t>1. 经营者的逐利本性</w:t>
      </w:r>
      <w:bookmarkEnd w:id="17"/>
      <w:bookmarkEnd w:id="18"/>
    </w:p>
    <w:p>
      <w:pPr>
        <w:ind w:firstLine="480" w:firstLineChars="200"/>
        <w:rPr>
          <w:rFonts w:ascii="幼圆" w:eastAsia="幼圆" w:hAnsi="幼圆" w:cs="幼圆" w:hint="eastAsia"/>
          <w:szCs w:val="24"/>
        </w:rPr>
      </w:pPr>
      <w:r>
        <w:rPr>
          <w:rFonts w:ascii="幼圆" w:eastAsia="幼圆" w:hAnsi="幼圆" w:cs="幼圆" w:hint="eastAsia"/>
          <w:szCs w:val="24"/>
        </w:rPr>
        <w:t>从经济学的角度来看，差异化定价作为企业的一种营销策略，可以将最大程度的消费者剩余利益转化为经营者所有</w:t>
      </w:r>
      <w:r>
        <w:rPr>
          <w:rStyle w:val="FootnoteReference"/>
          <w:rFonts w:ascii="幼圆" w:eastAsia="幼圆" w:hAnsi="幼圆" w:cs="幼圆" w:hint="eastAsia"/>
          <w:szCs w:val="24"/>
        </w:rPr>
        <w:footnoteReference w:id="13"/>
      </w:r>
      <w:r>
        <w:rPr>
          <w:rFonts w:ascii="幼圆" w:eastAsia="幼圆" w:hAnsi="幼圆" w:cs="幼圆" w:hint="eastAsia"/>
          <w:szCs w:val="24"/>
        </w:rPr>
        <w:br/>
      </w:r>
      <w:r>
        <w:rPr>
          <w:rFonts w:ascii="幼圆" w:eastAsia="幼圆" w:hAnsi="幼圆" w:cs="幼圆" w:hint="eastAsia"/>
          <w:szCs w:val="24"/>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https://d.book118.com/845301110244011124</w:t>
        </w:r>
      </w:hyperlink>
    </w:p>
    <w:p>
      <w:pPr>
        <w:ind w:firstLine="480" w:firstLineChars="200"/>
        <w:rPr>
          <w:rFonts w:ascii="幼圆" w:eastAsia="幼圆" w:hAnsi="幼圆" w:cs="幼圆" w:hint="eastAsia"/>
          <w:szCs w:val="24"/>
        </w:rPr>
      </w:pPr>
    </w:p>
    <w:sectPr>
      <w:headerReference w:type="even" r:id="rId23"/>
      <w:headerReference w:type="default" r:id="rId24"/>
      <w:footerReference w:type="even" r:id="rId25"/>
      <w:footerReference w:type="default" r:id="rId26"/>
      <w:footnotePr>
        <w:numFmt w:val="decimalEnclosedCircleChinese"/>
        <w:numRestart w:val="eachPage"/>
      </w:footnotePr>
      <w:type w:val="nextPage"/>
      <w:pgSz w:w="11906" w:h="16838"/>
      <w:pgMar w:top="1440" w:right="1800" w:bottom="1440" w:left="1800" w:header="851" w:footer="992" w:gutter="0"/>
      <w:pgNumType w:start="6"/>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roman"/>
    <w:pitch w:val="default"/>
    <w:sig w:usb0="80000287" w:usb1="2ACF3C50" w:usb2="00000016" w:usb3="00000000" w:csb0="0004001F" w:csb1="00000000"/>
  </w:font>
  <w:font w:name="Segoe UI">
    <w:panose1 w:val="020B0502040204020203"/>
    <w:charset w:val="00"/>
    <w:family w:val="swiss"/>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61168497"/>
      <w:docPartObj>
        <w:docPartGallery w:val="AutoText"/>
      </w:docPartObj>
    </w:sdtPr>
    <w:sdtContent>
      <w:p>
        <w:pPr>
          <w:pStyle w:val="Footer"/>
          <w:jc w:val="center"/>
        </w:pPr>
        <w:r>
          <w:fldChar w:fldCharType="begin"/>
        </w:r>
        <w:r>
          <w:instrText>PAGE   \* MERGEFORMAT</w:instrText>
        </w:r>
        <w:r>
          <w:fldChar w:fldCharType="separate"/>
        </w:r>
        <w:r>
          <w:rPr>
            <w:lang w:val="zh-CN"/>
          </w:rPr>
          <w:t>22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14285408"/>
      <w:docPartObj>
        <w:docPartGallery w:val="AutoText"/>
      </w:docPartObj>
    </w:sdtPr>
    <w:sdtContent>
      <w:p>
        <w:pPr>
          <w:pStyle w:val="Footer"/>
          <w:jc w:val="center"/>
        </w:pPr>
        <w:r>
          <w:fldChar w:fldCharType="begin"/>
        </w:r>
        <w:r>
          <w:instrText>PAGE   \* MERGEFORMAT</w:instrText>
        </w:r>
        <w:r>
          <w:fldChar w:fldCharType="separate"/>
        </w:r>
        <w:r>
          <w:rPr>
            <w:lang w:val="zh-CN"/>
          </w:rPr>
          <w:t>-</w:t>
        </w:r>
        <w:r>
          <w:t xml:space="preserve"> 1 -</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95230697"/>
      <w:docPartObj>
        <w:docPartGallery w:val="AutoText"/>
      </w:docPartObj>
    </w:sdtPr>
    <w:sdtContent>
      <w:p>
        <w:pPr>
          <w:pStyle w:val="Footer"/>
          <w:jc w:val="center"/>
        </w:pPr>
        <w:r>
          <w:fldChar w:fldCharType="begin"/>
        </w:r>
        <w:r>
          <w:instrText>PAGE   \* MERGEFORMAT</w:instrText>
        </w:r>
        <w:r>
          <w:fldChar w:fldCharType="separate"/>
        </w:r>
        <w:r>
          <w:rPr>
            <w:lang w:val="zh-CN"/>
          </w:rPr>
          <w:t>-</w:t>
        </w:r>
        <w:r>
          <w:t xml:space="preserve"> 2 -</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69126841"/>
      <w:docPartObj>
        <w:docPartGallery w:val="AutoText"/>
      </w:docPartObj>
    </w:sdtPr>
    <w:sdtContent>
      <w:p>
        <w:pPr>
          <w:pStyle w:val="Footer"/>
          <w:jc w:val="center"/>
        </w:pPr>
        <w:r>
          <w:fldChar w:fldCharType="begin"/>
        </w:r>
        <w:r>
          <w:instrText>PAGE   \* MERGEFORMAT</w:instrText>
        </w:r>
        <w:r>
          <w:fldChar w:fldCharType="separate"/>
        </w:r>
        <w:r>
          <w:rPr>
            <w:lang w:val="zh-CN"/>
          </w:rPr>
          <w:t>-</w:t>
        </w:r>
        <w:r>
          <w:t xml:space="preserve"> 1 -</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14925924"/>
      <w:docPartObj>
        <w:docPartGallery w:val="AutoText"/>
      </w:docPartObj>
    </w:sdtPr>
    <w:sdtContent>
      <w:p>
        <w:pPr>
          <w:pStyle w:val="Footer"/>
          <w:jc w:val="center"/>
        </w:pPr>
        <w:r>
          <w:fldChar w:fldCharType="begin"/>
        </w:r>
        <w:r>
          <w:instrText>PAGE   \* MERGEFORMAT</w:instrText>
        </w:r>
        <w:r>
          <w:fldChar w:fldCharType="separate"/>
        </w:r>
        <w:r>
          <w:rPr>
            <w:lang w:val="zh-CN"/>
          </w:rPr>
          <w:t>22</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54190053"/>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47034175"/>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09001472"/>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97188127"/>
      <w:docPartObj>
        <w:docPartGallery w:val="AutoText"/>
      </w:docPartObj>
    </w:sdtPr>
    <w:sdtContent>
      <w:p>
        <w:pPr>
          <w:pStyle w:val="Footer"/>
          <w:jc w:val="center"/>
        </w:pPr>
        <w:r>
          <w:fldChar w:fldCharType="begin"/>
        </w:r>
        <w:r>
          <w:instrText>PAGE   \* MERGEFORMAT</w:instrText>
        </w:r>
        <w:r>
          <w:fldChar w:fldCharType="separate"/>
        </w:r>
        <w:r>
          <w:rPr>
            <w:lang w:val="zh-CN"/>
          </w:rPr>
          <w:t>22</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60652990"/>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73676899"/>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95596513"/>
      <w:docPartObj>
        <w:docPartGallery w:val="AutoText"/>
      </w:docPartObj>
    </w:sdtPr>
    <w:sdtContent>
      <w:p>
        <w:pPr>
          <w:pStyle w:val="Footer"/>
          <w:jc w:val="center"/>
        </w:pPr>
        <w:r>
          <w:fldChar w:fldCharType="begin"/>
        </w:r>
        <w:r>
          <w:instrText>PAGE   \* MERGEFORMAT</w:instrText>
        </w:r>
        <w:r>
          <w:fldChar w:fldCharType="separate"/>
        </w:r>
        <w:r>
          <w:rPr>
            <w:lang w:val="zh-CN"/>
          </w:rPr>
          <w:t>23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pPr>
      <w:r>
        <w:separator/>
      </w:r>
    </w:p>
  </w:footnote>
  <w:footnote w:type="continuationSeparator" w:id="1">
    <w:p>
      <w:pPr>
        <w:spacing w:line="360" w:lineRule="auto"/>
      </w:pPr>
      <w:r>
        <w:continuationSeparator/>
      </w:r>
    </w:p>
  </w:footnote>
  <w:footnote w:id="2">
    <w:p>
      <w:pPr>
        <w:pStyle w:val="FootnoteText"/>
        <w:spacing w:line="240" w:lineRule="auto"/>
        <w:rPr>
          <w:rFonts w:ascii="宋体" w:eastAsia="宋体" w:hAnsi="宋体" w:cs="宋体"/>
          <w:szCs w:val="21"/>
        </w:rPr>
      </w:pPr>
      <w:r>
        <w:rPr>
          <w:rFonts w:ascii="宋体" w:eastAsia="宋体" w:hAnsi="宋体" w:cs="宋体"/>
          <w:szCs w:val="21"/>
        </w:rPr>
        <w:footnoteRef/>
      </w:r>
      <w:r>
        <w:rPr>
          <w:rFonts w:ascii="宋体" w:eastAsia="宋体" w:hAnsi="宋体" w:cs="宋体" w:hint="eastAsia"/>
          <w:szCs w:val="21"/>
        </w:rPr>
        <w:t xml:space="preserve"> 朱喆峰.大数据“杀熟”行为的法律规制[D].华中师范大学硕士论文,2020年,第3页.</w:t>
      </w:r>
    </w:p>
  </w:footnote>
  <w:footnote w:id="3">
    <w:p>
      <w:pPr>
        <w:pStyle w:val="FootnoteText"/>
        <w:wordWrap w:val="0"/>
        <w:spacing w:line="240" w:lineRule="auto"/>
        <w:rPr>
          <w:rFonts w:ascii="宋体" w:eastAsia="宋体" w:hAnsi="宋体" w:cs="宋体"/>
          <w:szCs w:val="21"/>
        </w:rPr>
      </w:pPr>
      <w:r>
        <w:rPr>
          <w:rFonts w:ascii="宋体" w:eastAsia="宋体" w:hAnsi="宋体" w:cs="宋体"/>
          <w:szCs w:val="21"/>
        </w:rPr>
        <w:footnoteRef/>
      </w:r>
      <w:r>
        <w:rPr>
          <w:rFonts w:ascii="宋体" w:eastAsia="宋体" w:hAnsi="宋体" w:cs="宋体"/>
          <w:szCs w:val="21"/>
        </w:rPr>
        <w:t xml:space="preserve"> Linda Rosencrance.</w:t>
      </w:r>
      <w:r>
        <w:rPr>
          <w:rFonts w:ascii="宋体" w:eastAsia="宋体" w:hAnsi="宋体" w:cs="宋体" w:hint="eastAsia"/>
          <w:szCs w:val="21"/>
        </w:rPr>
        <w:t xml:space="preserve"> </w:t>
      </w:r>
      <w:r>
        <w:rPr>
          <w:rFonts w:ascii="宋体" w:eastAsia="宋体" w:hAnsi="宋体" w:cs="宋体"/>
          <w:szCs w:val="21"/>
        </w:rPr>
        <w:t>Amazon charging different prices on some</w:t>
      </w:r>
      <w:r>
        <w:rPr>
          <w:rFonts w:ascii="宋体" w:eastAsia="宋体" w:hAnsi="宋体" w:cs="宋体" w:hint="eastAsia"/>
          <w:szCs w:val="21"/>
        </w:rPr>
        <w:t xml:space="preserve"> </w:t>
      </w:r>
      <w:r>
        <w:rPr>
          <w:rFonts w:ascii="宋体" w:eastAsia="宋体" w:hAnsi="宋体" w:cs="宋体"/>
          <w:szCs w:val="21"/>
        </w:rPr>
        <w:t>DVDs[N/OL].(2000-9-5).https:/</w:t>
      </w:r>
      <w:bookmarkStart w:id="2" w:name="_GoBack"/>
      <w:bookmarkEnd w:id="2"/>
    </w:p>
  </w:footnote>
  <w:footnote w:id="4">
    <w:p>
      <w:pPr>
        <w:pStyle w:val="FootnoteText"/>
        <w:wordWrap w:val="0"/>
        <w:spacing w:line="240" w:lineRule="auto"/>
        <w:rPr>
          <w:rFonts w:ascii="宋体" w:eastAsia="宋体" w:hAnsi="宋体" w:cs="宋体"/>
          <w:szCs w:val="21"/>
        </w:rPr>
      </w:pPr>
      <w:r>
        <w:rPr>
          <w:rFonts w:ascii="宋体" w:eastAsia="宋体" w:hAnsi="宋体" w:cs="宋体"/>
          <w:szCs w:val="21"/>
        </w:rPr>
        <w:footnoteRef/>
      </w:r>
      <w:r>
        <w:rPr>
          <w:rFonts w:ascii="宋体" w:eastAsia="宋体" w:hAnsi="宋体" w:cs="宋体"/>
          <w:szCs w:val="21"/>
        </w:rPr>
        <w:t xml:space="preserve"> </w:t>
      </w:r>
      <w:r>
        <w:rPr>
          <w:rFonts w:ascii="宋体" w:eastAsia="宋体" w:hAnsi="宋体" w:cs="宋体" w:hint="eastAsia"/>
          <w:szCs w:val="21"/>
        </w:rPr>
        <w:t xml:space="preserve">Dana  Mattioli. On Orbitz, Mac Users Steered to Pricier Hotels[N/OL].(2012-8-23) </w:t>
      </w:r>
    </w:p>
  </w:footnote>
  <w:footnote w:id="5">
    <w:p>
      <w:pPr>
        <w:pStyle w:val="FootnoteText"/>
        <w:wordWrap w:val="0"/>
        <w:spacing w:line="240" w:lineRule="auto"/>
        <w:rPr>
          <w:rFonts w:ascii="宋体" w:eastAsia="宋体" w:hAnsi="宋体" w:cs="宋体"/>
          <w:szCs w:val="21"/>
        </w:rPr>
      </w:pPr>
      <w:r>
        <w:rPr>
          <w:rFonts w:ascii="宋体" w:eastAsia="宋体" w:hAnsi="宋体" w:cs="宋体"/>
          <w:szCs w:val="21"/>
        </w:rPr>
        <w:footnoteRef/>
      </w:r>
      <w:r>
        <w:rPr>
          <w:rFonts w:ascii="宋体" w:eastAsia="宋体" w:hAnsi="宋体" w:cs="宋体"/>
          <w:szCs w:val="21"/>
        </w:rPr>
        <w:t xml:space="preserve"> </w:t>
      </w:r>
      <w:r>
        <w:rPr>
          <w:rFonts w:ascii="宋体" w:eastAsia="宋体" w:hAnsi="宋体" w:cs="宋体" w:hint="eastAsia"/>
          <w:szCs w:val="21"/>
        </w:rPr>
        <w:t xml:space="preserve">Arwa Mahdawi. Is your friend getting a cheaper Uber fare than you are?[N/OL].(2018-4-13) </w:t>
      </w:r>
    </w:p>
  </w:footnote>
  <w:footnote w:id="6">
    <w:p>
      <w:pPr>
        <w:pStyle w:val="FootnoteText"/>
        <w:wordWrap w:val="0"/>
        <w:spacing w:line="240" w:lineRule="auto"/>
        <w:rPr>
          <w:rFonts w:ascii="宋体" w:eastAsia="宋体" w:hAnsi="宋体" w:cs="宋体"/>
          <w:szCs w:val="21"/>
        </w:rPr>
      </w:pPr>
      <w:r>
        <w:rPr>
          <w:rFonts w:ascii="宋体" w:eastAsia="宋体" w:hAnsi="宋体" w:cs="宋体"/>
          <w:szCs w:val="21"/>
        </w:rPr>
        <w:footnoteRef/>
      </w:r>
      <w:r>
        <w:rPr>
          <w:rFonts w:ascii="宋体" w:eastAsia="宋体" w:hAnsi="宋体" w:cs="宋体" w:hint="eastAsia"/>
          <w:szCs w:val="21"/>
        </w:rPr>
        <w:t xml:space="preserve"> 邹开亮,刘佳明.大数据“杀熟”的法律规制困境与出路——仅从《消费者权益保护法》的角度考量[J].价格理论与实践,2018年(第8期),第47页.</w:t>
      </w:r>
    </w:p>
  </w:footnote>
  <w:footnote w:id="7">
    <w:p>
      <w:pPr>
        <w:pStyle w:val="FootnoteText"/>
        <w:wordWrap w:val="0"/>
        <w:spacing w:line="240" w:lineRule="auto"/>
        <w:rPr>
          <w:rFonts w:ascii="宋体" w:eastAsia="宋体" w:hAnsi="宋体" w:cs="宋体"/>
          <w:szCs w:val="21"/>
        </w:rPr>
      </w:pPr>
      <w:r>
        <w:rPr>
          <w:rFonts w:ascii="宋体" w:eastAsia="宋体" w:hAnsi="宋体" w:cs="宋体"/>
          <w:szCs w:val="21"/>
        </w:rPr>
        <w:footnoteRef/>
      </w:r>
      <w:r>
        <w:rPr>
          <w:rFonts w:ascii="宋体" w:eastAsia="宋体" w:hAnsi="宋体" w:cs="宋体"/>
          <w:szCs w:val="21"/>
        </w:rPr>
        <w:t xml:space="preserve"> 朱建海.</w:t>
      </w:r>
      <w:r>
        <w:rPr>
          <w:rFonts w:ascii="宋体" w:eastAsia="宋体" w:hAnsi="宋体" w:cs="宋体" w:hint="eastAsia"/>
          <w:szCs w:val="21"/>
        </w:rPr>
        <w:t>“</w:t>
      </w:r>
      <w:r>
        <w:rPr>
          <w:rFonts w:ascii="宋体" w:eastAsia="宋体" w:hAnsi="宋体" w:cs="宋体"/>
          <w:szCs w:val="21"/>
        </w:rPr>
        <w:t>大数据杀熟”的法律规制困境及其破解路径[J].重庆邮电大学学报(社会科学版),</w:t>
      </w:r>
      <w:r>
        <w:rPr>
          <w:rFonts w:ascii="宋体" w:eastAsia="宋体" w:hAnsi="宋体" w:cs="宋体" w:hint="eastAsia"/>
          <w:szCs w:val="21"/>
        </w:rPr>
        <w:t>2021</w:t>
      </w:r>
      <w:r>
        <w:rPr>
          <w:rFonts w:ascii="宋体" w:eastAsia="宋体" w:hAnsi="宋体" w:cs="宋体"/>
          <w:szCs w:val="21"/>
        </w:rPr>
        <w:t>年,</w:t>
      </w:r>
      <w:r>
        <w:rPr>
          <w:rFonts w:ascii="宋体" w:eastAsia="宋体" w:hAnsi="宋体" w:cs="宋体" w:hint="eastAsia"/>
          <w:szCs w:val="21"/>
        </w:rPr>
        <w:t>(第33卷第1期),第</w:t>
      </w:r>
      <w:r>
        <w:rPr>
          <w:rFonts w:ascii="宋体" w:eastAsia="宋体" w:hAnsi="宋体" w:cs="宋体"/>
          <w:szCs w:val="21"/>
        </w:rPr>
        <w:t>6</w:t>
      </w:r>
      <w:r>
        <w:rPr>
          <w:rFonts w:ascii="宋体" w:eastAsia="宋体" w:hAnsi="宋体" w:cs="宋体" w:hint="eastAsia"/>
          <w:szCs w:val="21"/>
        </w:rPr>
        <w:t>5页</w:t>
      </w:r>
      <w:r>
        <w:rPr>
          <w:rFonts w:ascii="宋体" w:eastAsia="宋体" w:hAnsi="宋体" w:cs="宋体"/>
          <w:szCs w:val="21"/>
        </w:rPr>
        <w:t>.</w:t>
      </w:r>
    </w:p>
  </w:footnote>
  <w:footnote w:id="8">
    <w:p>
      <w:pPr>
        <w:pStyle w:val="PlainText"/>
        <w:wordWrap w:val="0"/>
        <w:rPr>
          <w:rFonts w:hAnsi="宋体" w:cs="宋体"/>
          <w:sz w:val="18"/>
        </w:rPr>
      </w:pPr>
      <w:r>
        <w:rPr>
          <w:rFonts w:hAnsi="宋体" w:cs="宋体"/>
          <w:sz w:val="18"/>
        </w:rPr>
        <w:footnoteRef/>
      </w:r>
      <w:r>
        <w:rPr>
          <w:rFonts w:hAnsi="宋体" w:cs="宋体" w:hint="eastAsia"/>
          <w:sz w:val="18"/>
        </w:rPr>
        <w:t xml:space="preserve"> </w:t>
      </w:r>
      <w:r>
        <w:rPr>
          <w:rFonts w:hAnsi="宋体" w:cs="宋体"/>
          <w:sz w:val="18"/>
        </w:rPr>
        <w:t>禹卫华.大数据杀熟：如何看，怎么办[N].上海法治报,2018年5月</w:t>
      </w:r>
      <w:r>
        <w:rPr>
          <w:rFonts w:hAnsi="宋体" w:cs="宋体" w:hint="eastAsia"/>
          <w:sz w:val="18"/>
        </w:rPr>
        <w:t>9日</w:t>
      </w:r>
      <w:r>
        <w:rPr>
          <w:rFonts w:hAnsi="宋体" w:cs="宋体"/>
          <w:sz w:val="18"/>
        </w:rPr>
        <w:t xml:space="preserve"> (</w:t>
      </w:r>
      <w:r>
        <w:rPr>
          <w:rFonts w:hAnsi="宋体" w:cs="宋体" w:hint="eastAsia"/>
          <w:sz w:val="18"/>
        </w:rPr>
        <w:t>第B06版</w:t>
      </w:r>
      <w:r>
        <w:rPr>
          <w:rFonts w:hAnsi="宋体" w:cs="宋体"/>
          <w:sz w:val="18"/>
        </w:rPr>
        <w:t>)</w:t>
      </w:r>
      <w:r>
        <w:rPr>
          <w:rFonts w:hAnsi="宋体" w:cs="宋体" w:hint="eastAsia"/>
          <w:sz w:val="18"/>
        </w:rPr>
        <w:t>,第1页</w:t>
      </w:r>
      <w:r>
        <w:rPr>
          <w:rFonts w:hAnsi="宋体" w:cs="宋体"/>
          <w:sz w:val="18"/>
        </w:rPr>
        <w:t>.</w:t>
      </w:r>
    </w:p>
  </w:footnote>
  <w:footnote w:id="9">
    <w:p>
      <w:pPr>
        <w:pStyle w:val="PlainText"/>
        <w:wordWrap w:val="0"/>
        <w:rPr>
          <w:rFonts w:hAnsi="宋体" w:cs="宋体"/>
          <w:sz w:val="18"/>
        </w:rPr>
      </w:pPr>
      <w:r>
        <w:rPr>
          <w:rFonts w:hAnsi="宋体" w:cs="宋体"/>
          <w:sz w:val="18"/>
        </w:rPr>
        <w:footnoteRef/>
      </w:r>
      <w:r>
        <w:rPr>
          <w:rFonts w:hAnsi="宋体" w:cs="宋体" w:hint="eastAsia"/>
          <w:sz w:val="18"/>
        </w:rPr>
        <w:t xml:space="preserve"> 何文芳.大数据“杀熟”的违法性分析[J].无锡商业职业技术学院学报,2020年(第20卷第３期),第63页.</w:t>
      </w:r>
    </w:p>
  </w:footnote>
  <w:footnote w:id="10">
    <w:p>
      <w:pPr>
        <w:pStyle w:val="PlainText"/>
        <w:wordWrap w:val="0"/>
        <w:rPr>
          <w:rFonts w:hAnsi="宋体" w:cs="宋体"/>
          <w:sz w:val="18"/>
        </w:rPr>
      </w:pPr>
      <w:r>
        <w:rPr>
          <w:rFonts w:hAnsi="宋体" w:cs="宋体"/>
          <w:sz w:val="18"/>
        </w:rPr>
        <w:footnoteRef/>
      </w:r>
      <w:r>
        <w:rPr>
          <w:rFonts w:hAnsi="宋体" w:cs="宋体" w:hint="eastAsia"/>
          <w:sz w:val="18"/>
        </w:rPr>
        <w:t xml:space="preserve"> </w:t>
      </w:r>
      <w:r>
        <w:rPr>
          <w:rFonts w:hAnsi="宋体" w:cs="宋体"/>
          <w:sz w:val="18"/>
        </w:rPr>
        <w:t>沈亮亮.算法在市场竞争中的应用与法律难题——从大数据杀熟谈起[J].太原学院学报(社会科学版),</w:t>
      </w:r>
      <w:r>
        <w:rPr>
          <w:rFonts w:hAnsi="宋体" w:cs="宋体" w:hint="eastAsia"/>
          <w:sz w:val="18"/>
        </w:rPr>
        <w:t xml:space="preserve"> </w:t>
      </w:r>
      <w:r>
        <w:rPr>
          <w:rFonts w:hAnsi="宋体" w:cs="宋体"/>
          <w:sz w:val="18"/>
        </w:rPr>
        <w:t>2019</w:t>
      </w:r>
      <w:r>
        <w:rPr>
          <w:rFonts w:hAnsi="宋体" w:cs="宋体" w:hint="eastAsia"/>
          <w:sz w:val="18"/>
        </w:rPr>
        <w:t>年(第3期),第27页</w:t>
      </w:r>
      <w:r>
        <w:rPr>
          <w:rFonts w:hAnsi="宋体" w:cs="宋体"/>
          <w:sz w:val="18"/>
        </w:rPr>
        <w:t>.</w:t>
      </w:r>
    </w:p>
  </w:footnote>
  <w:footnote w:id="11">
    <w:p>
      <w:pPr>
        <w:pStyle w:val="PlainText"/>
        <w:wordWrap w:val="0"/>
        <w:rPr>
          <w:rFonts w:hAnsi="宋体" w:cs="宋体"/>
          <w:sz w:val="18"/>
        </w:rPr>
      </w:pPr>
      <w:r>
        <w:rPr>
          <w:rFonts w:hAnsi="宋体" w:cs="宋体"/>
          <w:sz w:val="18"/>
        </w:rPr>
        <w:footnoteRef/>
      </w:r>
      <w:r>
        <w:rPr>
          <w:rFonts w:hAnsi="宋体" w:cs="宋体" w:hint="eastAsia"/>
          <w:sz w:val="18"/>
        </w:rPr>
        <w:t>于夕媛,陈润泽.大数据“杀熟”的法律规制[J].经济师,2019年(第5期),第56页.</w:t>
      </w:r>
    </w:p>
  </w:footnote>
  <w:footnote w:id="12">
    <w:p>
      <w:pPr>
        <w:pStyle w:val="PlainText"/>
        <w:wordWrap w:val="0"/>
        <w:rPr>
          <w:rFonts w:hAnsi="宋体" w:cs="宋体"/>
          <w:sz w:val="18"/>
        </w:rPr>
      </w:pPr>
      <w:r>
        <w:rPr>
          <w:rFonts w:hAnsi="宋体" w:cs="宋体"/>
          <w:sz w:val="18"/>
        </w:rPr>
        <w:footnoteRef/>
      </w:r>
      <w:r>
        <w:rPr>
          <w:rFonts w:hAnsi="宋体" w:cs="宋体" w:hint="eastAsia"/>
          <w:sz w:val="18"/>
        </w:rPr>
        <w:t xml:space="preserve"> </w:t>
      </w:r>
      <w:r>
        <w:rPr>
          <w:rFonts w:hAnsi="宋体" w:cs="宋体"/>
          <w:sz w:val="18"/>
        </w:rPr>
        <w:t>殷继国.大数据市场反垄断规制的理论逻辑与基本路径[J].政治与法律,2019(第10期),第</w:t>
      </w:r>
      <w:r>
        <w:rPr>
          <w:rFonts w:hAnsi="宋体" w:cs="宋体" w:hint="eastAsia"/>
          <w:sz w:val="18"/>
        </w:rPr>
        <w:t>137页</w:t>
      </w:r>
      <w:r>
        <w:rPr>
          <w:rFonts w:hAnsi="宋体" w:cs="宋体"/>
          <w:sz w:val="18"/>
        </w:rPr>
        <w:t>.</w:t>
      </w:r>
    </w:p>
  </w:footnote>
  <w:footnote w:id="13">
    <w:p>
      <w:pPr>
        <w:pStyle w:val="PlainText"/>
        <w:wordWrap w:val="0"/>
        <w:rPr>
          <w:rFonts w:hAnsi="宋体" w:cs="宋体"/>
          <w:sz w:val="18"/>
        </w:rPr>
      </w:pPr>
      <w:r>
        <w:rPr>
          <w:rFonts w:hAnsi="宋体" w:cs="宋体"/>
          <w:sz w:val="18"/>
        </w:rPr>
        <w:footnoteRef/>
      </w:r>
      <w:r>
        <w:rPr>
          <w:rFonts w:hAnsi="宋体" w:cs="宋体" w:hint="eastAsia"/>
          <w:sz w:val="18"/>
        </w:rPr>
        <w:t xml:space="preserve"> </w:t>
      </w:r>
      <w:r>
        <w:rPr>
          <w:rFonts w:hAnsi="宋体" w:cs="宋体"/>
          <w:sz w:val="18"/>
        </w:rPr>
        <w:t>鹿芳薇.B2C电商平台大数据“杀熟”的规制研究[D].湘潭大学硕士论文,2020</w:t>
      </w:r>
      <w:r>
        <w:rPr>
          <w:rFonts w:hAnsi="宋体" w:cs="宋体" w:hint="eastAsia"/>
          <w:sz w:val="18"/>
        </w:rPr>
        <w:t>年,第8页</w:t>
      </w:r>
      <w:r>
        <w:rPr>
          <w:rFonts w:hAnsi="宋体" w:cs="宋体"/>
          <w:sz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9192954"/>
    <w:multiLevelType w:val="multilevel"/>
    <w:tmpl w:val="09192954"/>
    <w:lvl w:ilvl="0">
      <w:start w:val="1"/>
      <w:numFmt w:val="decimal"/>
      <w:lvlText w:val="[%1]"/>
      <w:lvlJc w:val="left"/>
      <w:pPr>
        <w:ind w:left="420" w:hanging="420"/>
      </w:pPr>
      <w:rPr>
        <w:rFonts w:ascii="宋体" w:eastAsia="宋体" w:hAnsi="宋体" w:hint="eastAsia"/>
        <w:b w:val="0"/>
        <w:i w:val="0"/>
        <w:spacing w:val="-2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evenAndOddHeaders/>
  <w:drawingGridHorizontalSpacing w:val="120"/>
  <w:drawingGridVerticalSpacing w:val="163"/>
  <w:displayHorizontalDrawingGridEvery w:val="0"/>
  <w:displayVerticalDrawingGridEvery w:val="2"/>
  <w:characterSpacingControl w:val="compressPunctuation"/>
  <w:footnotePr>
    <w:numFmt w:val="chicago"/>
    <w:numRestart w:val="eachPage"/>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D0D"/>
    <w:rsid w:val="0000462A"/>
    <w:rsid w:val="000055DB"/>
    <w:rsid w:val="00015E5A"/>
    <w:rsid w:val="000251D6"/>
    <w:rsid w:val="00025AF3"/>
    <w:rsid w:val="00031B34"/>
    <w:rsid w:val="00031D5E"/>
    <w:rsid w:val="000326C6"/>
    <w:rsid w:val="00034A5A"/>
    <w:rsid w:val="000375DA"/>
    <w:rsid w:val="000378DA"/>
    <w:rsid w:val="00045B49"/>
    <w:rsid w:val="000469AB"/>
    <w:rsid w:val="00051689"/>
    <w:rsid w:val="00053DD8"/>
    <w:rsid w:val="000569B5"/>
    <w:rsid w:val="000608B8"/>
    <w:rsid w:val="00061477"/>
    <w:rsid w:val="000624CC"/>
    <w:rsid w:val="00065F38"/>
    <w:rsid w:val="000661DE"/>
    <w:rsid w:val="000664D4"/>
    <w:rsid w:val="000754CB"/>
    <w:rsid w:val="00087B72"/>
    <w:rsid w:val="00090110"/>
    <w:rsid w:val="00090E3A"/>
    <w:rsid w:val="000927F1"/>
    <w:rsid w:val="00093E52"/>
    <w:rsid w:val="00095D17"/>
    <w:rsid w:val="000A0A4C"/>
    <w:rsid w:val="000A0DAD"/>
    <w:rsid w:val="000A1030"/>
    <w:rsid w:val="000A29C7"/>
    <w:rsid w:val="000A3943"/>
    <w:rsid w:val="000A3DCB"/>
    <w:rsid w:val="000B1362"/>
    <w:rsid w:val="000B3A26"/>
    <w:rsid w:val="000B58A7"/>
    <w:rsid w:val="000D00F5"/>
    <w:rsid w:val="000D6EFE"/>
    <w:rsid w:val="000D7B73"/>
    <w:rsid w:val="000D7D3E"/>
    <w:rsid w:val="000E38E5"/>
    <w:rsid w:val="000E7EF9"/>
    <w:rsid w:val="000F1DF4"/>
    <w:rsid w:val="000F2A24"/>
    <w:rsid w:val="001000E0"/>
    <w:rsid w:val="001145ED"/>
    <w:rsid w:val="00114D17"/>
    <w:rsid w:val="00123D1A"/>
    <w:rsid w:val="00124DEF"/>
    <w:rsid w:val="00125206"/>
    <w:rsid w:val="00125676"/>
    <w:rsid w:val="00125EFA"/>
    <w:rsid w:val="00127FDE"/>
    <w:rsid w:val="00132EF8"/>
    <w:rsid w:val="001333FE"/>
    <w:rsid w:val="00133CE2"/>
    <w:rsid w:val="0013434F"/>
    <w:rsid w:val="00137E18"/>
    <w:rsid w:val="00142088"/>
    <w:rsid w:val="0014287D"/>
    <w:rsid w:val="001446CD"/>
    <w:rsid w:val="00146086"/>
    <w:rsid w:val="001504C5"/>
    <w:rsid w:val="001504F6"/>
    <w:rsid w:val="00150D72"/>
    <w:rsid w:val="0015287E"/>
    <w:rsid w:val="00153857"/>
    <w:rsid w:val="00166EA4"/>
    <w:rsid w:val="001712A4"/>
    <w:rsid w:val="00172337"/>
    <w:rsid w:val="00172A0D"/>
    <w:rsid w:val="00173091"/>
    <w:rsid w:val="00183AE3"/>
    <w:rsid w:val="00183CF7"/>
    <w:rsid w:val="0018484E"/>
    <w:rsid w:val="00187E3B"/>
    <w:rsid w:val="00191E67"/>
    <w:rsid w:val="001948C4"/>
    <w:rsid w:val="001964B5"/>
    <w:rsid w:val="001A3489"/>
    <w:rsid w:val="001A6485"/>
    <w:rsid w:val="001A6BE6"/>
    <w:rsid w:val="001A7629"/>
    <w:rsid w:val="001B5EAB"/>
    <w:rsid w:val="001B6E99"/>
    <w:rsid w:val="001B79D5"/>
    <w:rsid w:val="001B7A73"/>
    <w:rsid w:val="001C073A"/>
    <w:rsid w:val="001C67DA"/>
    <w:rsid w:val="001D5651"/>
    <w:rsid w:val="001E0978"/>
    <w:rsid w:val="001E0F86"/>
    <w:rsid w:val="001E2D1B"/>
    <w:rsid w:val="001E6786"/>
    <w:rsid w:val="001F0188"/>
    <w:rsid w:val="001F0F98"/>
    <w:rsid w:val="001F2887"/>
    <w:rsid w:val="001F35F1"/>
    <w:rsid w:val="001F5229"/>
    <w:rsid w:val="00200E86"/>
    <w:rsid w:val="00202D44"/>
    <w:rsid w:val="00205B71"/>
    <w:rsid w:val="00206A8A"/>
    <w:rsid w:val="002111D0"/>
    <w:rsid w:val="00211F45"/>
    <w:rsid w:val="00214D05"/>
    <w:rsid w:val="0021539C"/>
    <w:rsid w:val="00225AF2"/>
    <w:rsid w:val="00227D0D"/>
    <w:rsid w:val="0023036D"/>
    <w:rsid w:val="00230ED4"/>
    <w:rsid w:val="00231C0C"/>
    <w:rsid w:val="0023313D"/>
    <w:rsid w:val="00235F10"/>
    <w:rsid w:val="00236248"/>
    <w:rsid w:val="00240C12"/>
    <w:rsid w:val="002453FF"/>
    <w:rsid w:val="00245FD5"/>
    <w:rsid w:val="00246681"/>
    <w:rsid w:val="00250D7B"/>
    <w:rsid w:val="00254C5A"/>
    <w:rsid w:val="00255D58"/>
    <w:rsid w:val="00256F6D"/>
    <w:rsid w:val="002573F4"/>
    <w:rsid w:val="00263849"/>
    <w:rsid w:val="002658E2"/>
    <w:rsid w:val="00266176"/>
    <w:rsid w:val="002701DC"/>
    <w:rsid w:val="00270CCF"/>
    <w:rsid w:val="00280FCC"/>
    <w:rsid w:val="00286543"/>
    <w:rsid w:val="00290B1B"/>
    <w:rsid w:val="00290CE9"/>
    <w:rsid w:val="00293858"/>
    <w:rsid w:val="00295BB8"/>
    <w:rsid w:val="0029716F"/>
    <w:rsid w:val="002A41E8"/>
    <w:rsid w:val="002B5C9C"/>
    <w:rsid w:val="002C195C"/>
    <w:rsid w:val="002C1B48"/>
    <w:rsid w:val="002C21C3"/>
    <w:rsid w:val="002C4643"/>
    <w:rsid w:val="002D5D31"/>
    <w:rsid w:val="002D6C82"/>
    <w:rsid w:val="002E096A"/>
    <w:rsid w:val="002E6F15"/>
    <w:rsid w:val="002F0C37"/>
    <w:rsid w:val="002F0E46"/>
    <w:rsid w:val="002F1A6C"/>
    <w:rsid w:val="002F2EAB"/>
    <w:rsid w:val="002F372B"/>
    <w:rsid w:val="002F44CB"/>
    <w:rsid w:val="002F4FFD"/>
    <w:rsid w:val="0030280E"/>
    <w:rsid w:val="00302DEF"/>
    <w:rsid w:val="00304815"/>
    <w:rsid w:val="0030640E"/>
    <w:rsid w:val="003121BA"/>
    <w:rsid w:val="00312215"/>
    <w:rsid w:val="0031250C"/>
    <w:rsid w:val="00321981"/>
    <w:rsid w:val="00321C17"/>
    <w:rsid w:val="00321FFB"/>
    <w:rsid w:val="0032217B"/>
    <w:rsid w:val="003227A4"/>
    <w:rsid w:val="0032603F"/>
    <w:rsid w:val="00331BE2"/>
    <w:rsid w:val="0034359B"/>
    <w:rsid w:val="00343A66"/>
    <w:rsid w:val="00344FE5"/>
    <w:rsid w:val="00351833"/>
    <w:rsid w:val="00353466"/>
    <w:rsid w:val="00355C23"/>
    <w:rsid w:val="00356457"/>
    <w:rsid w:val="00360710"/>
    <w:rsid w:val="00365820"/>
    <w:rsid w:val="00366C5A"/>
    <w:rsid w:val="00366FDE"/>
    <w:rsid w:val="003707C3"/>
    <w:rsid w:val="00371B9B"/>
    <w:rsid w:val="00374C77"/>
    <w:rsid w:val="003804DA"/>
    <w:rsid w:val="00381AAB"/>
    <w:rsid w:val="003859C2"/>
    <w:rsid w:val="00386C71"/>
    <w:rsid w:val="00390064"/>
    <w:rsid w:val="00390421"/>
    <w:rsid w:val="00392AB2"/>
    <w:rsid w:val="00394862"/>
    <w:rsid w:val="003A03B3"/>
    <w:rsid w:val="003A357B"/>
    <w:rsid w:val="003B7EA6"/>
    <w:rsid w:val="003C2229"/>
    <w:rsid w:val="003C4B8E"/>
    <w:rsid w:val="003C7A9D"/>
    <w:rsid w:val="003D086E"/>
    <w:rsid w:val="003D54F5"/>
    <w:rsid w:val="003E01CB"/>
    <w:rsid w:val="003E12C3"/>
    <w:rsid w:val="003E3673"/>
    <w:rsid w:val="003E3C9D"/>
    <w:rsid w:val="003E5870"/>
    <w:rsid w:val="003F0C44"/>
    <w:rsid w:val="003F6400"/>
    <w:rsid w:val="003F7457"/>
    <w:rsid w:val="004050EF"/>
    <w:rsid w:val="0040652B"/>
    <w:rsid w:val="00406969"/>
    <w:rsid w:val="00410B43"/>
    <w:rsid w:val="004175E2"/>
    <w:rsid w:val="00422FAB"/>
    <w:rsid w:val="004243E8"/>
    <w:rsid w:val="0043326D"/>
    <w:rsid w:val="004357E8"/>
    <w:rsid w:val="004373AC"/>
    <w:rsid w:val="00440541"/>
    <w:rsid w:val="00442482"/>
    <w:rsid w:val="004431D1"/>
    <w:rsid w:val="004446BC"/>
    <w:rsid w:val="004457EC"/>
    <w:rsid w:val="00452E8D"/>
    <w:rsid w:val="004561A1"/>
    <w:rsid w:val="00464006"/>
    <w:rsid w:val="00465C9B"/>
    <w:rsid w:val="00470816"/>
    <w:rsid w:val="0047141B"/>
    <w:rsid w:val="00472FFB"/>
    <w:rsid w:val="00476943"/>
    <w:rsid w:val="00477943"/>
    <w:rsid w:val="00480069"/>
    <w:rsid w:val="0048075B"/>
    <w:rsid w:val="00487C38"/>
    <w:rsid w:val="00491363"/>
    <w:rsid w:val="00495AF6"/>
    <w:rsid w:val="004A0D33"/>
    <w:rsid w:val="004A6D35"/>
    <w:rsid w:val="004B3363"/>
    <w:rsid w:val="004B67DD"/>
    <w:rsid w:val="004B69CF"/>
    <w:rsid w:val="004C0796"/>
    <w:rsid w:val="004C3922"/>
    <w:rsid w:val="004C3AF6"/>
    <w:rsid w:val="004C457F"/>
    <w:rsid w:val="004C459C"/>
    <w:rsid w:val="004C702F"/>
    <w:rsid w:val="004D39CC"/>
    <w:rsid w:val="004D6868"/>
    <w:rsid w:val="004E75F1"/>
    <w:rsid w:val="004F0737"/>
    <w:rsid w:val="004F1F62"/>
    <w:rsid w:val="004F7BDA"/>
    <w:rsid w:val="00501926"/>
    <w:rsid w:val="00502C33"/>
    <w:rsid w:val="00502E91"/>
    <w:rsid w:val="005037A4"/>
    <w:rsid w:val="00503E6C"/>
    <w:rsid w:val="00506384"/>
    <w:rsid w:val="00507456"/>
    <w:rsid w:val="00514264"/>
    <w:rsid w:val="0051535E"/>
    <w:rsid w:val="005174D3"/>
    <w:rsid w:val="00520C3E"/>
    <w:rsid w:val="00521BEF"/>
    <w:rsid w:val="00526100"/>
    <w:rsid w:val="00526730"/>
    <w:rsid w:val="00526D94"/>
    <w:rsid w:val="00541E73"/>
    <w:rsid w:val="00542857"/>
    <w:rsid w:val="00545159"/>
    <w:rsid w:val="005452B4"/>
    <w:rsid w:val="0054590E"/>
    <w:rsid w:val="00546ABF"/>
    <w:rsid w:val="00550A93"/>
    <w:rsid w:val="00550FEC"/>
    <w:rsid w:val="005548F2"/>
    <w:rsid w:val="00555497"/>
    <w:rsid w:val="00560056"/>
    <w:rsid w:val="0056066A"/>
    <w:rsid w:val="00562094"/>
    <w:rsid w:val="00564F41"/>
    <w:rsid w:val="00585BD5"/>
    <w:rsid w:val="00585F00"/>
    <w:rsid w:val="00595034"/>
    <w:rsid w:val="005A33D3"/>
    <w:rsid w:val="005A53EB"/>
    <w:rsid w:val="005B1A2A"/>
    <w:rsid w:val="005B35EE"/>
    <w:rsid w:val="005B3C1C"/>
    <w:rsid w:val="005C3BAA"/>
    <w:rsid w:val="005D4E0A"/>
    <w:rsid w:val="005D5D3E"/>
    <w:rsid w:val="005D7689"/>
    <w:rsid w:val="005D791E"/>
    <w:rsid w:val="005E03E0"/>
    <w:rsid w:val="005E0D3A"/>
    <w:rsid w:val="005E22FE"/>
    <w:rsid w:val="005E56E8"/>
    <w:rsid w:val="005F053A"/>
    <w:rsid w:val="00600642"/>
    <w:rsid w:val="00604280"/>
    <w:rsid w:val="00604ECB"/>
    <w:rsid w:val="00605204"/>
    <w:rsid w:val="0061258A"/>
    <w:rsid w:val="00612BE1"/>
    <w:rsid w:val="0061336E"/>
    <w:rsid w:val="00615720"/>
    <w:rsid w:val="00616A7E"/>
    <w:rsid w:val="00617DEA"/>
    <w:rsid w:val="00621F33"/>
    <w:rsid w:val="00622DCC"/>
    <w:rsid w:val="00622DD4"/>
    <w:rsid w:val="00623D55"/>
    <w:rsid w:val="006258CA"/>
    <w:rsid w:val="006331EE"/>
    <w:rsid w:val="006423F8"/>
    <w:rsid w:val="00643C98"/>
    <w:rsid w:val="00645A9F"/>
    <w:rsid w:val="00650086"/>
    <w:rsid w:val="00650C67"/>
    <w:rsid w:val="00651939"/>
    <w:rsid w:val="0066036A"/>
    <w:rsid w:val="00664026"/>
    <w:rsid w:val="00664084"/>
    <w:rsid w:val="00670989"/>
    <w:rsid w:val="00677CBE"/>
    <w:rsid w:val="00682929"/>
    <w:rsid w:val="00683204"/>
    <w:rsid w:val="00684A7B"/>
    <w:rsid w:val="00684C45"/>
    <w:rsid w:val="006854BC"/>
    <w:rsid w:val="00687A0A"/>
    <w:rsid w:val="0069029C"/>
    <w:rsid w:val="00696898"/>
    <w:rsid w:val="00696BF9"/>
    <w:rsid w:val="006A0E9F"/>
    <w:rsid w:val="006C1FCD"/>
    <w:rsid w:val="006C317A"/>
    <w:rsid w:val="006C3539"/>
    <w:rsid w:val="006C67E2"/>
    <w:rsid w:val="006D0492"/>
    <w:rsid w:val="006D1E41"/>
    <w:rsid w:val="006D34A3"/>
    <w:rsid w:val="006D5BE0"/>
    <w:rsid w:val="006D66B3"/>
    <w:rsid w:val="006F3454"/>
    <w:rsid w:val="006F358F"/>
    <w:rsid w:val="006F35B1"/>
    <w:rsid w:val="006F383A"/>
    <w:rsid w:val="006F3B88"/>
    <w:rsid w:val="006F51A2"/>
    <w:rsid w:val="006F53A3"/>
    <w:rsid w:val="007022C8"/>
    <w:rsid w:val="007068E7"/>
    <w:rsid w:val="00707E67"/>
    <w:rsid w:val="00710091"/>
    <w:rsid w:val="00713959"/>
    <w:rsid w:val="00725543"/>
    <w:rsid w:val="00726A8A"/>
    <w:rsid w:val="00727685"/>
    <w:rsid w:val="007303D5"/>
    <w:rsid w:val="007336D9"/>
    <w:rsid w:val="0073559C"/>
    <w:rsid w:val="007356EE"/>
    <w:rsid w:val="00736300"/>
    <w:rsid w:val="00736DD7"/>
    <w:rsid w:val="00742FF0"/>
    <w:rsid w:val="00743ED6"/>
    <w:rsid w:val="00751463"/>
    <w:rsid w:val="007516BE"/>
    <w:rsid w:val="00753E05"/>
    <w:rsid w:val="007540C0"/>
    <w:rsid w:val="00755AE5"/>
    <w:rsid w:val="00756382"/>
    <w:rsid w:val="007573DE"/>
    <w:rsid w:val="00764962"/>
    <w:rsid w:val="00764B51"/>
    <w:rsid w:val="00765254"/>
    <w:rsid w:val="00766741"/>
    <w:rsid w:val="007669ED"/>
    <w:rsid w:val="0077116F"/>
    <w:rsid w:val="00771496"/>
    <w:rsid w:val="007774B2"/>
    <w:rsid w:val="007803AF"/>
    <w:rsid w:val="0078218B"/>
    <w:rsid w:val="00782ED8"/>
    <w:rsid w:val="007835E7"/>
    <w:rsid w:val="00785098"/>
    <w:rsid w:val="00793D15"/>
    <w:rsid w:val="00794135"/>
    <w:rsid w:val="00796339"/>
    <w:rsid w:val="007A3F2C"/>
    <w:rsid w:val="007A5837"/>
    <w:rsid w:val="007A7264"/>
    <w:rsid w:val="007B3A7D"/>
    <w:rsid w:val="007B695E"/>
    <w:rsid w:val="007C0DEB"/>
    <w:rsid w:val="007C17D9"/>
    <w:rsid w:val="007C6144"/>
    <w:rsid w:val="007D5F09"/>
    <w:rsid w:val="007E35C7"/>
    <w:rsid w:val="007F0149"/>
    <w:rsid w:val="007F08E0"/>
    <w:rsid w:val="007F2C0A"/>
    <w:rsid w:val="007F3C59"/>
    <w:rsid w:val="007F6737"/>
    <w:rsid w:val="00800D67"/>
    <w:rsid w:val="00801C9C"/>
    <w:rsid w:val="00804F1A"/>
    <w:rsid w:val="00810780"/>
    <w:rsid w:val="00815910"/>
    <w:rsid w:val="00820760"/>
    <w:rsid w:val="008221D9"/>
    <w:rsid w:val="00825357"/>
    <w:rsid w:val="008323F5"/>
    <w:rsid w:val="008332AF"/>
    <w:rsid w:val="00837984"/>
    <w:rsid w:val="00841DBE"/>
    <w:rsid w:val="00844749"/>
    <w:rsid w:val="00844BD5"/>
    <w:rsid w:val="00845DB2"/>
    <w:rsid w:val="00846654"/>
    <w:rsid w:val="00846827"/>
    <w:rsid w:val="0085415B"/>
    <w:rsid w:val="00856926"/>
    <w:rsid w:val="00860FFD"/>
    <w:rsid w:val="008621E3"/>
    <w:rsid w:val="00862D05"/>
    <w:rsid w:val="00864E78"/>
    <w:rsid w:val="00865FD3"/>
    <w:rsid w:val="00873B5E"/>
    <w:rsid w:val="00873E9B"/>
    <w:rsid w:val="00874646"/>
    <w:rsid w:val="0088287C"/>
    <w:rsid w:val="008838F6"/>
    <w:rsid w:val="00884593"/>
    <w:rsid w:val="008863C4"/>
    <w:rsid w:val="00891E1A"/>
    <w:rsid w:val="0089445F"/>
    <w:rsid w:val="00894D94"/>
    <w:rsid w:val="00895F65"/>
    <w:rsid w:val="008A07CA"/>
    <w:rsid w:val="008A0C5D"/>
    <w:rsid w:val="008A1BE5"/>
    <w:rsid w:val="008A2C63"/>
    <w:rsid w:val="008A4E36"/>
    <w:rsid w:val="008A703F"/>
    <w:rsid w:val="008A7C2F"/>
    <w:rsid w:val="008B3AD5"/>
    <w:rsid w:val="008B65D1"/>
    <w:rsid w:val="008B7D48"/>
    <w:rsid w:val="008C0C29"/>
    <w:rsid w:val="008C457D"/>
    <w:rsid w:val="008C627E"/>
    <w:rsid w:val="008C78BF"/>
    <w:rsid w:val="008C7A96"/>
    <w:rsid w:val="008C7E6D"/>
    <w:rsid w:val="008D2592"/>
    <w:rsid w:val="008D7948"/>
    <w:rsid w:val="008E1706"/>
    <w:rsid w:val="008E1DD4"/>
    <w:rsid w:val="008E24C4"/>
    <w:rsid w:val="008E3C5C"/>
    <w:rsid w:val="008F3B6B"/>
    <w:rsid w:val="008F4C2A"/>
    <w:rsid w:val="008F4F96"/>
    <w:rsid w:val="008F66D3"/>
    <w:rsid w:val="008F6E03"/>
    <w:rsid w:val="008F7A7C"/>
    <w:rsid w:val="00900815"/>
    <w:rsid w:val="00901D2A"/>
    <w:rsid w:val="00904941"/>
    <w:rsid w:val="009166F3"/>
    <w:rsid w:val="00924C0B"/>
    <w:rsid w:val="0092568E"/>
    <w:rsid w:val="009270A2"/>
    <w:rsid w:val="00927C92"/>
    <w:rsid w:val="009356FE"/>
    <w:rsid w:val="00936800"/>
    <w:rsid w:val="00943CB7"/>
    <w:rsid w:val="009479A6"/>
    <w:rsid w:val="00950586"/>
    <w:rsid w:val="0095086D"/>
    <w:rsid w:val="0095103C"/>
    <w:rsid w:val="0095216F"/>
    <w:rsid w:val="00952B3B"/>
    <w:rsid w:val="00952B5D"/>
    <w:rsid w:val="00957610"/>
    <w:rsid w:val="009612AD"/>
    <w:rsid w:val="00962156"/>
    <w:rsid w:val="00963616"/>
    <w:rsid w:val="00964B38"/>
    <w:rsid w:val="00964C4E"/>
    <w:rsid w:val="009655C6"/>
    <w:rsid w:val="009664CC"/>
    <w:rsid w:val="009710D1"/>
    <w:rsid w:val="00971A8F"/>
    <w:rsid w:val="00972DF3"/>
    <w:rsid w:val="00974555"/>
    <w:rsid w:val="00981134"/>
    <w:rsid w:val="0098138B"/>
    <w:rsid w:val="0098164D"/>
    <w:rsid w:val="009835EE"/>
    <w:rsid w:val="00986BB8"/>
    <w:rsid w:val="00987B48"/>
    <w:rsid w:val="00992F54"/>
    <w:rsid w:val="00994309"/>
    <w:rsid w:val="009945AF"/>
    <w:rsid w:val="00996C41"/>
    <w:rsid w:val="009A14E5"/>
    <w:rsid w:val="009A1B2C"/>
    <w:rsid w:val="009A5DC2"/>
    <w:rsid w:val="009A680E"/>
    <w:rsid w:val="009B1E04"/>
    <w:rsid w:val="009B6245"/>
    <w:rsid w:val="009B6A8E"/>
    <w:rsid w:val="009C0571"/>
    <w:rsid w:val="009C5B94"/>
    <w:rsid w:val="009D4522"/>
    <w:rsid w:val="009D492B"/>
    <w:rsid w:val="009D5828"/>
    <w:rsid w:val="009D5CE1"/>
    <w:rsid w:val="009E67BD"/>
    <w:rsid w:val="009E756B"/>
    <w:rsid w:val="009F5CF5"/>
    <w:rsid w:val="009F5F17"/>
    <w:rsid w:val="00A008A3"/>
    <w:rsid w:val="00A013D0"/>
    <w:rsid w:val="00A06B5A"/>
    <w:rsid w:val="00A079A3"/>
    <w:rsid w:val="00A10DF7"/>
    <w:rsid w:val="00A1333C"/>
    <w:rsid w:val="00A1343C"/>
    <w:rsid w:val="00A13D14"/>
    <w:rsid w:val="00A151C4"/>
    <w:rsid w:val="00A15D41"/>
    <w:rsid w:val="00A17E08"/>
    <w:rsid w:val="00A20B13"/>
    <w:rsid w:val="00A227EC"/>
    <w:rsid w:val="00A25750"/>
    <w:rsid w:val="00A31893"/>
    <w:rsid w:val="00A338FB"/>
    <w:rsid w:val="00A3558C"/>
    <w:rsid w:val="00A358AC"/>
    <w:rsid w:val="00A37077"/>
    <w:rsid w:val="00A42A3D"/>
    <w:rsid w:val="00A501DC"/>
    <w:rsid w:val="00A50291"/>
    <w:rsid w:val="00A5262F"/>
    <w:rsid w:val="00A54C8F"/>
    <w:rsid w:val="00A554FC"/>
    <w:rsid w:val="00A64C81"/>
    <w:rsid w:val="00A676DB"/>
    <w:rsid w:val="00A7143B"/>
    <w:rsid w:val="00A71F91"/>
    <w:rsid w:val="00A7460E"/>
    <w:rsid w:val="00A746CD"/>
    <w:rsid w:val="00A81210"/>
    <w:rsid w:val="00A821B3"/>
    <w:rsid w:val="00A854D7"/>
    <w:rsid w:val="00A95925"/>
    <w:rsid w:val="00AA125B"/>
    <w:rsid w:val="00AB3D22"/>
    <w:rsid w:val="00AB5C25"/>
    <w:rsid w:val="00AB63B4"/>
    <w:rsid w:val="00AC0623"/>
    <w:rsid w:val="00AC2037"/>
    <w:rsid w:val="00AC2E2F"/>
    <w:rsid w:val="00AC65A8"/>
    <w:rsid w:val="00AD3C0D"/>
    <w:rsid w:val="00AD5532"/>
    <w:rsid w:val="00AE0D44"/>
    <w:rsid w:val="00AE53CE"/>
    <w:rsid w:val="00AE557E"/>
    <w:rsid w:val="00AE635B"/>
    <w:rsid w:val="00AF04BD"/>
    <w:rsid w:val="00AF04F3"/>
    <w:rsid w:val="00AF18B6"/>
    <w:rsid w:val="00AF74D1"/>
    <w:rsid w:val="00B1387F"/>
    <w:rsid w:val="00B13B37"/>
    <w:rsid w:val="00B14F6C"/>
    <w:rsid w:val="00B2229C"/>
    <w:rsid w:val="00B22A4A"/>
    <w:rsid w:val="00B22F02"/>
    <w:rsid w:val="00B23590"/>
    <w:rsid w:val="00B243B7"/>
    <w:rsid w:val="00B31490"/>
    <w:rsid w:val="00B329F1"/>
    <w:rsid w:val="00B33E3C"/>
    <w:rsid w:val="00B36913"/>
    <w:rsid w:val="00B40D1F"/>
    <w:rsid w:val="00B4200B"/>
    <w:rsid w:val="00B42440"/>
    <w:rsid w:val="00B43D8F"/>
    <w:rsid w:val="00B5113F"/>
    <w:rsid w:val="00B55174"/>
    <w:rsid w:val="00B62FDA"/>
    <w:rsid w:val="00B743E9"/>
    <w:rsid w:val="00B77FA5"/>
    <w:rsid w:val="00B81B6F"/>
    <w:rsid w:val="00B8558D"/>
    <w:rsid w:val="00B856E2"/>
    <w:rsid w:val="00B91C0A"/>
    <w:rsid w:val="00B970FB"/>
    <w:rsid w:val="00BA03C8"/>
    <w:rsid w:val="00BA3E22"/>
    <w:rsid w:val="00BB0D11"/>
    <w:rsid w:val="00BB2755"/>
    <w:rsid w:val="00BB2985"/>
    <w:rsid w:val="00BB37C1"/>
    <w:rsid w:val="00BB3E0F"/>
    <w:rsid w:val="00BB654F"/>
    <w:rsid w:val="00BB79B5"/>
    <w:rsid w:val="00BB7D59"/>
    <w:rsid w:val="00BC29B5"/>
    <w:rsid w:val="00BC4777"/>
    <w:rsid w:val="00BC4B92"/>
    <w:rsid w:val="00BD10E8"/>
    <w:rsid w:val="00BD4BC0"/>
    <w:rsid w:val="00BD51CF"/>
    <w:rsid w:val="00BD62AB"/>
    <w:rsid w:val="00BD7D88"/>
    <w:rsid w:val="00BE183D"/>
    <w:rsid w:val="00BE1AAE"/>
    <w:rsid w:val="00BE3A10"/>
    <w:rsid w:val="00BE4DE3"/>
    <w:rsid w:val="00BE66B0"/>
    <w:rsid w:val="00BE7675"/>
    <w:rsid w:val="00BF1A88"/>
    <w:rsid w:val="00C0110A"/>
    <w:rsid w:val="00C036F3"/>
    <w:rsid w:val="00C056E0"/>
    <w:rsid w:val="00C06DAA"/>
    <w:rsid w:val="00C10926"/>
    <w:rsid w:val="00C1317A"/>
    <w:rsid w:val="00C32276"/>
    <w:rsid w:val="00C35515"/>
    <w:rsid w:val="00C369DB"/>
    <w:rsid w:val="00C36D48"/>
    <w:rsid w:val="00C4420C"/>
    <w:rsid w:val="00C4431B"/>
    <w:rsid w:val="00C4471E"/>
    <w:rsid w:val="00C501BB"/>
    <w:rsid w:val="00C52DB4"/>
    <w:rsid w:val="00C54000"/>
    <w:rsid w:val="00C54EF3"/>
    <w:rsid w:val="00C571A4"/>
    <w:rsid w:val="00C600D0"/>
    <w:rsid w:val="00C60533"/>
    <w:rsid w:val="00C60991"/>
    <w:rsid w:val="00C65761"/>
    <w:rsid w:val="00C66B5C"/>
    <w:rsid w:val="00C70BC8"/>
    <w:rsid w:val="00C70CEF"/>
    <w:rsid w:val="00C86EA4"/>
    <w:rsid w:val="00C9234E"/>
    <w:rsid w:val="00C9317B"/>
    <w:rsid w:val="00C93AAC"/>
    <w:rsid w:val="00C94EBB"/>
    <w:rsid w:val="00C959A7"/>
    <w:rsid w:val="00CA065A"/>
    <w:rsid w:val="00CA5D8E"/>
    <w:rsid w:val="00CB298F"/>
    <w:rsid w:val="00CB77A4"/>
    <w:rsid w:val="00CC4AB4"/>
    <w:rsid w:val="00CC7A1B"/>
    <w:rsid w:val="00CD5EB3"/>
    <w:rsid w:val="00CE1CFB"/>
    <w:rsid w:val="00CE3505"/>
    <w:rsid w:val="00CE3DD8"/>
    <w:rsid w:val="00CE5397"/>
    <w:rsid w:val="00CF0A87"/>
    <w:rsid w:val="00CF3772"/>
    <w:rsid w:val="00CF65E7"/>
    <w:rsid w:val="00CF6FFA"/>
    <w:rsid w:val="00D04AC8"/>
    <w:rsid w:val="00D06E68"/>
    <w:rsid w:val="00D13544"/>
    <w:rsid w:val="00D13A87"/>
    <w:rsid w:val="00D210FF"/>
    <w:rsid w:val="00D228D5"/>
    <w:rsid w:val="00D25D35"/>
    <w:rsid w:val="00D26703"/>
    <w:rsid w:val="00D31FF4"/>
    <w:rsid w:val="00D32048"/>
    <w:rsid w:val="00D3404D"/>
    <w:rsid w:val="00D34DBF"/>
    <w:rsid w:val="00D45F17"/>
    <w:rsid w:val="00D4631D"/>
    <w:rsid w:val="00D473CB"/>
    <w:rsid w:val="00D52444"/>
    <w:rsid w:val="00D553A2"/>
    <w:rsid w:val="00D5686D"/>
    <w:rsid w:val="00D5735C"/>
    <w:rsid w:val="00D57FAD"/>
    <w:rsid w:val="00D61573"/>
    <w:rsid w:val="00D61A73"/>
    <w:rsid w:val="00D64161"/>
    <w:rsid w:val="00D65DC3"/>
    <w:rsid w:val="00D72A18"/>
    <w:rsid w:val="00D734DD"/>
    <w:rsid w:val="00D762FF"/>
    <w:rsid w:val="00D771E4"/>
    <w:rsid w:val="00D774A3"/>
    <w:rsid w:val="00D77C99"/>
    <w:rsid w:val="00D8041E"/>
    <w:rsid w:val="00D832F1"/>
    <w:rsid w:val="00D84315"/>
    <w:rsid w:val="00D90E9A"/>
    <w:rsid w:val="00D92490"/>
    <w:rsid w:val="00D948FE"/>
    <w:rsid w:val="00D96782"/>
    <w:rsid w:val="00D96A9F"/>
    <w:rsid w:val="00DA00C3"/>
    <w:rsid w:val="00DA40FB"/>
    <w:rsid w:val="00DB4057"/>
    <w:rsid w:val="00DC1982"/>
    <w:rsid w:val="00DC414E"/>
    <w:rsid w:val="00DC4FF8"/>
    <w:rsid w:val="00DC5312"/>
    <w:rsid w:val="00DD0DB0"/>
    <w:rsid w:val="00DD10C9"/>
    <w:rsid w:val="00DD2FFB"/>
    <w:rsid w:val="00DD3C4F"/>
    <w:rsid w:val="00DD4347"/>
    <w:rsid w:val="00DE1B4F"/>
    <w:rsid w:val="00DF0DD2"/>
    <w:rsid w:val="00DF25AB"/>
    <w:rsid w:val="00DF4CEF"/>
    <w:rsid w:val="00DF52E5"/>
    <w:rsid w:val="00E0150B"/>
    <w:rsid w:val="00E0249E"/>
    <w:rsid w:val="00E06B45"/>
    <w:rsid w:val="00E07CFB"/>
    <w:rsid w:val="00E110FC"/>
    <w:rsid w:val="00E1120C"/>
    <w:rsid w:val="00E11E79"/>
    <w:rsid w:val="00E129A7"/>
    <w:rsid w:val="00E13319"/>
    <w:rsid w:val="00E1415C"/>
    <w:rsid w:val="00E1788C"/>
    <w:rsid w:val="00E22304"/>
    <w:rsid w:val="00E23166"/>
    <w:rsid w:val="00E23EFE"/>
    <w:rsid w:val="00E25EE9"/>
    <w:rsid w:val="00E27844"/>
    <w:rsid w:val="00E34F40"/>
    <w:rsid w:val="00E35AA3"/>
    <w:rsid w:val="00E37AD8"/>
    <w:rsid w:val="00E43C00"/>
    <w:rsid w:val="00E45B94"/>
    <w:rsid w:val="00E513CE"/>
    <w:rsid w:val="00E5263D"/>
    <w:rsid w:val="00E526DC"/>
    <w:rsid w:val="00E52A31"/>
    <w:rsid w:val="00E67B5B"/>
    <w:rsid w:val="00E70CA2"/>
    <w:rsid w:val="00E766E8"/>
    <w:rsid w:val="00E805A5"/>
    <w:rsid w:val="00E81C00"/>
    <w:rsid w:val="00E838BF"/>
    <w:rsid w:val="00E853FB"/>
    <w:rsid w:val="00E85FFD"/>
    <w:rsid w:val="00E8643B"/>
    <w:rsid w:val="00E86664"/>
    <w:rsid w:val="00E86967"/>
    <w:rsid w:val="00EA21DD"/>
    <w:rsid w:val="00EA3131"/>
    <w:rsid w:val="00EA4B11"/>
    <w:rsid w:val="00EA73B2"/>
    <w:rsid w:val="00EB0A52"/>
    <w:rsid w:val="00EB0B57"/>
    <w:rsid w:val="00EB0D89"/>
    <w:rsid w:val="00EB0DD3"/>
    <w:rsid w:val="00EB7ADD"/>
    <w:rsid w:val="00EB7FA6"/>
    <w:rsid w:val="00EC0898"/>
    <w:rsid w:val="00EC2FC5"/>
    <w:rsid w:val="00EC66FA"/>
    <w:rsid w:val="00ED0482"/>
    <w:rsid w:val="00ED11C0"/>
    <w:rsid w:val="00ED7B5A"/>
    <w:rsid w:val="00EE57D8"/>
    <w:rsid w:val="00EE5D6B"/>
    <w:rsid w:val="00EE67D8"/>
    <w:rsid w:val="00EE6B2E"/>
    <w:rsid w:val="00EE7654"/>
    <w:rsid w:val="00EF1E6C"/>
    <w:rsid w:val="00EF2C6E"/>
    <w:rsid w:val="00EF2F07"/>
    <w:rsid w:val="00F0322A"/>
    <w:rsid w:val="00F12BC1"/>
    <w:rsid w:val="00F13BCB"/>
    <w:rsid w:val="00F143AD"/>
    <w:rsid w:val="00F152F8"/>
    <w:rsid w:val="00F156EB"/>
    <w:rsid w:val="00F20CC0"/>
    <w:rsid w:val="00F22D0D"/>
    <w:rsid w:val="00F23644"/>
    <w:rsid w:val="00F25878"/>
    <w:rsid w:val="00F33620"/>
    <w:rsid w:val="00F342C0"/>
    <w:rsid w:val="00F3756A"/>
    <w:rsid w:val="00F43B92"/>
    <w:rsid w:val="00F44787"/>
    <w:rsid w:val="00F478A2"/>
    <w:rsid w:val="00F54E07"/>
    <w:rsid w:val="00F5565C"/>
    <w:rsid w:val="00F561C8"/>
    <w:rsid w:val="00F60462"/>
    <w:rsid w:val="00F6126D"/>
    <w:rsid w:val="00F62334"/>
    <w:rsid w:val="00F653B6"/>
    <w:rsid w:val="00F727A7"/>
    <w:rsid w:val="00F75B56"/>
    <w:rsid w:val="00F83035"/>
    <w:rsid w:val="00F92C63"/>
    <w:rsid w:val="00F96691"/>
    <w:rsid w:val="00F96C38"/>
    <w:rsid w:val="00F97DBE"/>
    <w:rsid w:val="00FA0A7B"/>
    <w:rsid w:val="00FA16AC"/>
    <w:rsid w:val="00FA3B22"/>
    <w:rsid w:val="00FB16F4"/>
    <w:rsid w:val="00FB6FE4"/>
    <w:rsid w:val="00FC01A2"/>
    <w:rsid w:val="00FC0217"/>
    <w:rsid w:val="00FC0748"/>
    <w:rsid w:val="00FC32C5"/>
    <w:rsid w:val="00FC78E9"/>
    <w:rsid w:val="00FD3EB1"/>
    <w:rsid w:val="00FD4F87"/>
    <w:rsid w:val="00FF79B3"/>
    <w:rsid w:val="16913315"/>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lsdException w:name="toc 4" w:semiHidden="0" w:uiPriority="39" w:qFormat="1"/>
    <w:lsdException w:name="toc 5" w:uiPriority="39"/>
    <w:lsdException w:name="toc 6" w:uiPriority="39"/>
    <w:lsdException w:name="toc 7" w:uiPriority="39"/>
    <w:lsdException w:name="toc 8" w:uiPriority="39"/>
    <w:lsdException w:name="toc 9" w:uiPriority="39"/>
    <w:lsdException w:name="Normal Indent"/>
    <w:lsdException w:name="footnote text" w:semiHidden="0" w:qFormat="1"/>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both"/>
    </w:pPr>
    <w:rPr>
      <w:rFonts w:asciiTheme="minorHAnsi" w:eastAsiaTheme="minorEastAsia" w:hAnsiTheme="minorHAnsi" w:cstheme="minorBidi"/>
      <w:kern w:val="2"/>
      <w:sz w:val="24"/>
      <w:szCs w:val="22"/>
      <w:lang w:val="en-US" w:eastAsia="zh-CN" w:bidi="ar-SA"/>
    </w:rPr>
  </w:style>
  <w:style w:type="paragraph" w:styleId="Heading1">
    <w:name w:val="heading 1"/>
    <w:basedOn w:val="Normal"/>
    <w:next w:val="Normal"/>
    <w:link w:val="1Char"/>
    <w:autoRedefine/>
    <w:uiPriority w:val="9"/>
    <w:qFormat/>
    <w:pPr>
      <w:keepNext/>
      <w:keepLines/>
      <w:widowControl/>
      <w:outlineLvl w:val="0"/>
    </w:pPr>
    <w:rPr>
      <w:rFonts w:eastAsia="宋体"/>
      <w:b/>
      <w:bCs/>
      <w:kern w:val="44"/>
      <w:sz w:val="28"/>
      <w:szCs w:val="44"/>
    </w:rPr>
  </w:style>
  <w:style w:type="paragraph" w:styleId="Heading2">
    <w:name w:val="heading 2"/>
    <w:basedOn w:val="Normal"/>
    <w:next w:val="Normal"/>
    <w:link w:val="2Char"/>
    <w:uiPriority w:val="9"/>
    <w:unhideWhenUsed/>
    <w:qFormat/>
    <w:pPr>
      <w:keepNext/>
      <w:keepLines/>
      <w:widowControl/>
      <w:ind w:firstLine="100" w:firstLineChars="100"/>
      <w:outlineLvl w:val="1"/>
    </w:pPr>
    <w:rPr>
      <w:rFonts w:eastAsia="宋体" w:asciiTheme="majorHAnsi" w:hAnsiTheme="majorHAnsi" w:cstheme="majorBidi"/>
      <w:bCs/>
      <w:szCs w:val="32"/>
    </w:rPr>
  </w:style>
  <w:style w:type="paragraph" w:styleId="Heading3">
    <w:name w:val="heading 3"/>
    <w:basedOn w:val="Normal"/>
    <w:next w:val="Normal"/>
    <w:link w:val="3Char"/>
    <w:autoRedefine/>
    <w:uiPriority w:val="9"/>
    <w:unhideWhenUsed/>
    <w:qFormat/>
    <w:pPr>
      <w:keepNext/>
      <w:keepLines/>
      <w:widowControl/>
      <w:spacing w:line="480" w:lineRule="auto"/>
      <w:ind w:firstLine="300" w:firstLineChars="300"/>
      <w:outlineLvl w:val="2"/>
    </w:pPr>
    <w:rPr>
      <w:bCs/>
      <w:szCs w:val="32"/>
    </w:rPr>
  </w:style>
  <w:style w:type="paragraph" w:styleId="Heading4">
    <w:name w:val="heading 4"/>
    <w:basedOn w:val="Normal"/>
    <w:next w:val="Normal"/>
    <w:link w:val="4Char"/>
    <w:autoRedefine/>
    <w:uiPriority w:val="9"/>
    <w:unhideWhenUsed/>
    <w:qFormat/>
    <w:pPr>
      <w:keepNext/>
      <w:keepLines/>
      <w:widowControl/>
      <w:ind w:firstLine="200" w:firstLineChars="200"/>
      <w:outlineLvl w:val="3"/>
    </w:pPr>
    <w:rPr>
      <w:rFonts w:eastAsia="宋体" w:asciiTheme="majorHAnsi" w:hAnsiTheme="majorHAnsi" w:cstheme="majorBidi"/>
      <w:bCs/>
      <w:szCs w:val="28"/>
    </w:rPr>
  </w:style>
  <w:style w:type="paragraph" w:styleId="Heading5">
    <w:name w:val="heading 5"/>
    <w:basedOn w:val="Normal"/>
    <w:next w:val="Normal"/>
    <w:link w:val="5Char"/>
    <w:autoRedefine/>
    <w:uiPriority w:val="9"/>
    <w:unhideWhenUsed/>
    <w:qFormat/>
    <w:pPr>
      <w:keepNext/>
      <w:keepLines/>
      <w:spacing w:before="280" w:after="290" w:line="376" w:lineRule="auto"/>
      <w:outlineLvl w:val="4"/>
    </w:pPr>
    <w:rPr>
      <w:b/>
      <w:bCs/>
      <w:sz w:val="28"/>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TOC3">
    <w:name w:val="toc 3"/>
    <w:basedOn w:val="Normal"/>
    <w:next w:val="Normal"/>
    <w:autoRedefine/>
    <w:uiPriority w:val="39"/>
    <w:unhideWhenUsed/>
    <w:pPr>
      <w:ind w:left="840" w:leftChars="400"/>
    </w:pPr>
  </w:style>
  <w:style w:type="paragraph" w:styleId="PlainText">
    <w:name w:val="Plain Text"/>
    <w:basedOn w:val="Normal"/>
    <w:link w:val="Char5"/>
    <w:autoRedefine/>
    <w:uiPriority w:val="99"/>
    <w:unhideWhenUsed/>
    <w:qFormat/>
    <w:pPr>
      <w:spacing w:line="240" w:lineRule="auto"/>
    </w:pPr>
    <w:rPr>
      <w:rFonts w:ascii="宋体" w:eastAsia="宋体" w:hAnsi="Courier New" w:cs="Courier New"/>
      <w:sz w:val="21"/>
      <w:szCs w:val="21"/>
    </w:rPr>
  </w:style>
  <w:style w:type="paragraph" w:styleId="Date">
    <w:name w:val="Date"/>
    <w:basedOn w:val="Normal"/>
    <w:next w:val="Normal"/>
    <w:link w:val="Char4"/>
    <w:autoRedefine/>
    <w:uiPriority w:val="99"/>
    <w:semiHidden/>
    <w:unhideWhenUsed/>
    <w:qFormat/>
    <w:pPr>
      <w:ind w:left="100" w:leftChars="2500"/>
    </w:p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autoRedefine/>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link w:val="1Char0"/>
    <w:autoRedefine/>
    <w:uiPriority w:val="39"/>
    <w:unhideWhenUsed/>
    <w:qFormat/>
    <w:pPr>
      <w:tabs>
        <w:tab w:val="right" w:leader="dot" w:pos="8296"/>
      </w:tabs>
    </w:pPr>
    <w:rPr>
      <w:rFonts w:ascii="宋体" w:eastAsia="宋体" w:hAnsi="宋体"/>
    </w:rPr>
  </w:style>
  <w:style w:type="paragraph" w:styleId="TOC4">
    <w:name w:val="toc 4"/>
    <w:basedOn w:val="Normal"/>
    <w:next w:val="Normal"/>
    <w:autoRedefine/>
    <w:uiPriority w:val="39"/>
    <w:unhideWhenUsed/>
    <w:qFormat/>
    <w:pPr>
      <w:ind w:left="1260" w:leftChars="600"/>
    </w:pPr>
  </w:style>
  <w:style w:type="paragraph" w:styleId="FootnoteText">
    <w:name w:val="footnote text"/>
    <w:basedOn w:val="Normal"/>
    <w:link w:val="Char3"/>
    <w:uiPriority w:val="99"/>
    <w:unhideWhenUsed/>
    <w:qFormat/>
    <w:pPr>
      <w:snapToGrid w:val="0"/>
      <w:jc w:val="left"/>
    </w:pPr>
    <w:rPr>
      <w:sz w:val="18"/>
      <w:szCs w:val="18"/>
    </w:rPr>
  </w:style>
  <w:style w:type="paragraph" w:styleId="TOC2">
    <w:name w:val="toc 2"/>
    <w:basedOn w:val="Normal"/>
    <w:next w:val="Normal"/>
    <w:autoRedefine/>
    <w:uiPriority w:val="39"/>
    <w:unhideWhenUsed/>
    <w:qFormat/>
    <w:pPr>
      <w:ind w:left="420" w:leftChars="200"/>
    </w:pPr>
  </w:style>
  <w:style w:type="character" w:styleId="FollowedHyperlink">
    <w:name w:val="FollowedHyperlink"/>
    <w:basedOn w:val="DefaultParagraphFont"/>
    <w:uiPriority w:val="99"/>
    <w:semiHidden/>
    <w:unhideWhenUsed/>
    <w:rPr>
      <w:color w:val="800080" w:themeColor="followedHyperlink"/>
      <w:u w:val="single"/>
      <w14:textFill>
        <w14:solidFill>
          <w14:schemeClr w14:val="folHlink"/>
        </w14:solidFill>
      </w14:textFill>
    </w:r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styleId="FootnoteReference">
    <w:name w:val="footnote reference"/>
    <w:basedOn w:val="DefaultParagraphFont"/>
    <w:uiPriority w:val="99"/>
    <w:semiHidden/>
    <w:unhideWhenUsed/>
    <w:qFormat/>
    <w:rPr>
      <w:vertAlign w:val="superscript"/>
    </w:rPr>
  </w:style>
  <w:style w:type="paragraph" w:styleId="ListParagraph">
    <w:name w:val="List Paragraph"/>
    <w:basedOn w:val="Normal"/>
    <w:autoRedefine/>
    <w:uiPriority w:val="34"/>
    <w:qFormat/>
    <w:pPr>
      <w:ind w:firstLine="420" w:firstLineChars="200"/>
    </w:p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1Char">
    <w:name w:val="标题 1 Char"/>
    <w:basedOn w:val="DefaultParagraphFont"/>
    <w:link w:val="Heading1"/>
    <w:uiPriority w:val="9"/>
    <w:qFormat/>
    <w:rPr>
      <w:rFonts w:eastAsia="宋体"/>
      <w:b/>
      <w:bCs/>
      <w:kern w:val="44"/>
      <w:sz w:val="28"/>
      <w:szCs w:val="44"/>
    </w:rPr>
  </w:style>
  <w:style w:type="character" w:customStyle="1" w:styleId="2Char">
    <w:name w:val="标题 2 Char"/>
    <w:basedOn w:val="DefaultParagraphFont"/>
    <w:link w:val="Heading2"/>
    <w:autoRedefine/>
    <w:uiPriority w:val="9"/>
    <w:qFormat/>
    <w:rPr>
      <w:rFonts w:eastAsia="宋体" w:asciiTheme="majorHAnsi" w:hAnsiTheme="majorHAnsi" w:cstheme="majorBidi"/>
      <w:bCs/>
      <w:sz w:val="24"/>
      <w:szCs w:val="32"/>
    </w:rPr>
  </w:style>
  <w:style w:type="character" w:customStyle="1" w:styleId="3Char">
    <w:name w:val="标题 3 Char"/>
    <w:basedOn w:val="DefaultParagraphFont"/>
    <w:link w:val="Heading3"/>
    <w:uiPriority w:val="9"/>
    <w:rPr>
      <w:bCs/>
      <w:sz w:val="24"/>
      <w:szCs w:val="32"/>
    </w:rPr>
  </w:style>
  <w:style w:type="character" w:customStyle="1" w:styleId="4Char">
    <w:name w:val="标题 4 Char"/>
    <w:basedOn w:val="DefaultParagraphFont"/>
    <w:link w:val="Heading4"/>
    <w:autoRedefine/>
    <w:uiPriority w:val="9"/>
    <w:rPr>
      <w:rFonts w:eastAsia="宋体" w:asciiTheme="majorHAnsi" w:hAnsiTheme="majorHAnsi" w:cstheme="majorBidi"/>
      <w:bCs/>
      <w:sz w:val="24"/>
      <w:szCs w:val="28"/>
    </w:rPr>
  </w:style>
  <w:style w:type="paragraph" w:customStyle="1" w:styleId="TOCHeading">
    <w:name w:val="TOC Heading"/>
    <w:basedOn w:val="Heading1"/>
    <w:next w:val="Normal"/>
    <w:autoRedefine/>
    <w:uiPriority w:val="39"/>
    <w:semiHidden/>
    <w:unhideWhenUsed/>
    <w:qFormat/>
    <w:pPr>
      <w:spacing w:before="480" w:line="276" w:lineRule="auto"/>
      <w:jc w:val="left"/>
      <w:outlineLvl w:val="9"/>
    </w:pPr>
    <w:rPr>
      <w:rFonts w:asciiTheme="majorHAnsi" w:eastAsiaTheme="majorEastAsia" w:hAnsiTheme="majorHAnsi" w:cstheme="majorBidi"/>
      <w:color w:val="376092" w:themeColor="accent1" w:themeShade="BF"/>
      <w:kern w:val="0"/>
      <w:szCs w:val="28"/>
    </w:rPr>
  </w:style>
  <w:style w:type="character" w:customStyle="1" w:styleId="Char1">
    <w:name w:val="批注框文本 Char"/>
    <w:basedOn w:val="DefaultParagraphFont"/>
    <w:link w:val="BalloonText"/>
    <w:autoRedefine/>
    <w:uiPriority w:val="99"/>
    <w:semiHidden/>
    <w:qFormat/>
    <w:rPr>
      <w:sz w:val="18"/>
      <w:szCs w:val="18"/>
    </w:rPr>
  </w:style>
  <w:style w:type="paragraph" w:customStyle="1" w:styleId="a">
    <w:name w:val="目录"/>
    <w:basedOn w:val="TOC1"/>
    <w:link w:val="Char2"/>
    <w:qFormat/>
  </w:style>
  <w:style w:type="character" w:customStyle="1" w:styleId="1Char0">
    <w:name w:val="目录 1 Char"/>
    <w:basedOn w:val="DefaultParagraphFont"/>
    <w:link w:val="TOC1"/>
    <w:uiPriority w:val="39"/>
    <w:qFormat/>
    <w:rPr>
      <w:rFonts w:ascii="宋体" w:eastAsia="宋体" w:hAnsi="宋体"/>
      <w:sz w:val="24"/>
    </w:rPr>
  </w:style>
  <w:style w:type="character" w:customStyle="1" w:styleId="Char2">
    <w:name w:val="目录 Char"/>
    <w:basedOn w:val="1Char0"/>
    <w:link w:val="a"/>
    <w:qFormat/>
    <w:rPr>
      <w:rFonts w:ascii="宋体" w:eastAsia="宋体" w:hAnsi="宋体"/>
      <w:sz w:val="24"/>
    </w:rPr>
  </w:style>
  <w:style w:type="character" w:customStyle="1" w:styleId="Char3">
    <w:name w:val="脚注文本 Char"/>
    <w:basedOn w:val="DefaultParagraphFont"/>
    <w:link w:val="FootnoteText"/>
    <w:uiPriority w:val="99"/>
    <w:qFormat/>
    <w:rPr>
      <w:sz w:val="18"/>
      <w:szCs w:val="18"/>
    </w:rPr>
  </w:style>
  <w:style w:type="character" w:customStyle="1" w:styleId="Char4">
    <w:name w:val="日期 Char"/>
    <w:basedOn w:val="DefaultParagraphFont"/>
    <w:link w:val="Date"/>
    <w:uiPriority w:val="99"/>
    <w:semiHidden/>
    <w:qFormat/>
    <w:rPr>
      <w:sz w:val="24"/>
    </w:rPr>
  </w:style>
  <w:style w:type="character" w:customStyle="1" w:styleId="Char5">
    <w:name w:val="纯文本 Char"/>
    <w:basedOn w:val="DefaultParagraphFont"/>
    <w:link w:val="PlainText"/>
    <w:autoRedefine/>
    <w:uiPriority w:val="99"/>
    <w:qFormat/>
    <w:rPr>
      <w:rFonts w:ascii="宋体" w:eastAsia="宋体" w:hAnsi="Courier New" w:cs="Courier New"/>
      <w:szCs w:val="21"/>
    </w:rPr>
  </w:style>
  <w:style w:type="paragraph" w:customStyle="1" w:styleId="2">
    <w:name w:val="列表段落2"/>
    <w:basedOn w:val="Normal"/>
    <w:autoRedefine/>
    <w:uiPriority w:val="34"/>
    <w:qFormat/>
    <w:pPr>
      <w:widowControl/>
      <w:ind w:firstLine="420" w:firstLineChars="200"/>
      <w:jc w:val="left"/>
    </w:pPr>
    <w:rPr>
      <w:kern w:val="0"/>
    </w:rPr>
  </w:style>
  <w:style w:type="character" w:customStyle="1" w:styleId="5Char">
    <w:name w:val="标题 5 Char"/>
    <w:basedOn w:val="DefaultParagraphFont"/>
    <w:link w:val="Heading5"/>
    <w:autoRedefine/>
    <w:uiPriority w:val="9"/>
    <w:qFormat/>
    <w:rPr>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settings" Target="settings.xml" /><Relationship Id="rId20" Type="http://schemas.openxmlformats.org/officeDocument/2006/relationships/footer" Target="footer9.xml" /><Relationship Id="rId21" Type="http://schemas.openxmlformats.org/officeDocument/2006/relationships/footer" Target="footer10.xml" /><Relationship Id="rId22" Type="http://schemas.openxmlformats.org/officeDocument/2006/relationships/hyperlink" Target="https://d.book118.com/845301110244011124" TargetMode="External" /><Relationship Id="rId23" Type="http://schemas.openxmlformats.org/officeDocument/2006/relationships/header" Target="header7.xml" /><Relationship Id="rId24" Type="http://schemas.openxmlformats.org/officeDocument/2006/relationships/header" Target="header8.xml" /><Relationship Id="rId25" Type="http://schemas.openxmlformats.org/officeDocument/2006/relationships/footer" Target="footer11.xml" /><Relationship Id="rId26" Type="http://schemas.openxmlformats.org/officeDocument/2006/relationships/footer" Target="footer12.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6D0AE9-F6FD-44FA-B7AE-578DEA209AA0}">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8</Pages>
  <Words>3735</Words>
  <Characters>21293</Characters>
  <Application>Microsoft Office Word</Application>
  <DocSecurity>0</DocSecurity>
  <Lines>177</Lines>
  <Paragraphs>49</Paragraphs>
  <ScaleCrop>false</ScaleCrop>
  <Company/>
  <LinksUpToDate>false</LinksUpToDate>
  <CharactersWithSpaces>24979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21</cp:revision>
  <dcterms:created xsi:type="dcterms:W3CDTF">2021-05-12T07:42:00Z</dcterms:created>
  <dcterms:modified xsi:type="dcterms:W3CDTF">2024-03-19T13:22:47Z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E8A820F2A25E4A1998BA2EEC09C53C1F_13</vt:lpwstr>
  </property>
  <property fmtid="{D5CDD505-2E9C-101B-9397-08002B2CF9AE}" pid="3" name="KSOProductBuildVer">
    <vt:lpwstr>2052-12.1.0.16388</vt:lpwstr>
  </property>
</Properties>
</file>