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D66BE" w:rsidP="008D66BE" w14:paraId="6730121D" w14:textId="77777777">
      <w:pPr>
        <w:spacing w:before="48" w:beforeLines="20" w:after="360" w:afterLines="150" w:line="360" w:lineRule="auto"/>
        <w:jc w:val="center"/>
        <w:rPr>
          <w:rFonts w:ascii="华文中宋" w:eastAsia="华文中宋" w:hAnsi="华文中宋"/>
          <w:b/>
          <w:sz w:val="30"/>
        </w:rPr>
      </w:pPr>
      <w:r w:rsidRPr="008D66BE">
        <w:rPr>
          <w:rFonts w:ascii="华文中宋" w:eastAsia="华文中宋" w:hAnsi="华文中宋"/>
          <w:b/>
          <w:sz w:val="30"/>
        </w:rPr>
        <w:t>2024</w:t>
      </w:r>
      <w:r w:rsidRPr="008D66BE">
        <w:rPr>
          <w:rFonts w:ascii="华文中宋" w:eastAsia="华文中宋" w:hAnsi="华文中宋"/>
          <w:b/>
          <w:sz w:val="30"/>
        </w:rPr>
        <w:t>年禹州神火隆瑞矿业有限公司人员招聘考试题库及答案解析</w:t>
      </w:r>
    </w:p>
    <w:p w:rsidR="00A77B3E" w14:paraId="3A33D4A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171D6A4" w14:textId="77777777">
      <w:pPr>
        <w:spacing w:after="260" w:line="360" w:lineRule="auto"/>
      </w:pPr>
      <w:r>
        <w:rPr>
          <w:rFonts w:eastAsia="微软雅黑" w:cs="宋体"/>
          <w:b/>
        </w:rPr>
        <w:t>一、言语理解与表达</w:t>
      </w:r>
    </w:p>
    <w:p w:rsidR="00E0697D" w14:paraId="374458D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一首歌从</w:t>
      </w:r>
      <w:r w:rsidRPr="00E0697D">
        <w:rPr>
          <w:rFonts w:ascii="Times New Roman" w:eastAsia="微软雅黑" w:hAnsi="微软雅黑" w:cs="宋体" w:hint="eastAsia"/>
          <w:szCs w:val="18"/>
        </w:rPr>
        <w:t>1988</w:t>
      </w:r>
      <w:r w:rsidRPr="00E0697D">
        <w:rPr>
          <w:rFonts w:ascii="Times New Roman" w:eastAsia="微软雅黑" w:hAnsi="微软雅黑" w:cs="宋体" w:hint="eastAsia"/>
          <w:szCs w:val="18"/>
        </w:rPr>
        <w:t>年唱到</w:t>
      </w:r>
      <w:r w:rsidRPr="00E0697D">
        <w:rPr>
          <w:rFonts w:ascii="Times New Roman" w:eastAsia="微软雅黑" w:hAnsi="微软雅黑" w:cs="宋体" w:hint="eastAsia"/>
          <w:szCs w:val="18"/>
        </w:rPr>
        <w:t>2008</w:t>
      </w:r>
      <w:r w:rsidRPr="00E0697D">
        <w:rPr>
          <w:rFonts w:ascii="Times New Roman" w:eastAsia="微软雅黑" w:hAnsi="微软雅黑" w:cs="宋体" w:hint="eastAsia"/>
          <w:szCs w:val="18"/>
        </w:rPr>
        <w:t>年，磁带和唱片销售了</w:t>
      </w:r>
      <w:r w:rsidRPr="00E0697D">
        <w:rPr>
          <w:rFonts w:ascii="Times New Roman" w:eastAsia="微软雅黑" w:hAnsi="微软雅黑" w:cs="宋体" w:hint="eastAsia"/>
          <w:szCs w:val="18"/>
        </w:rPr>
        <w:t>900</w:t>
      </w:r>
      <w:r w:rsidRPr="00E0697D">
        <w:rPr>
          <w:rFonts w:ascii="Times New Roman" w:eastAsia="微软雅黑" w:hAnsi="微软雅黑" w:cs="宋体" w:hint="eastAsia"/>
          <w:szCs w:val="18"/>
        </w:rPr>
        <w:t>万张，这是汉城奥运会会歌《手拉手》创造的奇迹。当时，朴世直主张启用世界知名唱片公司创作奥运歌曲，遭到反对，但他很坚持。多轮的讨论一直没有结果。这时，世界最大的音像跨国公司宝丽金开出的条件十分诱人。奥组委最终选择了宝丽金，让本土的高丽亚那组合来演唱，并把“阿里郎”放进歌词。终于，两个版本的《手拉手》出炉。开幕式上令人激动的演唱，恰恰源于一次成功的“手拉手”—意大利人作曲，美国人作词和韩国组合的演唱。</w:t>
      </w:r>
    </w:p>
    <w:p w:rsidR="00E0697D" w14:paraId="54106B3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这段文字意在说明</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14EF2C8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、汉城效应</w:t>
      </w:r>
    </w:p>
    <w:p w:rsidR="00E0697D" w14:paraId="368AF17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、手拉手制造经典</w:t>
      </w:r>
    </w:p>
    <w:p w:rsidR="00E0697D" w14:paraId="0B5DEFD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、世界走向汉城，汉城走向世界</w:t>
      </w:r>
    </w:p>
    <w:p w:rsidR="00E0697D" w14:paraId="2DC7F3B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、汉城奥运：一个国家现代文明的拐点</w:t>
      </w:r>
    </w:p>
    <w:p w:rsidR="00E0697D" w14:paraId="6ADE563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B</w:t>
      </w:r>
    </w:p>
    <w:p w:rsidR="00E0697D" w14:paraId="6E9DD9BC"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步，分析文段。文段先讲汉城奥运会会歌《手拉手》创造了磁带和唱片销售量上的奇迹，接着讲这首歌问世的过程，最后讲《手拉手》成功出炉，“开幕式上令人激动的演唱，恰恰源于一次成功的‘手拉手’”。文段为“分—总”结构，重点</w:t>
      </w:r>
    </w:p>
    <w:p w:rsidR="00E0697D"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szCs w:val="18"/>
        </w:rPr>
        <w:t>在尾句，主要讲的是《手拉手》创造的奇迹，是源于一次成功的“手拉手”——意大利人作曲，美国人作词和韩国组合的演唱。文段的主体词是“手拉手”。第二步，对比选项。</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项是对文段重点的全面概括。</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项和</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项均缺少主体词“手拉手”。故选</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w:t>
      </w:r>
    </w:p>
    <w:p w:rsidR="00E0697D" w14:paraId="38B7013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2</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对于传承经典，站在当代立场上的中国学者虽然看到了以往理论框架不适应当下国际视野及跨学科发展趋势的需要，但是他们中的相当一部分人也认识到，在这个传统框架下</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的中国民俗学基础是深厚的，如果</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地抛弃这个传统，那么我们的研究将使民俗学的主体性越来越弱，以至于被</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到其他学科中去。</w:t>
      </w:r>
    </w:p>
    <w:p w:rsidR="00E0697D" w14:paraId="5FB5DDC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依次填入划横线部分最恰当的一项是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5F0972A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、打造</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直接</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同化</w:t>
      </w:r>
    </w:p>
    <w:p w:rsidR="00E0697D" w14:paraId="08816C2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、形成</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武断</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淹没</w:t>
      </w:r>
    </w:p>
    <w:p w:rsidR="00E0697D" w14:paraId="681FFAE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、建立</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盲目</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整合</w:t>
      </w:r>
    </w:p>
    <w:p w:rsidR="00E0697D" w14:paraId="2DEA244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、奠定</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轻易</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涵盖</w:t>
      </w:r>
    </w:p>
    <w:p w:rsidR="00E0697D" w14:paraId="0A7D700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p>
    <w:p w:rsidR="00E0697D" w14:paraId="093FD95F"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第一空，填入的词语应该与“基础”相搭配，</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项的“打造”无法与“基础”搭配，故排除。第三空，</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项的“淹没”有覆盖之意，往往搭配水和声音，故排除</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项的“整合”侧重于把内部零散的东西彼此衔接起来，而民俗学并不属于其他学科内部的，与文段表述不符，故排除。第二空，代入验证，“轻易地抛弃这个传统”搭配恰当且符合语境。故选</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p>
    <w:p w:rsidR="00E0697D" w14:paraId="7182CBA7"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3</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金融领域的投资骗局并不是什么新鲜事。在国外，各类“庞氏骗局”也绵延不绝，</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从事后看，这些骗术的手段并不高明，</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从来不缺乏上当者，</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还有社会名流、高级知识分子身陷其中。</w:t>
      </w:r>
    </w:p>
    <w:p w:rsidR="00E0697D" w14:paraId="41CBC41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依次填入横线部分最恰当的一项是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412DD0D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、即使也反而</w:t>
      </w:r>
    </w:p>
    <w:p w:rsidR="00E0697D" w14:paraId="15B27E7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、如果却而且</w:t>
      </w:r>
    </w:p>
    <w:p w:rsidR="00E0697D" w14:paraId="7BAA35F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、虽然但甚至</w:t>
      </w:r>
    </w:p>
    <w:p w:rsidR="00E0697D" w14:paraId="4BE5B21A"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、无论都并且</w:t>
      </w:r>
    </w:p>
    <w:p w:rsidR="00E0697D" w14:paraId="45EE7A1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14:paraId="68CDCA38"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由文段提示性语句“这些骗术的手段并不高明”、“从来不缺乏上当者”可知，前两空所填词语构成转折关系，对应</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项“即使……也……”为让步关系，</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项“如果……却……”为假设关系，</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项“无论……都……”为条件关系，均不符合文意。第二空代入验证，由“从来不缺乏上当者”、“还有社会名流、高级知识分子身陷其中”可知，横线处表达递进关系，“甚至”符合文意，当选。故选</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p>
    <w:p w:rsidR="00E0697D" w14:paraId="39D3C3B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4</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伴随衰老，人的记忆力会发生明显衰退。最近，《自然》子刊《自然·神经科学》杂志给出了潜在的解决方案。他们的方法看起来无比</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电击大脑。这当然不是“网瘾中心”那种野蛮的电击方式，而是一项有着出色设计的</w:t>
      </w:r>
      <w:r w:rsidRPr="00E0697D">
        <w:rPr>
          <w:rFonts w:ascii="Times New Roman" w:eastAsia="微软雅黑" w:hAnsi="微软雅黑" w:cs="宋体" w:hint="eastAsia"/>
          <w:szCs w:val="18"/>
        </w:rPr>
        <w:t>_____</w:t>
      </w:r>
      <w:r w:rsidRPr="00E0697D">
        <w:rPr>
          <w:rFonts w:ascii="Times New Roman" w:eastAsia="微软雅黑" w:hAnsi="微软雅黑" w:cs="宋体" w:hint="eastAsia"/>
          <w:szCs w:val="18"/>
        </w:rPr>
        <w:t>实验，揭示了脑电波变化与衰老所引起的记忆衰退之间的重要关系。</w:t>
      </w:r>
    </w:p>
    <w:p w:rsidR="00E0697D" w14:paraId="0C077F7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依次填入划横线中最恰当的一项是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https://d.book118.com/845314042112011043</w:t>
        </w:r>
      </w:hyperlink>
    </w:p>
    <w:p w:rsidR="00E0697D">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paraId="3D8911C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D66BE" w14:paraId="6DBC40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paraId="4E7C063D" w14:textId="0347B5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D66BE" w14:paraId="3BE275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paraId="6E52AD7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D66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textId="0347B5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D66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D66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rsidP="00E002BD" w14:textId="0347B5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D66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paraId="7CA632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paraId="4E00F1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paraId="3FD452C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66B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7675BD"/>
    <w:rsid w:val="008D66BE"/>
    <w:rsid w:val="009C641C"/>
    <w:rsid w:val="00A77B3E"/>
    <w:rsid w:val="00CA2A55"/>
    <w:rsid w:val="00E002BD"/>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46E50BE"/>
  <w15:docId w15:val="{2A5422DC-0A84-466C-A877-0052CBB7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8D66B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D66BE"/>
    <w:rPr>
      <w:sz w:val="18"/>
      <w:szCs w:val="18"/>
    </w:rPr>
  </w:style>
  <w:style w:type="paragraph" w:styleId="Footer">
    <w:name w:val="footer"/>
    <w:basedOn w:val="Normal"/>
    <w:link w:val="a0"/>
    <w:rsid w:val="008D66BE"/>
    <w:pPr>
      <w:tabs>
        <w:tab w:val="center" w:pos="4153"/>
        <w:tab w:val="right" w:pos="8306"/>
      </w:tabs>
      <w:snapToGrid w:val="0"/>
    </w:pPr>
    <w:rPr>
      <w:sz w:val="18"/>
      <w:szCs w:val="18"/>
    </w:rPr>
  </w:style>
  <w:style w:type="character" w:customStyle="1" w:styleId="a0">
    <w:name w:val="页脚 字符"/>
    <w:basedOn w:val="DefaultParagraphFont"/>
    <w:link w:val="Footer"/>
    <w:rsid w:val="008D66BE"/>
    <w:rPr>
      <w:sz w:val="18"/>
      <w:szCs w:val="18"/>
    </w:rPr>
  </w:style>
  <w:style w:type="character" w:styleId="PageNumber">
    <w:name w:val="page number"/>
    <w:basedOn w:val="DefaultParagraphFont"/>
    <w:rsid w:val="008D6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45314042112011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4619</Words>
  <Characters>26332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2024-01-17T08:22:00Z</dcterms:created>
  <dcterms:modified xsi:type="dcterms:W3CDTF">2024-01-17T08:23:00Z</dcterms:modified>
</cp:coreProperties>
</file>