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2024年颜料行业趋势报告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7062"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_Toc27062 \h </w:instrText>
        </w:r>
        <w:r>
          <w:fldChar w:fldCharType="separate"/>
        </w:r>
        <w:r>
          <w:t>4</w:t>
        </w:r>
        <w:r>
          <w:fldChar w:fldCharType="end"/>
        </w:r>
      </w:hyperlink>
    </w:p>
    <w:p>
      <w:pPr>
        <w:pStyle w:val="TOC1"/>
        <w:tabs>
          <w:tab w:val="right" w:leader="dot" w:pos="8306"/>
        </w:tabs>
      </w:pPr>
      <w:hyperlink w:anchor="_Toc804" w:history="1">
        <w:r>
          <w:rPr>
            <w:rFonts w:ascii="微软雅黑" w:eastAsia="微软雅黑" w:hAnsi="微软雅黑" w:cs="微软雅黑" w:hint="eastAsia"/>
            <w:color w:val="001CAC" w:themeColor="hyperlink" w:themeShade="BF"/>
            <w:szCs w:val="32"/>
            <w:lang w:eastAsia="zh-CN"/>
          </w:rPr>
          <w:t>一、资金筹措与投资分析</w:t>
        </w:r>
        <w:r>
          <w:tab/>
        </w:r>
        <w:r>
          <w:fldChar w:fldCharType="begin"/>
        </w:r>
        <w:r>
          <w:instrText xml:space="preserve"> PAGEREF _Toc804 \h </w:instrText>
        </w:r>
        <w:r>
          <w:fldChar w:fldCharType="separate"/>
        </w:r>
        <w:r>
          <w:t>4</w:t>
        </w:r>
        <w:r>
          <w:fldChar w:fldCharType="end"/>
        </w:r>
      </w:hyperlink>
    </w:p>
    <w:p>
      <w:pPr>
        <w:pStyle w:val="TOC2"/>
        <w:tabs>
          <w:tab w:val="right" w:leader="dot" w:pos="8306"/>
        </w:tabs>
      </w:pPr>
      <w:hyperlink w:anchor="_Toc14364" w:history="1">
        <w:r>
          <w:rPr>
            <w:rFonts w:ascii="宋体" w:eastAsia="宋体" w:hAnsi="宋体" w:cs="宋体" w:hint="eastAsia"/>
            <w:bCs w:val="0"/>
            <w:szCs w:val="28"/>
            <w:lang w:eastAsia="zh-CN"/>
          </w:rPr>
          <w:t>(一)、资金需求与筹措计划</w:t>
        </w:r>
        <w:r>
          <w:tab/>
        </w:r>
        <w:r>
          <w:fldChar w:fldCharType="begin"/>
        </w:r>
        <w:r>
          <w:instrText xml:space="preserve"> PAGEREF _Toc14364 \h </w:instrText>
        </w:r>
        <w:r>
          <w:fldChar w:fldCharType="separate"/>
        </w:r>
        <w:r>
          <w:t>4</w:t>
        </w:r>
        <w:r>
          <w:fldChar w:fldCharType="end"/>
        </w:r>
      </w:hyperlink>
    </w:p>
    <w:p>
      <w:pPr>
        <w:pStyle w:val="TOC2"/>
        <w:tabs>
          <w:tab w:val="right" w:leader="dot" w:pos="8306"/>
        </w:tabs>
      </w:pPr>
      <w:hyperlink w:anchor="_Toc12892" w:history="1">
        <w:r>
          <w:rPr>
            <w:rFonts w:ascii="宋体" w:eastAsia="宋体" w:hAnsi="宋体" w:cs="宋体" w:hint="eastAsia"/>
            <w:bCs w:val="0"/>
            <w:szCs w:val="28"/>
            <w:lang w:eastAsia="zh-CN"/>
          </w:rPr>
          <w:t>(二)、投资分析与回报预期</w:t>
        </w:r>
        <w:r>
          <w:tab/>
        </w:r>
        <w:r>
          <w:fldChar w:fldCharType="begin"/>
        </w:r>
        <w:r>
          <w:instrText xml:space="preserve"> PAGEREF _Toc12892 \h </w:instrText>
        </w:r>
        <w:r>
          <w:fldChar w:fldCharType="separate"/>
        </w:r>
        <w:r>
          <w:t>5</w:t>
        </w:r>
        <w:r>
          <w:fldChar w:fldCharType="end"/>
        </w:r>
      </w:hyperlink>
    </w:p>
    <w:p>
      <w:pPr>
        <w:pStyle w:val="TOC1"/>
        <w:tabs>
          <w:tab w:val="right" w:leader="dot" w:pos="8306"/>
        </w:tabs>
      </w:pPr>
      <w:hyperlink w:anchor="_Toc24915" w:history="1">
        <w:r>
          <w:rPr>
            <w:rFonts w:ascii="微软雅黑" w:eastAsia="微软雅黑" w:hAnsi="微软雅黑" w:cs="微软雅黑" w:hint="eastAsia"/>
            <w:color w:val="001CAC" w:themeColor="hyperlink" w:themeShade="BF"/>
            <w:szCs w:val="32"/>
            <w:lang w:eastAsia="zh-CN"/>
          </w:rPr>
          <w:t>二、颜料行业市场营销分析</w:t>
        </w:r>
        <w:r>
          <w:tab/>
        </w:r>
        <w:r>
          <w:fldChar w:fldCharType="begin"/>
        </w:r>
        <w:r>
          <w:instrText xml:space="preserve"> PAGEREF _Toc24915 \h </w:instrText>
        </w:r>
        <w:r>
          <w:fldChar w:fldCharType="separate"/>
        </w:r>
        <w:r>
          <w:t>5</w:t>
        </w:r>
        <w:r>
          <w:fldChar w:fldCharType="end"/>
        </w:r>
      </w:hyperlink>
    </w:p>
    <w:p>
      <w:pPr>
        <w:pStyle w:val="TOC2"/>
        <w:tabs>
          <w:tab w:val="right" w:leader="dot" w:pos="8306"/>
        </w:tabs>
      </w:pPr>
      <w:hyperlink w:anchor="_Toc32699" w:history="1">
        <w:r>
          <w:rPr>
            <w:rFonts w:ascii="宋体" w:eastAsia="宋体" w:hAnsi="宋体" w:cs="宋体" w:hint="eastAsia"/>
            <w:bCs w:val="0"/>
            <w:szCs w:val="28"/>
            <w:lang w:eastAsia="zh-CN"/>
          </w:rPr>
          <w:t>(一)、颜料行业市场营销总体思路</w:t>
        </w:r>
        <w:r>
          <w:tab/>
        </w:r>
        <w:r>
          <w:fldChar w:fldCharType="begin"/>
        </w:r>
        <w:r>
          <w:instrText xml:space="preserve"> PAGEREF _Toc32699 \h </w:instrText>
        </w:r>
        <w:r>
          <w:fldChar w:fldCharType="separate"/>
        </w:r>
        <w:r>
          <w:t>5</w:t>
        </w:r>
        <w:r>
          <w:fldChar w:fldCharType="end"/>
        </w:r>
      </w:hyperlink>
    </w:p>
    <w:p>
      <w:pPr>
        <w:pStyle w:val="TOC2"/>
        <w:tabs>
          <w:tab w:val="right" w:leader="dot" w:pos="8306"/>
        </w:tabs>
      </w:pPr>
      <w:hyperlink w:anchor="_Toc21834" w:history="1">
        <w:r>
          <w:rPr>
            <w:rFonts w:ascii="宋体" w:eastAsia="宋体" w:hAnsi="宋体" w:cs="宋体" w:hint="eastAsia"/>
            <w:bCs w:val="0"/>
            <w:szCs w:val="28"/>
            <w:lang w:eastAsia="zh-CN"/>
          </w:rPr>
          <w:t>(二)、颜料行业组织市场分析</w:t>
        </w:r>
        <w:r>
          <w:tab/>
        </w:r>
        <w:r>
          <w:fldChar w:fldCharType="begin"/>
        </w:r>
        <w:r>
          <w:instrText xml:space="preserve"> PAGEREF _Toc21834 \h </w:instrText>
        </w:r>
        <w:r>
          <w:fldChar w:fldCharType="separate"/>
        </w:r>
        <w:r>
          <w:t>7</w:t>
        </w:r>
        <w:r>
          <w:fldChar w:fldCharType="end"/>
        </w:r>
      </w:hyperlink>
    </w:p>
    <w:p>
      <w:pPr>
        <w:pStyle w:val="TOC2"/>
        <w:tabs>
          <w:tab w:val="right" w:leader="dot" w:pos="8306"/>
        </w:tabs>
      </w:pPr>
      <w:hyperlink w:anchor="_Toc27186" w:history="1">
        <w:r>
          <w:rPr>
            <w:rFonts w:ascii="宋体" w:eastAsia="宋体" w:hAnsi="宋体" w:cs="宋体" w:hint="eastAsia"/>
            <w:bCs w:val="0"/>
            <w:szCs w:val="28"/>
            <w:lang w:eastAsia="zh-CN"/>
          </w:rPr>
          <w:t>(三)、颜料行业目标市场营销战略</w:t>
        </w:r>
        <w:r>
          <w:tab/>
        </w:r>
        <w:r>
          <w:fldChar w:fldCharType="begin"/>
        </w:r>
        <w:r>
          <w:instrText xml:space="preserve"> PAGEREF _Toc27186 \h </w:instrText>
        </w:r>
        <w:r>
          <w:fldChar w:fldCharType="separate"/>
        </w:r>
        <w:r>
          <w:t>8</w:t>
        </w:r>
        <w:r>
          <w:fldChar w:fldCharType="end"/>
        </w:r>
      </w:hyperlink>
    </w:p>
    <w:p>
      <w:pPr>
        <w:pStyle w:val="TOC2"/>
        <w:tabs>
          <w:tab w:val="right" w:leader="dot" w:pos="8306"/>
        </w:tabs>
      </w:pPr>
      <w:hyperlink w:anchor="_Toc13038" w:history="1">
        <w:r>
          <w:rPr>
            <w:rFonts w:ascii="宋体" w:eastAsia="宋体" w:hAnsi="宋体" w:cs="宋体" w:hint="eastAsia"/>
            <w:bCs w:val="0"/>
            <w:szCs w:val="28"/>
            <w:lang w:eastAsia="zh-CN"/>
          </w:rPr>
          <w:t>(四)、颜料行业定价策略</w:t>
        </w:r>
        <w:r>
          <w:tab/>
        </w:r>
        <w:r>
          <w:fldChar w:fldCharType="begin"/>
        </w:r>
        <w:r>
          <w:instrText xml:space="preserve"> PAGEREF _Toc13038 \h </w:instrText>
        </w:r>
        <w:r>
          <w:fldChar w:fldCharType="separate"/>
        </w:r>
        <w:r>
          <w:t>9</w:t>
        </w:r>
        <w:r>
          <w:fldChar w:fldCharType="end"/>
        </w:r>
      </w:hyperlink>
    </w:p>
    <w:p>
      <w:pPr>
        <w:pStyle w:val="TOC2"/>
        <w:tabs>
          <w:tab w:val="right" w:leader="dot" w:pos="8306"/>
        </w:tabs>
      </w:pPr>
      <w:hyperlink w:anchor="_Toc10704" w:history="1">
        <w:r>
          <w:rPr>
            <w:rFonts w:ascii="宋体" w:eastAsia="宋体" w:hAnsi="宋体" w:cs="宋体" w:hint="eastAsia"/>
            <w:bCs w:val="0"/>
            <w:szCs w:val="28"/>
            <w:lang w:eastAsia="zh-CN"/>
          </w:rPr>
          <w:t>(五)、颜料行业促销策略</w:t>
        </w:r>
        <w:r>
          <w:tab/>
        </w:r>
        <w:r>
          <w:fldChar w:fldCharType="begin"/>
        </w:r>
        <w:r>
          <w:instrText xml:space="preserve"> PAGEREF _Toc10704 \h </w:instrText>
        </w:r>
        <w:r>
          <w:fldChar w:fldCharType="separate"/>
        </w:r>
        <w:r>
          <w:t>11</w:t>
        </w:r>
        <w:r>
          <w:fldChar w:fldCharType="end"/>
        </w:r>
      </w:hyperlink>
    </w:p>
    <w:p>
      <w:pPr>
        <w:pStyle w:val="TOC2"/>
        <w:tabs>
          <w:tab w:val="right" w:leader="dot" w:pos="8306"/>
        </w:tabs>
      </w:pPr>
      <w:hyperlink w:anchor="_Toc23445" w:history="1">
        <w:r>
          <w:rPr>
            <w:rFonts w:ascii="宋体" w:eastAsia="宋体" w:hAnsi="宋体" w:cs="宋体" w:hint="eastAsia"/>
            <w:bCs w:val="0"/>
            <w:szCs w:val="28"/>
            <w:lang w:eastAsia="zh-CN"/>
          </w:rPr>
          <w:t>(六)、颜料行业品牌策略</w:t>
        </w:r>
        <w:r>
          <w:tab/>
        </w:r>
        <w:r>
          <w:fldChar w:fldCharType="begin"/>
        </w:r>
        <w:r>
          <w:instrText xml:space="preserve"> PAGEREF _Toc23445 \h </w:instrText>
        </w:r>
        <w:r>
          <w:fldChar w:fldCharType="separate"/>
        </w:r>
        <w:r>
          <w:t>12</w:t>
        </w:r>
        <w:r>
          <w:fldChar w:fldCharType="end"/>
        </w:r>
      </w:hyperlink>
    </w:p>
    <w:p>
      <w:pPr>
        <w:pStyle w:val="TOC2"/>
        <w:tabs>
          <w:tab w:val="right" w:leader="dot" w:pos="8306"/>
        </w:tabs>
      </w:pPr>
      <w:hyperlink w:anchor="_Toc9714" w:history="1">
        <w:r>
          <w:rPr>
            <w:rFonts w:ascii="宋体" w:eastAsia="宋体" w:hAnsi="宋体" w:cs="宋体" w:hint="eastAsia"/>
            <w:bCs w:val="0"/>
            <w:szCs w:val="28"/>
            <w:lang w:eastAsia="zh-CN"/>
          </w:rPr>
          <w:t>(七)、颜料行业关系营销</w:t>
        </w:r>
        <w:r>
          <w:tab/>
        </w:r>
        <w:r>
          <w:fldChar w:fldCharType="begin"/>
        </w:r>
        <w:r>
          <w:instrText xml:space="preserve"> PAGEREF _Toc9714 \h </w:instrText>
        </w:r>
        <w:r>
          <w:fldChar w:fldCharType="separate"/>
        </w:r>
        <w:r>
          <w:t>15</w:t>
        </w:r>
        <w:r>
          <w:fldChar w:fldCharType="end"/>
        </w:r>
      </w:hyperlink>
    </w:p>
    <w:p>
      <w:pPr>
        <w:pStyle w:val="TOC2"/>
        <w:tabs>
          <w:tab w:val="right" w:leader="dot" w:pos="8306"/>
        </w:tabs>
      </w:pPr>
      <w:hyperlink w:anchor="_Toc32519" w:history="1">
        <w:r>
          <w:rPr>
            <w:rFonts w:ascii="宋体" w:eastAsia="宋体" w:hAnsi="宋体" w:cs="宋体" w:hint="eastAsia"/>
            <w:bCs w:val="0"/>
            <w:szCs w:val="28"/>
            <w:lang w:eastAsia="zh-CN"/>
          </w:rPr>
          <w:t>(八)、颜料行业体验营销</w:t>
        </w:r>
        <w:r>
          <w:tab/>
        </w:r>
        <w:r>
          <w:fldChar w:fldCharType="begin"/>
        </w:r>
        <w:r>
          <w:instrText xml:space="preserve"> PAGEREF _Toc32519 \h </w:instrText>
        </w:r>
        <w:r>
          <w:fldChar w:fldCharType="separate"/>
        </w:r>
        <w:r>
          <w:t>17</w:t>
        </w:r>
        <w:r>
          <w:fldChar w:fldCharType="end"/>
        </w:r>
      </w:hyperlink>
    </w:p>
    <w:p>
      <w:pPr>
        <w:pStyle w:val="TOC2"/>
        <w:tabs>
          <w:tab w:val="right" w:leader="dot" w:pos="8306"/>
        </w:tabs>
      </w:pPr>
      <w:hyperlink w:anchor="_Toc1461" w:history="1">
        <w:r>
          <w:rPr>
            <w:rFonts w:ascii="宋体" w:eastAsia="宋体" w:hAnsi="宋体" w:cs="宋体" w:hint="eastAsia"/>
            <w:bCs w:val="0"/>
            <w:szCs w:val="28"/>
            <w:lang w:eastAsia="zh-CN"/>
          </w:rPr>
          <w:t>(九)、颜料行业互联网营销</w:t>
        </w:r>
        <w:r>
          <w:tab/>
        </w:r>
        <w:r>
          <w:fldChar w:fldCharType="begin"/>
        </w:r>
        <w:r>
          <w:instrText xml:space="preserve"> PAGEREF _Toc1461 \h </w:instrText>
        </w:r>
        <w:r>
          <w:fldChar w:fldCharType="separate"/>
        </w:r>
        <w:r>
          <w:t>18</w:t>
        </w:r>
        <w:r>
          <w:fldChar w:fldCharType="end"/>
        </w:r>
      </w:hyperlink>
    </w:p>
    <w:p>
      <w:pPr>
        <w:pStyle w:val="TOC1"/>
        <w:tabs>
          <w:tab w:val="right" w:leader="dot" w:pos="8306"/>
        </w:tabs>
      </w:pPr>
      <w:hyperlink w:anchor="_Toc19606" w:history="1">
        <w:r>
          <w:rPr>
            <w:rFonts w:ascii="微软雅黑" w:eastAsia="微软雅黑" w:hAnsi="微软雅黑" w:cs="微软雅黑" w:hint="eastAsia"/>
            <w:color w:val="001CAC" w:themeColor="hyperlink" w:themeShade="BF"/>
            <w:szCs w:val="32"/>
            <w:lang w:eastAsia="zh-CN"/>
          </w:rPr>
          <w:t>三、领导力发展与企业文化</w:t>
        </w:r>
        <w:r>
          <w:tab/>
        </w:r>
        <w:r>
          <w:fldChar w:fldCharType="begin"/>
        </w:r>
        <w:r>
          <w:instrText xml:space="preserve"> PAGEREF _Toc19606 \h </w:instrText>
        </w:r>
        <w:r>
          <w:fldChar w:fldCharType="separate"/>
        </w:r>
        <w:r>
          <w:t>20</w:t>
        </w:r>
        <w:r>
          <w:fldChar w:fldCharType="end"/>
        </w:r>
      </w:hyperlink>
    </w:p>
    <w:p>
      <w:pPr>
        <w:pStyle w:val="TOC2"/>
        <w:tabs>
          <w:tab w:val="right" w:leader="dot" w:pos="8306"/>
        </w:tabs>
      </w:pPr>
      <w:hyperlink w:anchor="_Toc29987" w:history="1">
        <w:r>
          <w:rPr>
            <w:rFonts w:ascii="宋体" w:eastAsia="宋体" w:hAnsi="宋体" w:cs="宋体" w:hint="eastAsia"/>
            <w:bCs w:val="0"/>
            <w:szCs w:val="28"/>
            <w:lang w:eastAsia="zh-CN"/>
          </w:rPr>
          <w:t>(一)、高效团队建设原则</w:t>
        </w:r>
        <w:r>
          <w:tab/>
        </w:r>
        <w:r>
          <w:fldChar w:fldCharType="begin"/>
        </w:r>
        <w:r>
          <w:instrText xml:space="preserve"> PAGEREF _Toc29987 \h </w:instrText>
        </w:r>
        <w:r>
          <w:fldChar w:fldCharType="separate"/>
        </w:r>
        <w:r>
          <w:t>20</w:t>
        </w:r>
        <w:r>
          <w:fldChar w:fldCharType="end"/>
        </w:r>
      </w:hyperlink>
    </w:p>
    <w:p>
      <w:pPr>
        <w:pStyle w:val="TOC2"/>
        <w:tabs>
          <w:tab w:val="right" w:leader="dot" w:pos="8306"/>
        </w:tabs>
      </w:pPr>
      <w:hyperlink w:anchor="_Toc6686" w:history="1">
        <w:r>
          <w:rPr>
            <w:rFonts w:ascii="宋体" w:eastAsia="宋体" w:hAnsi="宋体" w:cs="宋体" w:hint="eastAsia"/>
            <w:bCs w:val="0"/>
            <w:szCs w:val="28"/>
            <w:lang w:eastAsia="zh-CN"/>
          </w:rPr>
          <w:t>(二)、团队文化与价值观塑造</w:t>
        </w:r>
        <w:r>
          <w:tab/>
        </w:r>
        <w:r>
          <w:fldChar w:fldCharType="begin"/>
        </w:r>
        <w:r>
          <w:instrText xml:space="preserve"> PAGEREF _Toc6686 \h </w:instrText>
        </w:r>
        <w:r>
          <w:fldChar w:fldCharType="separate"/>
        </w:r>
        <w:r>
          <w:t>20</w:t>
        </w:r>
        <w:r>
          <w:fldChar w:fldCharType="end"/>
        </w:r>
      </w:hyperlink>
    </w:p>
    <w:p>
      <w:pPr>
        <w:pStyle w:val="TOC2"/>
        <w:tabs>
          <w:tab w:val="right" w:leader="dot" w:pos="8306"/>
        </w:tabs>
      </w:pPr>
      <w:hyperlink w:anchor="_Toc19643" w:history="1">
        <w:r>
          <w:rPr>
            <w:rFonts w:ascii="宋体" w:eastAsia="宋体" w:hAnsi="宋体" w:cs="宋体" w:hint="eastAsia"/>
            <w:bCs w:val="0"/>
            <w:szCs w:val="28"/>
            <w:lang w:eastAsia="zh-CN"/>
          </w:rPr>
          <w:t>(三)、领导力发展计划</w:t>
        </w:r>
        <w:r>
          <w:tab/>
        </w:r>
        <w:r>
          <w:fldChar w:fldCharType="begin"/>
        </w:r>
        <w:r>
          <w:instrText xml:space="preserve"> PAGEREF _Toc19643 \h </w:instrText>
        </w:r>
        <w:r>
          <w:fldChar w:fldCharType="separate"/>
        </w:r>
        <w:r>
          <w:t>21</w:t>
        </w:r>
        <w:r>
          <w:fldChar w:fldCharType="end"/>
        </w:r>
      </w:hyperlink>
    </w:p>
    <w:p>
      <w:pPr>
        <w:pStyle w:val="TOC2"/>
        <w:tabs>
          <w:tab w:val="right" w:leader="dot" w:pos="8306"/>
        </w:tabs>
      </w:pPr>
      <w:hyperlink w:anchor="_Toc6120" w:history="1">
        <w:r>
          <w:rPr>
            <w:rFonts w:ascii="宋体" w:eastAsia="宋体" w:hAnsi="宋体" w:cs="宋体" w:hint="eastAsia"/>
            <w:bCs w:val="0"/>
            <w:szCs w:val="28"/>
            <w:lang w:eastAsia="zh-CN"/>
          </w:rPr>
          <w:t>(四)、领导力在变革中的作用</w:t>
        </w:r>
        <w:r>
          <w:tab/>
        </w:r>
        <w:r>
          <w:fldChar w:fldCharType="begin"/>
        </w:r>
        <w:r>
          <w:instrText xml:space="preserve"> PAGEREF _Toc6120 \h </w:instrText>
        </w:r>
        <w:r>
          <w:fldChar w:fldCharType="separate"/>
        </w:r>
        <w:r>
          <w:t>22</w:t>
        </w:r>
        <w:r>
          <w:fldChar w:fldCharType="end"/>
        </w:r>
      </w:hyperlink>
    </w:p>
    <w:p>
      <w:pPr>
        <w:pStyle w:val="TOC1"/>
        <w:tabs>
          <w:tab w:val="right" w:leader="dot" w:pos="8306"/>
        </w:tabs>
      </w:pPr>
      <w:hyperlink w:anchor="_Toc30274" w:history="1">
        <w:r>
          <w:rPr>
            <w:rFonts w:ascii="微软雅黑" w:eastAsia="微软雅黑" w:hAnsi="微软雅黑" w:cs="微软雅黑" w:hint="eastAsia"/>
            <w:color w:val="001CAC" w:themeColor="hyperlink" w:themeShade="BF"/>
            <w:szCs w:val="32"/>
            <w:lang w:eastAsia="zh-CN"/>
          </w:rPr>
          <w:t>四、颜料行业人力资源管理策略</w:t>
        </w:r>
        <w:r>
          <w:tab/>
        </w:r>
        <w:r>
          <w:fldChar w:fldCharType="begin"/>
        </w:r>
        <w:r>
          <w:instrText xml:space="preserve"> PAGEREF _Toc30274 \h </w:instrText>
        </w:r>
        <w:r>
          <w:fldChar w:fldCharType="separate"/>
        </w:r>
        <w:r>
          <w:t>24</w:t>
        </w:r>
        <w:r>
          <w:fldChar w:fldCharType="end"/>
        </w:r>
      </w:hyperlink>
    </w:p>
    <w:p>
      <w:pPr>
        <w:pStyle w:val="TOC2"/>
        <w:tabs>
          <w:tab w:val="right" w:leader="dot" w:pos="8306"/>
        </w:tabs>
      </w:pPr>
      <w:hyperlink w:anchor="_Toc8389" w:history="1">
        <w:r>
          <w:rPr>
            <w:rFonts w:ascii="宋体" w:eastAsia="宋体" w:hAnsi="宋体" w:cs="宋体" w:hint="eastAsia"/>
            <w:bCs w:val="0"/>
            <w:szCs w:val="28"/>
            <w:lang w:eastAsia="zh-CN"/>
          </w:rPr>
          <w:t>(一)、颜料行业人力资源管理原则</w:t>
        </w:r>
        <w:r>
          <w:tab/>
        </w:r>
        <w:r>
          <w:fldChar w:fldCharType="begin"/>
        </w:r>
        <w:r>
          <w:instrText xml:space="preserve"> PAGEREF _Toc8389 \h </w:instrText>
        </w:r>
        <w:r>
          <w:fldChar w:fldCharType="separate"/>
        </w:r>
        <w:r>
          <w:t>24</w:t>
        </w:r>
        <w:r>
          <w:fldChar w:fldCharType="end"/>
        </w:r>
      </w:hyperlink>
    </w:p>
    <w:p>
      <w:pPr>
        <w:pStyle w:val="TOC2"/>
        <w:tabs>
          <w:tab w:val="right" w:leader="dot" w:pos="8306"/>
        </w:tabs>
      </w:pPr>
      <w:hyperlink w:anchor="_Toc248" w:history="1">
        <w:r>
          <w:rPr>
            <w:rFonts w:ascii="宋体" w:eastAsia="宋体" w:hAnsi="宋体" w:cs="宋体" w:hint="eastAsia"/>
            <w:bCs w:val="0"/>
            <w:szCs w:val="28"/>
            <w:lang w:eastAsia="zh-CN"/>
          </w:rPr>
          <w:t>(二)、颜料行业劳动关系管理</w:t>
        </w:r>
        <w:r>
          <w:tab/>
        </w:r>
        <w:r>
          <w:fldChar w:fldCharType="begin"/>
        </w:r>
        <w:r>
          <w:instrText xml:space="preserve"> PAGEREF _Toc248 \h </w:instrText>
        </w:r>
        <w:r>
          <w:fldChar w:fldCharType="separate"/>
        </w:r>
        <w:r>
          <w:t>27</w:t>
        </w:r>
        <w:r>
          <w:fldChar w:fldCharType="end"/>
        </w:r>
      </w:hyperlink>
    </w:p>
    <w:p>
      <w:pPr>
        <w:pStyle w:val="TOC2"/>
        <w:tabs>
          <w:tab w:val="right" w:leader="dot" w:pos="8306"/>
        </w:tabs>
      </w:pPr>
      <w:hyperlink w:anchor="_Toc28636" w:history="1">
        <w:r>
          <w:rPr>
            <w:rFonts w:ascii="宋体" w:eastAsia="宋体" w:hAnsi="宋体" w:cs="宋体" w:hint="eastAsia"/>
            <w:bCs w:val="0"/>
            <w:szCs w:val="28"/>
            <w:lang w:eastAsia="zh-CN"/>
          </w:rPr>
          <w:t>(三)、颜料行业人员配置方案</w:t>
        </w:r>
        <w:r>
          <w:tab/>
        </w:r>
        <w:r>
          <w:fldChar w:fldCharType="begin"/>
        </w:r>
        <w:r>
          <w:instrText xml:space="preserve"> PAGEREF _Toc28636 \h </w:instrText>
        </w:r>
        <w:r>
          <w:fldChar w:fldCharType="separate"/>
        </w:r>
        <w:r>
          <w:t>28</w:t>
        </w:r>
        <w:r>
          <w:fldChar w:fldCharType="end"/>
        </w:r>
      </w:hyperlink>
    </w:p>
    <w:p>
      <w:pPr>
        <w:pStyle w:val="TOC2"/>
        <w:tabs>
          <w:tab w:val="right" w:leader="dot" w:pos="8306"/>
        </w:tabs>
      </w:pPr>
      <w:hyperlink w:anchor="_Toc10412" w:history="1">
        <w:r>
          <w:rPr>
            <w:rFonts w:ascii="宋体" w:eastAsia="宋体" w:hAnsi="宋体" w:cs="宋体" w:hint="eastAsia"/>
            <w:bCs w:val="0"/>
            <w:szCs w:val="28"/>
            <w:lang w:eastAsia="zh-CN"/>
          </w:rPr>
          <w:t>(四)、颜料行业员工招聘方案</w:t>
        </w:r>
        <w:r>
          <w:tab/>
        </w:r>
        <w:r>
          <w:fldChar w:fldCharType="begin"/>
        </w:r>
        <w:r>
          <w:instrText xml:space="preserve"> PAGEREF _Toc10412 \h </w:instrText>
        </w:r>
        <w:r>
          <w:fldChar w:fldCharType="separate"/>
        </w:r>
        <w:r>
          <w:t>29</w:t>
        </w:r>
        <w:r>
          <w:fldChar w:fldCharType="end"/>
        </w:r>
      </w:hyperlink>
    </w:p>
    <w:p>
      <w:pPr>
        <w:pStyle w:val="TOC2"/>
        <w:tabs>
          <w:tab w:val="right" w:leader="dot" w:pos="8306"/>
        </w:tabs>
      </w:pPr>
      <w:hyperlink w:anchor="_Toc4601" w:history="1">
        <w:r>
          <w:rPr>
            <w:rFonts w:ascii="宋体" w:eastAsia="宋体" w:hAnsi="宋体" w:cs="宋体" w:hint="eastAsia"/>
            <w:bCs w:val="0"/>
            <w:szCs w:val="28"/>
            <w:lang w:eastAsia="zh-CN"/>
          </w:rPr>
          <w:t>(五)、颜料行业绩效和薪酬管理方案</w:t>
        </w:r>
        <w:r>
          <w:tab/>
        </w:r>
        <w:r>
          <w:fldChar w:fldCharType="begin"/>
        </w:r>
        <w:r>
          <w:instrText xml:space="preserve"> PAGEREF _Toc4601 \h </w:instrText>
        </w:r>
        <w:r>
          <w:fldChar w:fldCharType="separate"/>
        </w:r>
        <w:r>
          <w:t>30</w:t>
        </w:r>
        <w:r>
          <w:fldChar w:fldCharType="end"/>
        </w:r>
      </w:hyperlink>
    </w:p>
    <w:p>
      <w:pPr>
        <w:pStyle w:val="TOC2"/>
        <w:tabs>
          <w:tab w:val="right" w:leader="dot" w:pos="8306"/>
        </w:tabs>
      </w:pPr>
      <w:hyperlink w:anchor="_Toc28231" w:history="1">
        <w:r>
          <w:rPr>
            <w:rFonts w:ascii="宋体" w:eastAsia="宋体" w:hAnsi="宋体" w:cs="宋体" w:hint="eastAsia"/>
            <w:bCs w:val="0"/>
            <w:szCs w:val="28"/>
            <w:lang w:eastAsia="zh-CN"/>
          </w:rPr>
          <w:t>(六)、颜料行业员工福利管理方案</w:t>
        </w:r>
        <w:r>
          <w:tab/>
        </w:r>
        <w:r>
          <w:fldChar w:fldCharType="begin"/>
        </w:r>
        <w:r>
          <w:instrText xml:space="preserve"> PAGEREF _Toc28231 \h </w:instrText>
        </w:r>
        <w:r>
          <w:fldChar w:fldCharType="separate"/>
        </w:r>
        <w:r>
          <w:t>32</w:t>
        </w:r>
        <w:r>
          <w:fldChar w:fldCharType="end"/>
        </w:r>
      </w:hyperlink>
    </w:p>
    <w:p>
      <w:pPr>
        <w:pStyle w:val="TOC1"/>
        <w:tabs>
          <w:tab w:val="right" w:leader="dot" w:pos="8306"/>
        </w:tabs>
      </w:pPr>
      <w:hyperlink w:anchor="_Toc22125" w:history="1">
        <w:r>
          <w:rPr>
            <w:rFonts w:ascii="微软雅黑" w:eastAsia="微软雅黑" w:hAnsi="微软雅黑" w:cs="微软雅黑" w:hint="eastAsia"/>
            <w:color w:val="001CAC" w:themeColor="hyperlink" w:themeShade="BF"/>
            <w:szCs w:val="32"/>
            <w:lang w:eastAsia="zh-CN"/>
          </w:rPr>
          <w:t>五、安全与劳动保护</w:t>
        </w:r>
        <w:r>
          <w:tab/>
        </w:r>
        <w:r>
          <w:fldChar w:fldCharType="begin"/>
        </w:r>
        <w:r>
          <w:instrText xml:space="preserve"> PAGEREF _Toc22125 \h </w:instrText>
        </w:r>
        <w:r>
          <w:fldChar w:fldCharType="separate"/>
        </w:r>
        <w:r>
          <w:t>34</w:t>
        </w:r>
        <w:r>
          <w:fldChar w:fldCharType="end"/>
        </w:r>
      </w:hyperlink>
    </w:p>
    <w:p>
      <w:pPr>
        <w:pStyle w:val="TOC2"/>
        <w:tabs>
          <w:tab w:val="right" w:leader="dot" w:pos="8306"/>
        </w:tabs>
      </w:pPr>
      <w:hyperlink w:anchor="_Toc5566" w:history="1">
        <w:r>
          <w:rPr>
            <w:rFonts w:ascii="宋体" w:eastAsia="宋体" w:hAnsi="宋体" w:cs="宋体" w:hint="eastAsia"/>
            <w:bCs w:val="0"/>
            <w:szCs w:val="28"/>
            <w:lang w:eastAsia="zh-CN"/>
          </w:rPr>
          <w:t>(一)、设计依据与法规合规</w:t>
        </w:r>
        <w:r>
          <w:tab/>
        </w:r>
        <w:r>
          <w:fldChar w:fldCharType="begin"/>
        </w:r>
        <w:r>
          <w:instrText xml:space="preserve"> PAGEREF _Toc5566 \h </w:instrText>
        </w:r>
        <w:r>
          <w:fldChar w:fldCharType="separate"/>
        </w:r>
        <w:r>
          <w:t>34</w:t>
        </w:r>
        <w:r>
          <w:fldChar w:fldCharType="end"/>
        </w:r>
      </w:hyperlink>
    </w:p>
    <w:p>
      <w:pPr>
        <w:pStyle w:val="TOC2"/>
        <w:tabs>
          <w:tab w:val="right" w:leader="dot" w:pos="8306"/>
        </w:tabs>
      </w:pPr>
      <w:hyperlink w:anchor="_Toc25522" w:history="1">
        <w:r>
          <w:rPr>
            <w:rFonts w:ascii="宋体" w:eastAsia="宋体" w:hAnsi="宋体" w:cs="宋体" w:hint="eastAsia"/>
            <w:bCs w:val="0"/>
            <w:szCs w:val="28"/>
            <w:lang w:eastAsia="zh-CN"/>
          </w:rPr>
          <w:t>(二)、劳动安全预期效果评价</w:t>
        </w:r>
        <w:r>
          <w:tab/>
        </w:r>
        <w:r>
          <w:fldChar w:fldCharType="begin"/>
        </w:r>
        <w:r>
          <w:instrText xml:space="preserve"> PAGEREF _Toc25522 \h </w:instrText>
        </w:r>
        <w:r>
          <w:fldChar w:fldCharType="separate"/>
        </w:r>
        <w:r>
          <w:t>34</w:t>
        </w:r>
        <w:r>
          <w:fldChar w:fldCharType="end"/>
        </w:r>
      </w:hyperlink>
    </w:p>
    <w:p>
      <w:pPr>
        <w:pStyle w:val="TOC2"/>
        <w:tabs>
          <w:tab w:val="right" w:leader="dot" w:pos="8306"/>
        </w:tabs>
      </w:pPr>
      <w:hyperlink w:anchor="_Toc15503" w:history="1">
        <w:r>
          <w:rPr>
            <w:rFonts w:ascii="宋体" w:eastAsia="宋体" w:hAnsi="宋体" w:cs="宋体" w:hint="eastAsia"/>
            <w:bCs w:val="0"/>
            <w:szCs w:val="28"/>
            <w:lang w:eastAsia="zh-CN"/>
          </w:rPr>
          <w:t>(三)、主要防范措施</w:t>
        </w:r>
        <w:r>
          <w:tab/>
        </w:r>
        <w:r>
          <w:fldChar w:fldCharType="begin"/>
        </w:r>
        <w:r>
          <w:instrText xml:space="preserve"> PAGEREF _Toc15503 \h </w:instrText>
        </w:r>
        <w:r>
          <w:fldChar w:fldCharType="separate"/>
        </w:r>
        <w:r>
          <w:t>34</w:t>
        </w:r>
        <w:r>
          <w:fldChar w:fldCharType="end"/>
        </w:r>
      </w:hyperlink>
    </w:p>
    <w:p>
      <w:pPr>
        <w:pStyle w:val="TOC1"/>
        <w:tabs>
          <w:tab w:val="right" w:leader="dot" w:pos="8306"/>
        </w:tabs>
      </w:pPr>
      <w:hyperlink w:anchor="_Toc30326" w:history="1">
        <w:r>
          <w:rPr>
            <w:rFonts w:ascii="微软雅黑" w:eastAsia="微软雅黑" w:hAnsi="微软雅黑" w:cs="微软雅黑" w:hint="eastAsia"/>
            <w:color w:val="001CAC" w:themeColor="hyperlink" w:themeShade="BF"/>
            <w:szCs w:val="32"/>
            <w:lang w:eastAsia="zh-CN"/>
          </w:rPr>
          <w:t>六、颜料行业投资管理策略</w:t>
        </w:r>
        <w:r>
          <w:tab/>
        </w:r>
        <w:r>
          <w:fldChar w:fldCharType="begin"/>
        </w:r>
        <w:r>
          <w:instrText xml:space="preserve"> PAGEREF _Toc30326 \h </w:instrText>
        </w:r>
        <w:r>
          <w:fldChar w:fldCharType="separate"/>
        </w:r>
        <w:r>
          <w:t>35</w:t>
        </w:r>
        <w:r>
          <w:fldChar w:fldCharType="end"/>
        </w:r>
      </w:hyperlink>
    </w:p>
    <w:p>
      <w:pPr>
        <w:pStyle w:val="TOC2"/>
        <w:tabs>
          <w:tab w:val="right" w:leader="dot" w:pos="8306"/>
        </w:tabs>
      </w:pPr>
      <w:hyperlink w:anchor="_Toc5434" w:history="1">
        <w:r>
          <w:rPr>
            <w:rFonts w:ascii="宋体" w:eastAsia="宋体" w:hAnsi="宋体" w:cs="宋体" w:hint="eastAsia"/>
            <w:bCs w:val="0"/>
            <w:szCs w:val="28"/>
            <w:lang w:eastAsia="zh-CN"/>
          </w:rPr>
          <w:t>(一)、颜料行业投资估算主要内容</w:t>
        </w:r>
        <w:r>
          <w:tab/>
        </w:r>
        <w:r>
          <w:fldChar w:fldCharType="begin"/>
        </w:r>
        <w:r>
          <w:instrText xml:space="preserve"> PAGEREF _Toc5434 \h </w:instrText>
        </w:r>
        <w:r>
          <w:fldChar w:fldCharType="separate"/>
        </w:r>
        <w:r>
          <w:t>35</w:t>
        </w:r>
        <w:r>
          <w:fldChar w:fldCharType="end"/>
        </w:r>
      </w:hyperlink>
    </w:p>
    <w:p>
      <w:pPr>
        <w:pStyle w:val="TOC2"/>
        <w:tabs>
          <w:tab w:val="right" w:leader="dot" w:pos="8306"/>
        </w:tabs>
      </w:pPr>
      <w:hyperlink w:anchor="_Toc17849" w:history="1">
        <w:r>
          <w:rPr>
            <w:rFonts w:ascii="宋体" w:eastAsia="宋体" w:hAnsi="宋体" w:cs="宋体" w:hint="eastAsia"/>
            <w:bCs w:val="0"/>
            <w:szCs w:val="28"/>
            <w:lang w:eastAsia="zh-CN"/>
          </w:rPr>
          <w:t>(二)、颜料行业设备购置投资费用管理</w:t>
        </w:r>
        <w:r>
          <w:tab/>
        </w:r>
        <w:r>
          <w:fldChar w:fldCharType="begin"/>
        </w:r>
        <w:r>
          <w:instrText xml:space="preserve"> PAGEREF _Toc17849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7" w:history="1">
        <w:r>
          <w:rPr>
            <w:rFonts w:ascii="宋体" w:eastAsia="宋体" w:hAnsi="宋体" w:cs="宋体" w:hint="eastAsia"/>
            <w:bCs w:val="0"/>
            <w:szCs w:val="28"/>
            <w:lang w:eastAsia="zh-CN"/>
          </w:rPr>
          <w:t>(三)、颜料行业装修施工投资费用管理</w:t>
        </w:r>
        <w:r>
          <w:tab/>
        </w:r>
        <w:r>
          <w:fldChar w:fldCharType="begin"/>
        </w:r>
        <w:r>
          <w:instrText xml:space="preserve"> PAGEREF _Toc30537 \h </w:instrText>
        </w:r>
        <w:r>
          <w:fldChar w:fldCharType="separate"/>
        </w:r>
        <w:r>
          <w:t>42</w:t>
        </w:r>
        <w:r>
          <w:fldChar w:fldCharType="end"/>
        </w:r>
      </w:hyperlink>
    </w:p>
    <w:p>
      <w:pPr>
        <w:pStyle w:val="TOC2"/>
        <w:tabs>
          <w:tab w:val="right" w:leader="dot" w:pos="8306"/>
        </w:tabs>
      </w:pPr>
      <w:hyperlink w:anchor="_Toc7458" w:history="1">
        <w:r>
          <w:rPr>
            <w:rFonts w:ascii="宋体" w:eastAsia="宋体" w:hAnsi="宋体" w:cs="宋体" w:hint="eastAsia"/>
            <w:bCs w:val="0"/>
            <w:szCs w:val="28"/>
            <w:lang w:eastAsia="zh-CN"/>
          </w:rPr>
          <w:t>(四)、颜料行业流动资金管理</w:t>
        </w:r>
        <w:r>
          <w:tab/>
        </w:r>
        <w:r>
          <w:fldChar w:fldCharType="begin"/>
        </w:r>
        <w:r>
          <w:instrText xml:space="preserve"> PAGEREF _Toc7458 \h </w:instrText>
        </w:r>
        <w:r>
          <w:fldChar w:fldCharType="separate"/>
        </w:r>
        <w:r>
          <w:t>43</w:t>
        </w:r>
        <w:r>
          <w:fldChar w:fldCharType="end"/>
        </w:r>
      </w:hyperlink>
    </w:p>
    <w:p>
      <w:pPr>
        <w:pStyle w:val="TOC1"/>
        <w:tabs>
          <w:tab w:val="right" w:leader="dot" w:pos="8306"/>
        </w:tabs>
      </w:pPr>
      <w:hyperlink w:anchor="_Toc12524" w:history="1">
        <w:r>
          <w:rPr>
            <w:rFonts w:ascii="微软雅黑" w:eastAsia="微软雅黑" w:hAnsi="微软雅黑" w:cs="微软雅黑" w:hint="eastAsia"/>
            <w:color w:val="001CAC" w:themeColor="hyperlink" w:themeShade="BF"/>
            <w:szCs w:val="32"/>
            <w:lang w:eastAsia="zh-CN"/>
          </w:rPr>
          <w:t>七、制度运行与优化</w:t>
        </w:r>
        <w:r>
          <w:tab/>
        </w:r>
        <w:r>
          <w:fldChar w:fldCharType="begin"/>
        </w:r>
        <w:r>
          <w:instrText xml:space="preserve"> PAGEREF _Toc12524 \h </w:instrText>
        </w:r>
        <w:r>
          <w:fldChar w:fldCharType="separate"/>
        </w:r>
        <w:r>
          <w:t>45</w:t>
        </w:r>
        <w:r>
          <w:fldChar w:fldCharType="end"/>
        </w:r>
      </w:hyperlink>
    </w:p>
    <w:p>
      <w:pPr>
        <w:pStyle w:val="TOC2"/>
        <w:tabs>
          <w:tab w:val="right" w:leader="dot" w:pos="8306"/>
        </w:tabs>
      </w:pPr>
      <w:hyperlink w:anchor="_Toc1722" w:history="1">
        <w:r>
          <w:rPr>
            <w:rFonts w:ascii="宋体" w:eastAsia="宋体" w:hAnsi="宋体" w:cs="宋体" w:hint="eastAsia"/>
            <w:bCs w:val="0"/>
            <w:szCs w:val="28"/>
            <w:lang w:eastAsia="zh-CN"/>
          </w:rPr>
          <w:t>(一)、制度执行与监督</w:t>
        </w:r>
        <w:r>
          <w:tab/>
        </w:r>
        <w:r>
          <w:fldChar w:fldCharType="begin"/>
        </w:r>
        <w:r>
          <w:instrText xml:space="preserve"> PAGEREF _Toc1722 \h </w:instrText>
        </w:r>
        <w:r>
          <w:fldChar w:fldCharType="separate"/>
        </w:r>
        <w:r>
          <w:t>45</w:t>
        </w:r>
        <w:r>
          <w:fldChar w:fldCharType="end"/>
        </w:r>
      </w:hyperlink>
    </w:p>
    <w:p>
      <w:pPr>
        <w:pStyle w:val="TOC2"/>
        <w:tabs>
          <w:tab w:val="right" w:leader="dot" w:pos="8306"/>
        </w:tabs>
      </w:pPr>
      <w:hyperlink w:anchor="_Toc11836" w:history="1">
        <w:r>
          <w:rPr>
            <w:rFonts w:ascii="宋体" w:eastAsia="宋体" w:hAnsi="宋体" w:cs="宋体" w:hint="eastAsia"/>
            <w:bCs w:val="0"/>
            <w:szCs w:val="28"/>
            <w:lang w:eastAsia="zh-CN"/>
          </w:rPr>
          <w:t>(二)、制度优化与更新</w:t>
        </w:r>
        <w:r>
          <w:tab/>
        </w:r>
        <w:r>
          <w:fldChar w:fldCharType="begin"/>
        </w:r>
        <w:r>
          <w:instrText xml:space="preserve"> PAGEREF _Toc11836 \h </w:instrText>
        </w:r>
        <w:r>
          <w:fldChar w:fldCharType="separate"/>
        </w:r>
        <w:r>
          <w:t>46</w:t>
        </w:r>
        <w:r>
          <w:fldChar w:fldCharType="end"/>
        </w:r>
      </w:hyperlink>
    </w:p>
    <w:p>
      <w:pPr>
        <w:pStyle w:val="TOC1"/>
        <w:tabs>
          <w:tab w:val="right" w:leader="dot" w:pos="8306"/>
        </w:tabs>
      </w:pPr>
      <w:hyperlink w:anchor="_Toc26532" w:history="1">
        <w:r>
          <w:rPr>
            <w:rFonts w:ascii="微软雅黑" w:eastAsia="微软雅黑" w:hAnsi="微软雅黑" w:cs="微软雅黑" w:hint="eastAsia"/>
            <w:color w:val="001CAC" w:themeColor="hyperlink" w:themeShade="BF"/>
            <w:szCs w:val="32"/>
            <w:lang w:eastAsia="zh-CN"/>
          </w:rPr>
          <w:t>八、质量与技术管理</w:t>
        </w:r>
        <w:r>
          <w:tab/>
        </w:r>
        <w:r>
          <w:fldChar w:fldCharType="begin"/>
        </w:r>
        <w:r>
          <w:instrText xml:space="preserve"> PAGEREF _Toc26532 \h </w:instrText>
        </w:r>
        <w:r>
          <w:fldChar w:fldCharType="separate"/>
        </w:r>
        <w:r>
          <w:t>47</w:t>
        </w:r>
        <w:r>
          <w:fldChar w:fldCharType="end"/>
        </w:r>
      </w:hyperlink>
    </w:p>
    <w:p>
      <w:pPr>
        <w:pStyle w:val="TOC2"/>
        <w:tabs>
          <w:tab w:val="right" w:leader="dot" w:pos="8306"/>
        </w:tabs>
      </w:pPr>
      <w:hyperlink w:anchor="_Toc27534" w:history="1">
        <w:r>
          <w:rPr>
            <w:rFonts w:ascii="宋体" w:eastAsia="宋体" w:hAnsi="宋体" w:cs="宋体" w:hint="eastAsia"/>
            <w:bCs w:val="0"/>
            <w:szCs w:val="28"/>
            <w:lang w:eastAsia="zh-CN"/>
          </w:rPr>
          <w:t>(一)、质量管理体系建设</w:t>
        </w:r>
        <w:r>
          <w:tab/>
        </w:r>
        <w:r>
          <w:fldChar w:fldCharType="begin"/>
        </w:r>
        <w:r>
          <w:instrText xml:space="preserve"> PAGEREF _Toc27534 \h </w:instrText>
        </w:r>
        <w:r>
          <w:fldChar w:fldCharType="separate"/>
        </w:r>
        <w:r>
          <w:t>47</w:t>
        </w:r>
        <w:r>
          <w:fldChar w:fldCharType="end"/>
        </w:r>
      </w:hyperlink>
    </w:p>
    <w:p>
      <w:pPr>
        <w:pStyle w:val="TOC2"/>
        <w:tabs>
          <w:tab w:val="right" w:leader="dot" w:pos="8306"/>
        </w:tabs>
      </w:pPr>
      <w:hyperlink w:anchor="_Toc20378" w:history="1">
        <w:r>
          <w:rPr>
            <w:rFonts w:ascii="宋体" w:eastAsia="宋体" w:hAnsi="宋体" w:cs="宋体" w:hint="eastAsia"/>
            <w:bCs w:val="0"/>
            <w:szCs w:val="28"/>
            <w:lang w:eastAsia="zh-CN"/>
          </w:rPr>
          <w:t>(二)、技术标准与创新</w:t>
        </w:r>
        <w:r>
          <w:tab/>
        </w:r>
        <w:r>
          <w:fldChar w:fldCharType="begin"/>
        </w:r>
        <w:r>
          <w:instrText xml:space="preserve"> PAGEREF _Toc20378 \h </w:instrText>
        </w:r>
        <w:r>
          <w:fldChar w:fldCharType="separate"/>
        </w:r>
        <w:r>
          <w:t>48</w:t>
        </w:r>
        <w:r>
          <w:fldChar w:fldCharType="end"/>
        </w:r>
      </w:hyperlink>
    </w:p>
    <w:p>
      <w:pPr>
        <w:pStyle w:val="TOC1"/>
        <w:tabs>
          <w:tab w:val="right" w:leader="dot" w:pos="8306"/>
        </w:tabs>
      </w:pPr>
      <w:hyperlink w:anchor="_Toc5003" w:history="1">
        <w:r>
          <w:rPr>
            <w:rFonts w:ascii="微软雅黑" w:eastAsia="微软雅黑" w:hAnsi="微软雅黑" w:cs="微软雅黑" w:hint="eastAsia"/>
            <w:color w:val="001CAC" w:themeColor="hyperlink" w:themeShade="BF"/>
            <w:szCs w:val="32"/>
            <w:lang w:eastAsia="zh-CN"/>
          </w:rPr>
          <w:t>九、颜料行业背景及市场分析</w:t>
        </w:r>
        <w:r>
          <w:tab/>
        </w:r>
        <w:r>
          <w:fldChar w:fldCharType="begin"/>
        </w:r>
        <w:r>
          <w:instrText xml:space="preserve"> PAGEREF _Toc5003 \h </w:instrText>
        </w:r>
        <w:r>
          <w:fldChar w:fldCharType="separate"/>
        </w:r>
        <w:r>
          <w:t>48</w:t>
        </w:r>
        <w:r>
          <w:fldChar w:fldCharType="end"/>
        </w:r>
      </w:hyperlink>
    </w:p>
    <w:p>
      <w:pPr>
        <w:pStyle w:val="TOC2"/>
        <w:tabs>
          <w:tab w:val="right" w:leader="dot" w:pos="8306"/>
        </w:tabs>
      </w:pPr>
      <w:hyperlink w:anchor="_Toc31017" w:history="1">
        <w:r>
          <w:rPr>
            <w:rFonts w:ascii="宋体" w:eastAsia="宋体" w:hAnsi="宋体" w:cs="宋体" w:hint="eastAsia"/>
            <w:bCs w:val="0"/>
            <w:szCs w:val="28"/>
            <w:lang w:eastAsia="zh-CN"/>
          </w:rPr>
          <w:t>(一)、颜料行业创新驱动</w:t>
        </w:r>
        <w:r>
          <w:tab/>
        </w:r>
        <w:r>
          <w:fldChar w:fldCharType="begin"/>
        </w:r>
        <w:r>
          <w:instrText xml:space="preserve"> PAGEREF _Toc31017 \h </w:instrText>
        </w:r>
        <w:r>
          <w:fldChar w:fldCharType="separate"/>
        </w:r>
        <w:r>
          <w:t>48</w:t>
        </w:r>
        <w:r>
          <w:fldChar w:fldCharType="end"/>
        </w:r>
      </w:hyperlink>
    </w:p>
    <w:p>
      <w:pPr>
        <w:pStyle w:val="TOC2"/>
        <w:tabs>
          <w:tab w:val="right" w:leader="dot" w:pos="8306"/>
        </w:tabs>
      </w:pPr>
      <w:hyperlink w:anchor="_Toc28394" w:history="1">
        <w:r>
          <w:rPr>
            <w:rFonts w:ascii="宋体" w:eastAsia="宋体" w:hAnsi="宋体" w:cs="宋体" w:hint="eastAsia"/>
            <w:bCs w:val="0"/>
            <w:szCs w:val="28"/>
            <w:lang w:eastAsia="zh-CN"/>
          </w:rPr>
          <w:t>(二)、颜料行业发展现状</w:t>
        </w:r>
        <w:r>
          <w:tab/>
        </w:r>
        <w:r>
          <w:fldChar w:fldCharType="begin"/>
        </w:r>
        <w:r>
          <w:instrText xml:space="preserve"> PAGEREF _Toc28394 \h </w:instrText>
        </w:r>
        <w:r>
          <w:fldChar w:fldCharType="separate"/>
        </w:r>
        <w:r>
          <w:t>49</w:t>
        </w:r>
        <w:r>
          <w:fldChar w:fldCharType="end"/>
        </w:r>
      </w:hyperlink>
    </w:p>
    <w:p>
      <w:pPr>
        <w:pStyle w:val="TOC2"/>
        <w:tabs>
          <w:tab w:val="right" w:leader="dot" w:pos="8306"/>
        </w:tabs>
      </w:pPr>
      <w:hyperlink w:anchor="_Toc10506" w:history="1">
        <w:r>
          <w:rPr>
            <w:rFonts w:ascii="宋体" w:eastAsia="宋体" w:hAnsi="宋体" w:cs="宋体" w:hint="eastAsia"/>
            <w:bCs w:val="0"/>
            <w:szCs w:val="28"/>
            <w:lang w:eastAsia="zh-CN"/>
          </w:rPr>
          <w:t>(三)、颜料行业高质量发展</w:t>
        </w:r>
        <w:r>
          <w:tab/>
        </w:r>
        <w:r>
          <w:fldChar w:fldCharType="begin"/>
        </w:r>
        <w:r>
          <w:instrText xml:space="preserve"> PAGEREF _Toc10506 \h </w:instrText>
        </w:r>
        <w:r>
          <w:fldChar w:fldCharType="separate"/>
        </w:r>
        <w:r>
          <w:t>50</w:t>
        </w:r>
        <w:r>
          <w:fldChar w:fldCharType="end"/>
        </w:r>
      </w:hyperlink>
    </w:p>
    <w:p>
      <w:pPr>
        <w:pStyle w:val="TOC2"/>
        <w:tabs>
          <w:tab w:val="right" w:leader="dot" w:pos="8306"/>
        </w:tabs>
      </w:pPr>
      <w:hyperlink w:anchor="_Toc15090" w:history="1">
        <w:r>
          <w:rPr>
            <w:rFonts w:ascii="宋体" w:eastAsia="宋体" w:hAnsi="宋体" w:cs="宋体" w:hint="eastAsia"/>
            <w:bCs w:val="0"/>
            <w:szCs w:val="28"/>
            <w:lang w:eastAsia="zh-CN"/>
          </w:rPr>
          <w:t>(四)、颜料行业产业链分析</w:t>
        </w:r>
        <w:r>
          <w:tab/>
        </w:r>
        <w:r>
          <w:fldChar w:fldCharType="begin"/>
        </w:r>
        <w:r>
          <w:instrText xml:space="preserve"> PAGEREF _Toc15090 \h </w:instrText>
        </w:r>
        <w:r>
          <w:fldChar w:fldCharType="separate"/>
        </w:r>
        <w:r>
          <w:t>51</w:t>
        </w:r>
        <w:r>
          <w:fldChar w:fldCharType="end"/>
        </w:r>
      </w:hyperlink>
    </w:p>
    <w:p>
      <w:pPr>
        <w:pStyle w:val="TOC2"/>
        <w:tabs>
          <w:tab w:val="right" w:leader="dot" w:pos="8306"/>
        </w:tabs>
      </w:pPr>
      <w:hyperlink w:anchor="_Toc19723" w:history="1">
        <w:r>
          <w:rPr>
            <w:rFonts w:ascii="宋体" w:eastAsia="宋体" w:hAnsi="宋体" w:cs="宋体" w:hint="eastAsia"/>
            <w:bCs w:val="0"/>
            <w:szCs w:val="28"/>
            <w:lang w:eastAsia="zh-CN"/>
          </w:rPr>
          <w:t>(五)、颜料行业发展方向</w:t>
        </w:r>
        <w:r>
          <w:tab/>
        </w:r>
        <w:r>
          <w:fldChar w:fldCharType="begin"/>
        </w:r>
        <w:r>
          <w:instrText xml:space="preserve"> PAGEREF _Toc19723 \h </w:instrText>
        </w:r>
        <w:r>
          <w:fldChar w:fldCharType="separate"/>
        </w:r>
        <w:r>
          <w:t>52</w:t>
        </w:r>
        <w:r>
          <w:fldChar w:fldCharType="end"/>
        </w:r>
      </w:hyperlink>
    </w:p>
    <w:p>
      <w:pPr>
        <w:pStyle w:val="TOC2"/>
        <w:tabs>
          <w:tab w:val="right" w:leader="dot" w:pos="8306"/>
        </w:tabs>
      </w:pPr>
      <w:hyperlink w:anchor="_Toc25918" w:history="1">
        <w:r>
          <w:rPr>
            <w:rFonts w:ascii="宋体" w:eastAsia="宋体" w:hAnsi="宋体" w:cs="宋体" w:hint="eastAsia"/>
            <w:bCs w:val="0"/>
            <w:szCs w:val="28"/>
            <w:lang w:eastAsia="zh-CN"/>
          </w:rPr>
          <w:t>(六)、颜料行业前景</w:t>
        </w:r>
        <w:r>
          <w:tab/>
        </w:r>
        <w:r>
          <w:fldChar w:fldCharType="begin"/>
        </w:r>
        <w:r>
          <w:instrText xml:space="preserve"> PAGEREF _Toc25918 \h </w:instrText>
        </w:r>
        <w:r>
          <w:fldChar w:fldCharType="separate"/>
        </w:r>
        <w:r>
          <w:t>54</w:t>
        </w:r>
        <w:r>
          <w:fldChar w:fldCharType="end"/>
        </w:r>
      </w:hyperlink>
    </w:p>
    <w:p>
      <w:pPr>
        <w:pStyle w:val="TOC2"/>
        <w:tabs>
          <w:tab w:val="right" w:leader="dot" w:pos="8306"/>
        </w:tabs>
      </w:pPr>
      <w:hyperlink w:anchor="_Toc32605" w:history="1">
        <w:r>
          <w:rPr>
            <w:rFonts w:ascii="宋体" w:eastAsia="宋体" w:hAnsi="宋体" w:cs="宋体" w:hint="eastAsia"/>
            <w:bCs w:val="0"/>
            <w:szCs w:val="28"/>
            <w:lang w:eastAsia="zh-CN"/>
          </w:rPr>
          <w:t>(七)、颜料行业发展趋势</w:t>
        </w:r>
        <w:r>
          <w:tab/>
        </w:r>
        <w:r>
          <w:fldChar w:fldCharType="begin"/>
        </w:r>
        <w:r>
          <w:instrText xml:space="preserve"> PAGEREF _Toc32605 \h </w:instrText>
        </w:r>
        <w:r>
          <w:fldChar w:fldCharType="separate"/>
        </w:r>
        <w:r>
          <w:t>56</w:t>
        </w:r>
        <w:r>
          <w:fldChar w:fldCharType="end"/>
        </w:r>
      </w:hyperlink>
    </w:p>
    <w:p>
      <w:pPr>
        <w:pStyle w:val="TOC1"/>
        <w:tabs>
          <w:tab w:val="right" w:leader="dot" w:pos="8306"/>
        </w:tabs>
      </w:pPr>
      <w:hyperlink w:anchor="_Toc24141" w:history="1">
        <w:r>
          <w:rPr>
            <w:rFonts w:ascii="微软雅黑" w:eastAsia="微软雅黑" w:hAnsi="微软雅黑" w:cs="微软雅黑" w:hint="eastAsia"/>
            <w:color w:val="001CAC" w:themeColor="hyperlink" w:themeShade="BF"/>
            <w:szCs w:val="32"/>
            <w:lang w:eastAsia="zh-CN"/>
          </w:rPr>
          <w:t>十、项目运营与管理</w:t>
        </w:r>
        <w:r>
          <w:tab/>
        </w:r>
        <w:r>
          <w:fldChar w:fldCharType="begin"/>
        </w:r>
        <w:r>
          <w:instrText xml:space="preserve"> PAGEREF _Toc24141 \h </w:instrText>
        </w:r>
        <w:r>
          <w:fldChar w:fldCharType="separate"/>
        </w:r>
        <w:r>
          <w:t>58</w:t>
        </w:r>
        <w:r>
          <w:fldChar w:fldCharType="end"/>
        </w:r>
      </w:hyperlink>
    </w:p>
    <w:p>
      <w:pPr>
        <w:pStyle w:val="TOC2"/>
        <w:tabs>
          <w:tab w:val="right" w:leader="dot" w:pos="8306"/>
        </w:tabs>
      </w:pPr>
      <w:hyperlink w:anchor="_Toc31048" w:history="1">
        <w:r>
          <w:rPr>
            <w:rFonts w:ascii="宋体" w:eastAsia="宋体" w:hAnsi="宋体" w:cs="宋体" w:hint="eastAsia"/>
            <w:bCs w:val="0"/>
            <w:szCs w:val="28"/>
            <w:lang w:eastAsia="zh-CN"/>
          </w:rPr>
          <w:t>(一)、运营模式选择</w:t>
        </w:r>
        <w:r>
          <w:tab/>
        </w:r>
        <w:r>
          <w:fldChar w:fldCharType="begin"/>
        </w:r>
        <w:r>
          <w:instrText xml:space="preserve"> PAGEREF _Toc31048 \h </w:instrText>
        </w:r>
        <w:r>
          <w:fldChar w:fldCharType="separate"/>
        </w:r>
        <w:r>
          <w:t>58</w:t>
        </w:r>
        <w:r>
          <w:fldChar w:fldCharType="end"/>
        </w:r>
      </w:hyperlink>
    </w:p>
    <w:p>
      <w:pPr>
        <w:pStyle w:val="TOC2"/>
        <w:tabs>
          <w:tab w:val="right" w:leader="dot" w:pos="8306"/>
        </w:tabs>
      </w:pPr>
      <w:hyperlink w:anchor="_Toc484" w:history="1">
        <w:r>
          <w:rPr>
            <w:rFonts w:ascii="宋体" w:eastAsia="宋体" w:hAnsi="宋体" w:cs="宋体" w:hint="eastAsia"/>
            <w:bCs w:val="0"/>
            <w:szCs w:val="28"/>
            <w:lang w:eastAsia="zh-CN"/>
          </w:rPr>
          <w:t>(二)、人力资源规划</w:t>
        </w:r>
        <w:r>
          <w:tab/>
        </w:r>
        <w:r>
          <w:fldChar w:fldCharType="begin"/>
        </w:r>
        <w:r>
          <w:instrText xml:space="preserve"> PAGEREF _Toc484 \h </w:instrText>
        </w:r>
        <w:r>
          <w:fldChar w:fldCharType="separate"/>
        </w:r>
        <w:r>
          <w:t>59</w:t>
        </w:r>
        <w:r>
          <w:fldChar w:fldCharType="end"/>
        </w:r>
      </w:hyperlink>
    </w:p>
    <w:p>
      <w:pPr>
        <w:pStyle w:val="TOC2"/>
        <w:tabs>
          <w:tab w:val="right" w:leader="dot" w:pos="8306"/>
        </w:tabs>
      </w:pPr>
      <w:hyperlink w:anchor="_Toc6294" w:history="1">
        <w:r>
          <w:rPr>
            <w:rFonts w:ascii="宋体" w:eastAsia="宋体" w:hAnsi="宋体" w:cs="宋体" w:hint="eastAsia"/>
            <w:bCs w:val="0"/>
            <w:szCs w:val="28"/>
            <w:lang w:eastAsia="zh-CN"/>
          </w:rPr>
          <w:t>(三)、财务管理计划</w:t>
        </w:r>
        <w:r>
          <w:tab/>
        </w:r>
        <w:r>
          <w:fldChar w:fldCharType="begin"/>
        </w:r>
        <w:r>
          <w:instrText xml:space="preserve"> PAGEREF _Toc6294 \h </w:instrText>
        </w:r>
        <w:r>
          <w:fldChar w:fldCharType="separate"/>
        </w:r>
        <w:r>
          <w:t>59</w:t>
        </w:r>
        <w:r>
          <w:fldChar w:fldCharType="end"/>
        </w:r>
      </w:hyperlink>
    </w:p>
    <w:p>
      <w:pPr>
        <w:pStyle w:val="TOC2"/>
        <w:tabs>
          <w:tab w:val="right" w:leader="dot" w:pos="8306"/>
        </w:tabs>
      </w:pPr>
      <w:hyperlink w:anchor="_Toc19290" w:history="1">
        <w:r>
          <w:rPr>
            <w:rFonts w:ascii="宋体" w:eastAsia="宋体" w:hAnsi="宋体" w:cs="宋体" w:hint="eastAsia"/>
            <w:bCs w:val="0"/>
            <w:szCs w:val="28"/>
            <w:lang w:eastAsia="zh-CN"/>
          </w:rPr>
          <w:t>(四)、供应链管理</w:t>
        </w:r>
        <w:r>
          <w:tab/>
        </w:r>
        <w:r>
          <w:fldChar w:fldCharType="begin"/>
        </w:r>
        <w:r>
          <w:instrText xml:space="preserve"> PAGEREF _Toc19290 \h </w:instrText>
        </w:r>
        <w:r>
          <w:fldChar w:fldCharType="separate"/>
        </w:r>
        <w:r>
          <w:t>60</w:t>
        </w:r>
        <w:r>
          <w:fldChar w:fldCharType="end"/>
        </w:r>
      </w:hyperlink>
    </w:p>
    <w:p>
      <w:pPr>
        <w:pStyle w:val="TOC1"/>
        <w:tabs>
          <w:tab w:val="right" w:leader="dot" w:pos="8306"/>
        </w:tabs>
      </w:pPr>
      <w:hyperlink w:anchor="_Toc30002" w:history="1">
        <w:r>
          <w:rPr>
            <w:rFonts w:ascii="微软雅黑" w:eastAsia="微软雅黑" w:hAnsi="微软雅黑" w:cs="微软雅黑" w:hint="eastAsia"/>
            <w:color w:val="001CAC" w:themeColor="hyperlink" w:themeShade="BF"/>
            <w:szCs w:val="32"/>
            <w:lang w:eastAsia="zh-CN"/>
          </w:rPr>
          <w:t>十一、项目实施与进度安排</w:t>
        </w:r>
        <w:r>
          <w:tab/>
        </w:r>
        <w:r>
          <w:fldChar w:fldCharType="begin"/>
        </w:r>
        <w:r>
          <w:instrText xml:space="preserve"> PAGEREF _Toc30002 \h </w:instrText>
        </w:r>
        <w:r>
          <w:fldChar w:fldCharType="separate"/>
        </w:r>
        <w:r>
          <w:t>61</w:t>
        </w:r>
        <w:r>
          <w:fldChar w:fldCharType="end"/>
        </w:r>
      </w:hyperlink>
    </w:p>
    <w:p>
      <w:pPr>
        <w:pStyle w:val="TOC2"/>
        <w:tabs>
          <w:tab w:val="right" w:leader="dot" w:pos="8306"/>
        </w:tabs>
      </w:pPr>
      <w:hyperlink w:anchor="_Toc32050" w:history="1">
        <w:r>
          <w:rPr>
            <w:rFonts w:ascii="宋体" w:eastAsia="宋体" w:hAnsi="宋体" w:cs="宋体" w:hint="eastAsia"/>
            <w:bCs w:val="0"/>
            <w:szCs w:val="28"/>
            <w:lang w:eastAsia="zh-CN"/>
          </w:rPr>
          <w:t>(一)、项目计划与时间节点</w:t>
        </w:r>
        <w:r>
          <w:tab/>
        </w:r>
        <w:r>
          <w:fldChar w:fldCharType="begin"/>
        </w:r>
        <w:r>
          <w:instrText xml:space="preserve"> PAGEREF _Toc32050 \h </w:instrText>
        </w:r>
        <w:r>
          <w:fldChar w:fldCharType="separate"/>
        </w:r>
        <w:r>
          <w:t>61</w:t>
        </w:r>
        <w:r>
          <w:fldChar w:fldCharType="end"/>
        </w:r>
      </w:hyperlink>
    </w:p>
    <w:p>
      <w:pPr>
        <w:pStyle w:val="TOC2"/>
        <w:tabs>
          <w:tab w:val="right" w:leader="dot" w:pos="8306"/>
        </w:tabs>
      </w:pPr>
      <w:hyperlink w:anchor="_Toc12486" w:history="1">
        <w:r>
          <w:rPr>
            <w:rFonts w:ascii="宋体" w:eastAsia="宋体" w:hAnsi="宋体" w:cs="宋体" w:hint="eastAsia"/>
            <w:bCs w:val="0"/>
            <w:szCs w:val="28"/>
            <w:lang w:eastAsia="zh-CN"/>
          </w:rPr>
          <w:t>(二)、项目进度安排</w:t>
        </w:r>
        <w:r>
          <w:tab/>
        </w:r>
        <w:r>
          <w:fldChar w:fldCharType="begin"/>
        </w:r>
        <w:r>
          <w:instrText xml:space="preserve"> PAGEREF _Toc12486 \h </w:instrText>
        </w:r>
        <w:r>
          <w:fldChar w:fldCharType="separate"/>
        </w:r>
        <w:r>
          <w:t>63</w:t>
        </w:r>
        <w:r>
          <w:fldChar w:fldCharType="end"/>
        </w:r>
      </w:hyperlink>
    </w:p>
    <w:p>
      <w:pPr>
        <w:pStyle w:val="TOC2"/>
        <w:tabs>
          <w:tab w:val="right" w:leader="dot" w:pos="8306"/>
        </w:tabs>
      </w:pPr>
      <w:hyperlink w:anchor="_Toc24255" w:history="1">
        <w:r>
          <w:rPr>
            <w:rFonts w:ascii="宋体" w:eastAsia="宋体" w:hAnsi="宋体" w:cs="宋体" w:hint="eastAsia"/>
            <w:bCs w:val="0"/>
            <w:szCs w:val="28"/>
            <w:lang w:eastAsia="zh-CN"/>
          </w:rPr>
          <w:t>(三)、风险管理与对策</w:t>
        </w:r>
        <w:r>
          <w:tab/>
        </w:r>
        <w:r>
          <w:fldChar w:fldCharType="begin"/>
        </w:r>
        <w:r>
          <w:instrText xml:space="preserve"> PAGEREF _Toc24255 \h </w:instrText>
        </w:r>
        <w:r>
          <w:fldChar w:fldCharType="separate"/>
        </w:r>
        <w:r>
          <w:t>64</w:t>
        </w:r>
        <w:r>
          <w:fldChar w:fldCharType="end"/>
        </w:r>
      </w:hyperlink>
    </w:p>
    <w:p>
      <w:pPr>
        <w:pStyle w:val="TOC1"/>
        <w:tabs>
          <w:tab w:val="right" w:leader="dot" w:pos="8306"/>
        </w:tabs>
      </w:pPr>
      <w:hyperlink w:anchor="_Toc14440" w:history="1">
        <w:r>
          <w:rPr>
            <w:rFonts w:ascii="微软雅黑" w:eastAsia="微软雅黑" w:hAnsi="微软雅黑" w:cs="微软雅黑" w:hint="eastAsia"/>
            <w:color w:val="001CAC" w:themeColor="hyperlink" w:themeShade="BF"/>
            <w:szCs w:val="32"/>
            <w:lang w:eastAsia="zh-CN"/>
          </w:rPr>
          <w:t>十二、颜料行业选址方案分析</w:t>
        </w:r>
        <w:r>
          <w:tab/>
        </w:r>
        <w:r>
          <w:fldChar w:fldCharType="begin"/>
        </w:r>
        <w:r>
          <w:instrText xml:space="preserve"> PAGEREF _Toc14440 \h </w:instrText>
        </w:r>
        <w:r>
          <w:fldChar w:fldCharType="separate"/>
        </w:r>
        <w:r>
          <w:t>66</w:t>
        </w:r>
        <w:r>
          <w:fldChar w:fldCharType="end"/>
        </w:r>
      </w:hyperlink>
    </w:p>
    <w:p>
      <w:pPr>
        <w:pStyle w:val="TOC2"/>
        <w:tabs>
          <w:tab w:val="right" w:leader="dot" w:pos="8306"/>
        </w:tabs>
      </w:pPr>
      <w:hyperlink w:anchor="_Toc1952" w:history="1">
        <w:r>
          <w:rPr>
            <w:rFonts w:ascii="宋体" w:eastAsia="宋体" w:hAnsi="宋体" w:cs="宋体" w:hint="eastAsia"/>
            <w:bCs w:val="0"/>
            <w:szCs w:val="28"/>
            <w:lang w:eastAsia="zh-CN"/>
          </w:rPr>
          <w:t>(一)、颜料行业选址影响因素</w:t>
        </w:r>
        <w:r>
          <w:tab/>
        </w:r>
        <w:r>
          <w:fldChar w:fldCharType="begin"/>
        </w:r>
        <w:r>
          <w:instrText xml:space="preserve"> PAGEREF _Toc1952 \h </w:instrText>
        </w:r>
        <w:r>
          <w:fldChar w:fldCharType="separate"/>
        </w:r>
        <w:r>
          <w:t>66</w:t>
        </w:r>
        <w:r>
          <w:fldChar w:fldCharType="end"/>
        </w:r>
      </w:hyperlink>
    </w:p>
    <w:p>
      <w:pPr>
        <w:pStyle w:val="TOC2"/>
        <w:tabs>
          <w:tab w:val="right" w:leader="dot" w:pos="8306"/>
        </w:tabs>
      </w:pPr>
      <w:hyperlink w:anchor="_Toc12437" w:history="1">
        <w:r>
          <w:rPr>
            <w:rFonts w:ascii="宋体" w:eastAsia="宋体" w:hAnsi="宋体" w:cs="宋体" w:hint="eastAsia"/>
            <w:bCs w:val="0"/>
            <w:szCs w:val="28"/>
            <w:lang w:eastAsia="zh-CN"/>
          </w:rPr>
          <w:t>(二)、颜料行业选址原则</w:t>
        </w:r>
        <w:r>
          <w:tab/>
        </w:r>
        <w:r>
          <w:fldChar w:fldCharType="begin"/>
        </w:r>
        <w:r>
          <w:instrText xml:space="preserve"> PAGEREF _Toc12437 \h </w:instrText>
        </w:r>
        <w:r>
          <w:fldChar w:fldCharType="separate"/>
        </w:r>
        <w:r>
          <w:t>68</w:t>
        </w:r>
        <w:r>
          <w:fldChar w:fldCharType="end"/>
        </w:r>
      </w:hyperlink>
    </w:p>
    <w:p>
      <w:pPr>
        <w:pStyle w:val="TOC2"/>
        <w:tabs>
          <w:tab w:val="right" w:leader="dot" w:pos="8306"/>
        </w:tabs>
      </w:pPr>
      <w:hyperlink w:anchor="_Toc12367" w:history="1">
        <w:r>
          <w:rPr>
            <w:rFonts w:ascii="宋体" w:eastAsia="宋体" w:hAnsi="宋体" w:cs="宋体" w:hint="eastAsia"/>
            <w:bCs w:val="0"/>
            <w:szCs w:val="28"/>
            <w:lang w:eastAsia="zh-CN"/>
          </w:rPr>
          <w:t>(三)、消费习惯对颜料行业选址的影响</w:t>
        </w:r>
        <w:r>
          <w:tab/>
        </w:r>
        <w:r>
          <w:fldChar w:fldCharType="begin"/>
        </w:r>
        <w:r>
          <w:instrText xml:space="preserve"> PAGEREF _Toc12367 \h </w:instrText>
        </w:r>
        <w:r>
          <w:fldChar w:fldCharType="separate"/>
        </w:r>
        <w:r>
          <w:t>69</w:t>
        </w:r>
        <w:r>
          <w:fldChar w:fldCharType="end"/>
        </w:r>
      </w:hyperlink>
    </w:p>
    <w:p>
      <w:pPr>
        <w:pStyle w:val="TOC2"/>
        <w:tabs>
          <w:tab w:val="right" w:leader="dot" w:pos="8306"/>
        </w:tabs>
      </w:pPr>
      <w:hyperlink w:anchor="_Toc17924" w:history="1">
        <w:r>
          <w:rPr>
            <w:rFonts w:ascii="宋体" w:eastAsia="宋体" w:hAnsi="宋体" w:cs="宋体" w:hint="eastAsia"/>
            <w:bCs w:val="0"/>
            <w:szCs w:val="28"/>
            <w:lang w:eastAsia="zh-CN"/>
          </w:rPr>
          <w:t>(四)、消费能力对颜料行业选址的影响</w:t>
        </w:r>
        <w:r>
          <w:tab/>
        </w:r>
        <w:r>
          <w:fldChar w:fldCharType="begin"/>
        </w:r>
        <w:r>
          <w:instrText xml:space="preserve"> PAGEREF _Toc17924 \h </w:instrText>
        </w:r>
        <w:r>
          <w:fldChar w:fldCharType="separate"/>
        </w:r>
        <w:r>
          <w:t>71</w:t>
        </w:r>
        <w:r>
          <w:fldChar w:fldCharType="end"/>
        </w:r>
      </w:hyperlink>
    </w:p>
    <w:p>
      <w:pPr>
        <w:pStyle w:val="TOC2"/>
        <w:tabs>
          <w:tab w:val="right" w:leader="dot" w:pos="8306"/>
        </w:tabs>
      </w:pPr>
      <w:hyperlink w:anchor="_Toc30760" w:history="1">
        <w:r>
          <w:rPr>
            <w:rFonts w:ascii="宋体" w:eastAsia="宋体" w:hAnsi="宋体" w:cs="宋体" w:hint="eastAsia"/>
            <w:bCs w:val="0"/>
            <w:szCs w:val="28"/>
            <w:lang w:eastAsia="zh-CN"/>
          </w:rPr>
          <w:t>(五)、经营成本对颜料行业选址的影响</w:t>
        </w:r>
        <w:r>
          <w:tab/>
        </w:r>
        <w:r>
          <w:fldChar w:fldCharType="begin"/>
        </w:r>
        <w:r>
          <w:instrText xml:space="preserve"> PAGEREF _Toc30760 \h </w:instrText>
        </w:r>
        <w:r>
          <w:fldChar w:fldCharType="separate"/>
        </w:r>
        <w:r>
          <w:t>72</w:t>
        </w:r>
        <w:r>
          <w:fldChar w:fldCharType="end"/>
        </w:r>
      </w:hyperlink>
    </w:p>
    <w:p>
      <w:pPr>
        <w:pStyle w:val="TOC2"/>
        <w:tabs>
          <w:tab w:val="right" w:leader="dot" w:pos="8306"/>
        </w:tabs>
      </w:pPr>
      <w:hyperlink w:anchor="_Toc12830" w:history="1">
        <w:r>
          <w:rPr>
            <w:rFonts w:ascii="宋体" w:eastAsia="宋体" w:hAnsi="宋体" w:cs="宋体" w:hint="eastAsia"/>
            <w:bCs w:val="0"/>
            <w:szCs w:val="28"/>
            <w:lang w:eastAsia="zh-CN"/>
          </w:rPr>
          <w:t>(六)、交通条件对颜料行业选址的影响</w:t>
        </w:r>
        <w:r>
          <w:tab/>
        </w:r>
        <w:r>
          <w:fldChar w:fldCharType="begin"/>
        </w:r>
        <w:r>
          <w:instrText xml:space="preserve"> PAGEREF _Toc12830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7062"/>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颜料行业研究报告旨在对颜料行业进行深入分析和研究,为 相关从业人员提供参考依据。报告内容仅供学习交流使用，不可用于商业用途。通过梳理颜料行业发展历程、分析市场潜力和主要竞争对手，探讨行业趋势及未来发展方向，旨在提供启示和建议。</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804"/>
      <w:r>
        <w:rPr>
          <w:rFonts w:ascii="微软雅黑" w:eastAsia="微软雅黑" w:hAnsi="微软雅黑" w:cs="微软雅黑" w:hint="eastAsia"/>
          <w:color w:val="2E54A1" w:themeColor="accent1" w:themeShade="BF"/>
          <w:sz w:val="32"/>
          <w:szCs w:val="32"/>
          <w:lang w:eastAsia="zh-CN"/>
        </w:rPr>
        <w:t>一、资金筹措与投资分析</w:t>
      </w:r>
      <w:bookmarkEnd w:id="2"/>
    </w:p>
    <w:p>
      <w:pPr>
        <w:pStyle w:val="Heading2"/>
        <w:spacing w:line="480" w:lineRule="auto"/>
        <w:rPr>
          <w:rFonts w:ascii="宋体" w:eastAsia="宋体" w:hAnsi="宋体" w:cs="宋体" w:hint="eastAsia"/>
          <w:bCs w:val="0"/>
          <w:sz w:val="28"/>
          <w:szCs w:val="28"/>
          <w:lang w:eastAsia="zh-CN"/>
        </w:rPr>
      </w:pPr>
      <w:bookmarkStart w:id="3" w:name="_Toc14364"/>
      <w:r>
        <w:rPr>
          <w:rFonts w:ascii="宋体" w:eastAsia="宋体" w:hAnsi="宋体" w:cs="宋体" w:hint="eastAsia"/>
          <w:b/>
          <w:bCs w:val="0"/>
          <w:sz w:val="28"/>
          <w:szCs w:val="28"/>
          <w:lang w:eastAsia="zh-CN"/>
        </w:rPr>
        <w:t>(一)、资金需求与筹措计划</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颜料行业项目启动之初,充足的资金是确保项目成功实施的关键要素。首先，我们进行了详细的资金需求分析，考虑到项目的各个阶段，包括研发、市场推广、运营等方面的费用。通过制定合理的预算，明确了项目整体的资金需求。为了筹措这些资金，我们制定了多元化的筹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金的筹措途径主要包括银行贷款、股权融资以及可能的政府补助。通过与多家银行洽谈贷款条件，我们力求获得较低利率和灵活的还款期限,以确保项目在财务方面的可持续性。同时,开展股权融资，吸引潜在投资者，为项目引入更多的资金。此外，积极了解相关的政府支持政策，争取符合条件的项目获得更多的补助和支持。</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在资金的使用方面，我们将资金重点用于项目的关键节点，如研发和市场推广阶段。通过科学合理的资金分配，确保了项目在关键领域的竞争力，提高了项目整体的成功概率。</w:t>
      </w:r>
    </w:p>
    <w:p>
      <w:pPr>
        <w:pStyle w:val="Heading2"/>
        <w:spacing w:line="480" w:lineRule="auto"/>
        <w:rPr>
          <w:rFonts w:ascii="宋体" w:eastAsia="宋体" w:hAnsi="宋体" w:cs="宋体" w:hint="eastAsia"/>
          <w:bCs w:val="0"/>
          <w:sz w:val="28"/>
          <w:szCs w:val="28"/>
          <w:lang w:eastAsia="zh-CN"/>
        </w:rPr>
      </w:pPr>
      <w:bookmarkStart w:id="4" w:name="_Toc12892"/>
      <w:r>
        <w:rPr>
          <w:rFonts w:ascii="宋体" w:eastAsia="宋体" w:hAnsi="宋体" w:cs="宋体" w:hint="eastAsia"/>
          <w:b/>
          <w:bCs w:val="0"/>
          <w:sz w:val="28"/>
          <w:szCs w:val="28"/>
          <w:lang w:eastAsia="zh-CN"/>
        </w:rPr>
        <w:t>(二)、投资分析与回报预期</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投资分析，考虑了项目的风险与回报。首先，通过对颜料行业趋势和市场规模的深入研究,我们对项目的市场地位和前景进行了合理的估算。同时，对竞争对手进行深入分析，识别了项目可能面临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在资金投入方面，我们对各个阶段的成本进行了详细的估算，包括初期投资、运营费用和市场推广费用等。通过制定详细的财务计划，我们清晰地了解了项目在不同时间段内的资金流动情况。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在回报预期方面，我们通过制定合理的商业计划和财务模型，对项目的盈利能力进行了全面的评估。考虑到市场的不确定性，我们在回报预期中进行了风险分析,确保投资者能够清晰了解潜在的风险和回报比。</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5" w:name="_Toc24915"/>
      <w:r>
        <w:rPr>
          <w:rFonts w:ascii="微软雅黑" w:eastAsia="微软雅黑" w:hAnsi="微软雅黑" w:cs="微软雅黑" w:hint="eastAsia"/>
          <w:color w:val="2E54A1" w:themeColor="accent1" w:themeShade="BF"/>
          <w:sz w:val="32"/>
          <w:szCs w:val="32"/>
          <w:lang w:eastAsia="zh-CN"/>
        </w:rPr>
        <w:t>二、颜料行业市场营销分析</w:t>
      </w:r>
      <w:bookmarkEnd w:id="5"/>
    </w:p>
    <w:p>
      <w:pPr>
        <w:pStyle w:val="Heading2"/>
        <w:spacing w:line="480" w:lineRule="auto"/>
        <w:rPr>
          <w:rFonts w:ascii="宋体" w:eastAsia="宋体" w:hAnsi="宋体" w:cs="宋体" w:hint="eastAsia"/>
          <w:bCs w:val="0"/>
          <w:sz w:val="28"/>
          <w:szCs w:val="28"/>
          <w:lang w:eastAsia="zh-CN"/>
        </w:rPr>
      </w:pPr>
      <w:bookmarkStart w:id="6" w:name="_Toc32699"/>
      <w:r>
        <w:rPr>
          <w:rFonts w:ascii="宋体" w:eastAsia="宋体" w:hAnsi="宋体" w:cs="宋体" w:hint="eastAsia"/>
          <w:b/>
          <w:bCs w:val="0"/>
          <w:sz w:val="28"/>
          <w:szCs w:val="28"/>
          <w:lang w:eastAsia="zh-CN"/>
        </w:rPr>
        <w:t>(一)、颜料行业市场营销总体思路</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在制定颜料行业市场营销总体思路时，我们将以全面、差异化和创新性为原则,以确保能够在竞争激烈的市场中脱颖而出。下面是我们的市场营销总体思路：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1.精准定位目标市场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首先，我们将深入分析市场，明确定位目标市场。通过细致入微的市场调研，了解潜在客户的需求、偏好和行为，确保我们的产品或服务能够精准地满足目标市场的需求。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2.制定差异化营销策略</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在竞争激烈的市场中，差异化是成功的关键。我们将制定独特的营销策略，突显产品或服务的独特卖点，并通过品牌建设、创意广告等手段，塑造与竞争对手明显不同的品牌形象。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3.多渠道宣传推广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为确保产品或服务的广泛曝光,我们将采用多渠道宣传推广策略。结合线上和线下渠道，包括社交媒体、电视广告、展会参与等，以全方位、多层次地覆盖目标受众，提高品牌知名度。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4.强化数字化营销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数字化是现代市场营销的重要组成部分。我们将加强在数字平台上的营销活动，包括搜索引擎优化(SEO)、社交媒体营销、电子邮件营销等，以便更好地与目标受众互动，并实时了解市场反馈。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5.建立合作伙伴关系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与其他企业或机构建立战略性合作伙伴关系,通过互利共赢的方式扩大市场份额。这可能涉及联合推出产品、共同参与活动、共享资源等，以增强市场竞争力。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6.强调社会责任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在市场营销中强调企业的社会责任，通过参与公益活动、环保倡议等方式，树立企业的良好形象。现代消费者越来越关注企业的社会责任，积极参与可持续发展将成为我们市场营销的一项策略。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7.不断创新和优化</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市场环境不断变化，我们将保持灵活性，不断创新和优化市场营销策略。通过定期评估市场反馈和业绩数据，及时调整和改进市场营销计划，以适应市场的变化并保持竞争力。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通过执行以上市场营销总体思路，我们旨在建立强大的品牌形象，吸引更多客户，实现市场份额的增长，并确保企业在竞争激烈的颜料行业中取得可持续的成功。</w:t>
      </w:r>
    </w:p>
    <w:p>
      <w:pPr>
        <w:pStyle w:val="Heading2"/>
        <w:spacing w:line="480" w:lineRule="auto"/>
        <w:rPr>
          <w:rFonts w:ascii="宋体" w:eastAsia="宋体" w:hAnsi="宋体" w:cs="宋体" w:hint="eastAsia"/>
          <w:bCs w:val="0"/>
          <w:sz w:val="28"/>
          <w:szCs w:val="28"/>
          <w:lang w:eastAsia="zh-CN"/>
        </w:rPr>
      </w:pPr>
      <w:bookmarkStart w:id="7" w:name="_Toc21834"/>
      <w:r>
        <w:rPr>
          <w:rFonts w:ascii="宋体" w:eastAsia="宋体" w:hAnsi="宋体" w:cs="宋体" w:hint="eastAsia"/>
          <w:b/>
          <w:bCs w:val="0"/>
          <w:sz w:val="28"/>
          <w:szCs w:val="28"/>
          <w:lang w:eastAsia="zh-CN"/>
        </w:rPr>
        <w:t>(二)、颜料行业组织市场分析</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(一)市场规模与增长趋势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首先,我们将深入研究所在颜料行业的市场规模和增长趋势。通过收集历史数据和当前市场报告，我们能够准确评估市场的规模，并预测未来的增长趋势。这有助于我们了解市场的潜在规模和组织在其中的定位。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(二)竞争格局与竞争对手分析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竞争激烈的商业环境中,深入了解竞争格局和竞争对手是至关重要的。我们将详细调查主要竞争对手的业务模式、市场份额、定价策略和市场表现。这有助于我们识别市场上的关键竞争因素，制定更具针对性的竞争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(三)消费群体定位与需求分析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满足市场需求,我们将深入分析潜在客户的特征和需求。通过调查和研究，我们将明确目标消费群体的特征、购买行为和偏好。这有助于我们精准定位目标市场，确保产品或服务能够切实满足客户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(四)市场趋势与发展机遇</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时刻关注市场的趋势对于组织的长远成功至关重要。我们将分析当前市场的主要趋势，包括技术创新、消费行为变化等方面。通过识别这些趋势，我们可以更好地把握市场的发展方向，并找到潜在的发展机遇。</w:t>
      </w:r>
    </w:p>
    <w:p>
      <w:pPr>
        <w:pStyle w:val="Heading2"/>
        <w:spacing w:line="480" w:lineRule="auto"/>
        <w:rPr>
          <w:rFonts w:ascii="宋体" w:eastAsia="宋体" w:hAnsi="宋体" w:cs="宋体" w:hint="eastAsia"/>
          <w:bCs w:val="0"/>
          <w:sz w:val="28"/>
          <w:szCs w:val="28"/>
          <w:lang w:eastAsia="zh-CN"/>
        </w:rPr>
      </w:pPr>
      <w:bookmarkStart w:id="8" w:name="_Toc27186"/>
      <w:r>
        <w:rPr>
          <w:rFonts w:ascii="宋体" w:eastAsia="宋体" w:hAnsi="宋体" w:cs="宋体" w:hint="eastAsia"/>
          <w:b/>
          <w:bCs w:val="0"/>
          <w:sz w:val="28"/>
          <w:szCs w:val="28"/>
          <w:lang w:eastAsia="zh-CN"/>
        </w:rPr>
        <w:t>(三)、颜料行业目标市场营销战略</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细分：我们将进行细致的市场细分，通过深入了解不同消费者群体的需求和行为,将市场划分为几个明确定义的细分市场。这有助于我们更有针对性地满足不同细分市场的需求，提供更符合他们期望的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目标市场定位：在市场细分的基础上，我们将明确定位目标市场，明确我们的产品或服务在市场上的独特卖点，并强调我们在目标客户心目中的价值。通过清晰的目标市场定位，我们能够更好地吸引和留住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市场推广策略：我们将采用多渠道的市场推广策略。在线上渠道，我们会通过社交媒体广告、搜索引擎优化和电子商务平台开展推广活动。在线下渠道，我们将利用实体店面、合作伙伴等方式，扩大产品的曝光度。同时，我们将注重内容营销，通过有价值的内容吸引目标客户，建立品牌认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客户关系管理：我们将建立全面而持久的客户关系管理体系。这包括积极参与客户反馈，及时回应客户问题，提供卓越的售后服务。通过客户关系管理，我们力求建立长期的客户忠诚度，以确保客户对我们品牌的信任和满意度，进而推动口碑传播。此外，我们还将利用数据分析技术，深入了解客户需求和偏好，为客户提供个性化的服务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数字营销策略：我们将充分利用数字化平台，通过精准的数字营销策略提高品牌知名度和吸引目标客户。这包括在社交媒体上展开有趣而引人入胜的广告活动,利用搜索引擎优化提升在线可见性以及通过电子邮件营销保持与潜在客户的联系。通过数据分析，我们将不断优化数字营销策略，确保在数字时代充分发挥市场影响力。</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合作伙伴关系：我们将寻求建立强有力的合作伙伴关系与相关产业链上的企业携手合作。这可能包括供应商、分销商、甚至其他颜料行业的合作伙伴。通过互利共赢的合作，我们可以扩大市场份额、降低营销成本，并在更广泛的市场上提高品牌曝光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口碑营销：我们将注重口碑营销，通过提供卓越的产品和服务，赢得客户的满意和信任，从而促使口碑传播。建立积极的口碑将对品牌形象产生深远影响，有助于吸引更多潜在客户。我们将积极参与社交媒体、在线评价平台，以及举办客户活动等方式，引导积极的口碑传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持续创新：我们将不断进行产品和服务创新，以应对市场变化和客户需求的不断演变。通过推出新颖的产品、提供独特的服务，我们将不断吸引目标客户的关注，保持品牌的新鲜感和创新性。这种持续创新的策略将使我们在竞争激烈的市场中保持竞争力。</w:t>
      </w:r>
    </w:p>
    <w:p>
      <w:pPr>
        <w:pStyle w:val="Heading2"/>
        <w:spacing w:line="480" w:lineRule="auto"/>
        <w:rPr>
          <w:rFonts w:ascii="宋体" w:eastAsia="宋体" w:hAnsi="宋体" w:cs="宋体" w:hint="eastAsia"/>
          <w:bCs w:val="0"/>
          <w:sz w:val="28"/>
          <w:szCs w:val="28"/>
          <w:lang w:eastAsia="zh-CN"/>
        </w:rPr>
      </w:pPr>
      <w:bookmarkStart w:id="9" w:name="_Toc13038"/>
      <w:r>
        <w:rPr>
          <w:rFonts w:ascii="宋体" w:eastAsia="宋体" w:hAnsi="宋体" w:cs="宋体" w:hint="eastAsia"/>
          <w:b/>
          <w:bCs w:val="0"/>
          <w:sz w:val="28"/>
          <w:szCs w:val="28"/>
          <w:lang w:eastAsia="zh-CN"/>
        </w:rPr>
        <w:t>(四)、颜料行业定价策略</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定位与竞争分析：在确定产品定价之前，深入了解市场定位和竞争对手是至关重要的。我们将仔细分析竞争对手的定价策略，了解市场对价格的敏感性和消费者对不同价格水平的接受度。通过对竞争格局的全面了解，我们能够找到我们的市场差异化定位，并制定相应的定价策略，以确保在市场中有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成本考虑：制定定价策略时，我们将全面考虑各项成本，包括生产、运营和市场推广等方面的费用。确保定价能够覆盖所有相关成本,并保持产品的竞争力。成本考虑也包括对预估销售量、固定成本和变动成本等因素的仔细评估，以建立一个可行的定价模型。</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产品定位与品质定价：定价将与产品的定位和品质紧密相关。高端产品可能采用溢价策略，强调卓越品质和独特性，而中端产品可以通过合理的定价体现性价比。低端产品可能选择竞争性定价，以迅速占领市场份额。我们将确保产品的定位与品质定价一致，以满足目标客户的期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调研与需求分析：通过市场调研和需求分析，我们将深入了解消费者对产品的需求、对价格的敏感度以及他们对不同价格区间产品的购买意愿。基于这些数据，我们可以更精准地制定定价策略，满足市场需求，确保定价既具有吸引力又能保持盈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销售渠道与渠道定价：考虑到不同销售渠道的特点，我们将制定相应的渠道定价策略。直销渠道和间接销售渠道可能有不同的定价机制，以确保各渠道的合作关系互利共赢。我们将根据渠道的贡献和市场份额调整渠道定价，以实现整体销售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促销与折扣策略：我们将设计灵活的促销和折扣策略，以推动销售并提高市场份额。根据产品生命周期和市场竞争状况，我们将定期进行促销活动，吸引顾客，促进销售增长。优惠活动的巧妙设计将成为吸引顾客、提高产品认知度的有效手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价格弹性与市场反应：考虑产品的价格弹性，我们将在一定范围内测试不同价格对市场的影响。通过市场反应的及时监测，我们将灵活调整价格以适应市场变化。定期进行价格弹性测试是我们保持市场敏感度和竞争力的关键步骤，以更好地满足消费者需求。</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竞争策略与定价战略：我们将结合竞争对手的动态制定灵活的竞争策略和相应的定价战略。在竞争激烈的市场中，时刻关注竞争对手的变化，灵活调整定价是保持竞争优势的必要手段。我们将定期评估竞争对手的定价举措，根据市场反应调整我们的策略，确保我们的产品在竞争中具有吸引力。</w:t>
      </w:r>
    </w:p>
    <w:p>
      <w:pPr>
        <w:pStyle w:val="Heading2"/>
        <w:spacing w:line="480" w:lineRule="auto"/>
        <w:rPr>
          <w:rFonts w:ascii="宋体" w:eastAsia="宋体" w:hAnsi="宋体" w:cs="宋体" w:hint="eastAsia"/>
          <w:bCs w:val="0"/>
          <w:sz w:val="28"/>
          <w:szCs w:val="28"/>
          <w:lang w:eastAsia="zh-CN"/>
        </w:rPr>
      </w:pPr>
      <w:bookmarkStart w:id="10" w:name="_Toc10704"/>
      <w:r>
        <w:rPr>
          <w:rFonts w:ascii="宋体" w:eastAsia="宋体" w:hAnsi="宋体" w:cs="宋体" w:hint="eastAsia"/>
          <w:b/>
          <w:bCs w:val="0"/>
          <w:sz w:val="28"/>
          <w:szCs w:val="28"/>
          <w:lang w:eastAsia="zh-CN"/>
        </w:rPr>
        <w:t>(五)、颜料行业促销策略</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(一)促销目标与策略：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促销目标是多方面的，首先，我们追求提高品牌知名度，通过广泛传播和有效宣传，确保更多的潜在客户了解我们的品牌。其次，我们致力于促进产品销售，通过各种促销手段，激发消费者的购买欲望，提高销售量。此外，我们希望通过促销活动拓展市场份额，争取更大的市场份额，增强颜料行业竞争力。最后，我们追求激发客户忠诚度，通过会员制度等方式，使客户成为我们品牌的忠实支持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(二)季节性促销计划：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根据不同季节和节假日的特点，灵活制定促销计划。在传统节庆季节,我们将推出有限时限量的促销活动,以应对特殊日子的购物需求。同时，我们会根据季节变化，调整促销策略，确保在不同时间段都能够取得最佳的促销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(三)电子商务促销：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电子商务平台，我们将开展多样化的促销活动，包括在线秒杀、抢购优惠等。通过互联网的便利性，我们的促销活动将更广泛地覆盖目标客户，提高在线销售份额，并促使客户形成粘性，更愿意在我们的电商平台上购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(四)会员专享优惠：</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建立会员制度是我们促销策略的一部分，通过积分制度、会员专属折扣和生日礼品等方式，我们将激励客户成为我们的会员，进而提高他们对品牌的忠诚度。这将帮助我们建立稳固的客户群体，促使他们成为重复购买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(五)联合营销合作：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与其他品牌或平台进行联合促销是一项有效的战略。我们将寻找与我们有相似目标客户群体的品牌展开合作,通过共同推出的促销活动,拓展品牌影响力,吸引更多潜在客户,实现互惠共赢的合作关系。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(六)活动策划与品牌营销：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通过参与颜料行业展会、举办品牌活动等形式，我们将全方位地进行活动策划，以提高品牌曝光度。这有助于品牌建设和品牌忠诚度的提升，同时通过有趣而有深度的品牌活动，促进产品的销售。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(七)社交媒体促销；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媒体平台是与消费者直接互动的有效工具。我们将通过社交媒体发布促销信息、举办线上活动，以及与消费者互动，建立品牌形象，提高品牌关注度。这种直接的社交互动有助于深化客户对品牌的认知和好感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(八)限时特价和抢购：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我们将定期推出限时特价商品,通过低价促销来吸引更多消费者。同时，在特定时间段内推出抢购活动，创造购物紧迫感，促使消费者更积极地参与和购买。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(九)体验式促销：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提供消费者实际体验的促销方式将成为我们的一项重要策略。通过开展产品试用、举办品鉴活动等，我们将让消费者更深入地了解产品特色，从而增加他们的购买欲望，提高促销效果。</w:t>
      </w:r>
    </w:p>
    <w:p>
      <w:pPr>
        <w:pStyle w:val="Heading2"/>
        <w:spacing w:line="480" w:lineRule="auto"/>
        <w:rPr>
          <w:rFonts w:ascii="宋体" w:eastAsia="宋体" w:hAnsi="宋体" w:cs="宋体" w:hint="eastAsia"/>
          <w:bCs w:val="0"/>
          <w:sz w:val="28"/>
          <w:szCs w:val="28"/>
          <w:lang w:eastAsia="zh-CN"/>
        </w:rPr>
      </w:pPr>
      <w:bookmarkStart w:id="11" w:name="_Toc23445"/>
      <w:r>
        <w:rPr>
          <w:rFonts w:ascii="宋体" w:eastAsia="宋体" w:hAnsi="宋体" w:cs="宋体" w:hint="eastAsia"/>
          <w:b/>
          <w:bCs w:val="0"/>
          <w:sz w:val="28"/>
          <w:szCs w:val="28"/>
          <w:lang w:eastAsia="zh-CN"/>
        </w:rPr>
        <w:t>(六)、颜料行业品牌策略</w:t>
      </w:r>
      <w:bookmarkEnd w:id="11"/>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(一)产品定位策略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塑造颜料行业品牌形象的重要一环在于产品定位策略，这直接影响着消费者对品牌的认知和购买决策。我们可以采用以下方式来进行产品定位：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1.独特高端：选择将产品定位在高端市场，强调高质量、高品味、高价值的特点，以满足对高端颜料行业的需求。在产品材质、工艺和设计方面着重,同时在宣传和推广上打造奢华、品质保证的形象。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2.平衡中端：面向注重性价比的消费者群体，提供价格适中、质量稳定的产品。突显性价比优势，并注重与消费者的沟通互动，以建立积极的品牌口碑。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3.经济型定位：针对价格敏感的消费者，提供价格亲民但质量可靠的产品。在此策略下，需注重成本控制和渠道管理，以确保产品在市场上的竞争力。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(二)市场推广策略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颜料行业的市场推广策略主要包括线下和线上两个方面。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1.线下宣传：在商业区、市场等地设立实体店铺，并通过各种促销活动吸引消费者。此外，可以与其他公司合作，以提升品牌知名度和市场份额。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线上推广：随着电子商务的兴起，建立官方网站和社交媒体账号进行线上推广。通过网站展示产品信息和品牌故事，为消费者提供在线购买和咨询服务。同时，借助社交媒体发布关于颜料行业设计灵感、技巧等内容，吸引用户关注并提升品牌曝光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(三)品牌形象建设策略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品牌形象是颜料行业在消费者心中的形象和认知，对于品牌的长期发展至关重要。</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1.产品质量和服务：保证产品质量和服务的卓越，以赢得消费者的信任和口碑。提供出色的售后服务，积极解决消费者的问题和投诉，以塑造良好的品牌形象。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2.品牌故事和文化：通过讲述品牌故事、展示品牌文化来加强消费者的认同感。强调颜料行业产品对生活的积极影响，传递温馨、舒适的理念，与消费者建立情感共鸣。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3.品牌合作和赞助：与知名设计师或公司合作，推出联名款式或限量版产品，提升品牌的设计和创新形象。此外，通过赞助各类展览、设计活动等，扩大品牌影响力。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通过以上的产品定位策略、市场推广策略和品牌形象建设策略，颜料行业能够打造独特的品牌优势，吸引消费者的关注和选择，在激烈竞争的XX颜料行业中脱颖而出。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(四)持续创新策略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不断的产品创新是颜料行业品牌成功的关键之一。通过持续创新，我们能够保持在市场上的竞争力并满足不断变化的消费者需求。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1.研发投入：加大研发投入，不断推出新颖、独特的产品。通过对市场趋势和消费者反馈的深入了解，及时调整产品线，确保颜料行业始终保持创新领先地位。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2.技术合作：与相关颜料行业的技术领导者合作，共同探索新技术应用于产品中的可能性。这不仅提高了产品的科技含量，还为颜料行业树立了先进技术的形象。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(五)社会责任策略</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在当今社会，企业的社会责任意识变得越来越重要。通过积极履行社会责任，颜料行业可以建立起可持续发展的品牌形象。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1.环保承诺：强调对环境的关注，采用可持续发展的材料和生产工艺。制定并执行环保政策，积极参与环保活动，以赢得环保意识较强的消费者的喜爱。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2.社会公益：参与社会公益活动，为社区做出贡献。通过支持慈善机构、教育项目等，建立与社会的良好关系，提升品牌的社会形象。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(六)数据分析和反馈机制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建立强大的数据分析和反馈机制,不仅能更好地了解市场和消费者需求，还可以实时调整品牌策略以适应市场变化。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1.消费者调研：定期进行消费者调研,收集他们的反馈和建议。根据这些信息进行产品改进和品牌调整，确保颜料行业与消费者需求保持一致。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2.市场趋势分析：持续关注市场趋势，利用数据分析工具进行市场调研。及时调整市场推广策略，抓住市场机会，规遍市场风险。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综合的策略,颜料行业可以在激烈的市场竞争中建立稳固的地位，塑造独特的品牌形象，吸引更多消费者，并不断发展壮大。这一系列策略的成功实施将有助于颜料行业在颜料行业中取得可持续的竞争优势。</w:t>
      </w:r>
    </w:p>
    <w:p>
      <w:pPr>
        <w:pStyle w:val="Heading2"/>
        <w:spacing w:line="480" w:lineRule="auto"/>
        <w:rPr>
          <w:rFonts w:ascii="宋体" w:eastAsia="宋体" w:hAnsi="宋体" w:cs="宋体" w:hint="eastAsia"/>
          <w:bCs w:val="0"/>
          <w:sz w:val="28"/>
          <w:szCs w:val="28"/>
          <w:lang w:eastAsia="zh-CN"/>
        </w:rPr>
      </w:pPr>
      <w:bookmarkStart w:id="12" w:name="_Toc9714"/>
      <w:r>
        <w:rPr>
          <w:rFonts w:ascii="宋体" w:eastAsia="宋体" w:hAnsi="宋体" w:cs="宋体" w:hint="eastAsia"/>
          <w:b/>
          <w:bCs w:val="0"/>
          <w:sz w:val="28"/>
          <w:szCs w:val="28"/>
          <w:lang w:eastAsia="zh-CN"/>
        </w:rPr>
        <w:t>(七)、颜料行业关系营销</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在颜料行业品牌的发展中，关系营销被视为至关重要的策略，旨在通过建立深厚而持久的关系，增强消费者对品牌的忠诚度，促使其成为品牌的忠实拥趸。关系营销策略的关键元素：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1.个性化沟通</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定期进行个性化沟通，深入了解消费者的偏好和需求。通过客户关系管理(CRM)系统，精准跟踪购买历史和反馈，以提供更加个性化的购物体验。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2.会员计划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设立会员计划，为忠实客户提供独特的福利和折扣。通过激励机制,促使消费者更频繁地选择颜料行业,并增强他们对品牌的忠诚度。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3.社交媒体互动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利用社交媒体平台积极与消费者互动。回应评论、提问，分享用户生成的内容，借助社区力量建立积极的品牌社区，加深与消费者之间的联系。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4.品牌活动和体验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举办各类品牌活动，提供独特的体验。无论是线上还是线下的活动，如产品发布会、工作坊、社交聚会等，都能够拉近品牌与消费者之间的距离。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5.定期反馈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主动征求消费者的意见和建议,通过调查和问卷等方式持续收集反馈。这不仅体现了品牌对消费者的重视,还能够根据反馈进行调整，使品牌更贴近消费者需求。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6.品牌故事共鸣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通过讲述品牌故事，强调与消费者的共鸣点。将颜料行业产品对生活的积极影响突显出来，建立起与消费者之间的情感纽带。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7.独家礼遇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为特定消费者提供独家礼遇和体验，如限量版产品、预售机会等。通过这种方式激发消费者的购买欲望，同时增强他们对品牌的认同感。</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通过综合运用以上关系营销策略,颜料行业能够在消费者心中树立更加亲近、信任的形象，促使消费者在竞争激烈的市场中选择并坚持选择颜料行业品牌。这种深度的关系将不仅提升品牌的口碑，还为未来的发展打下坚实的基础。</w:t>
      </w:r>
    </w:p>
    <w:p>
      <w:pPr>
        <w:pStyle w:val="Heading2"/>
        <w:spacing w:line="480" w:lineRule="auto"/>
        <w:rPr>
          <w:rFonts w:ascii="宋体" w:eastAsia="宋体" w:hAnsi="宋体" w:cs="宋体" w:hint="eastAsia"/>
          <w:bCs w:val="0"/>
          <w:sz w:val="28"/>
          <w:szCs w:val="28"/>
          <w:lang w:eastAsia="zh-CN"/>
        </w:rPr>
      </w:pPr>
      <w:bookmarkStart w:id="13" w:name="_Toc32519"/>
      <w:r>
        <w:rPr>
          <w:rFonts w:ascii="宋体" w:eastAsia="宋体" w:hAnsi="宋体" w:cs="宋体" w:hint="eastAsia"/>
          <w:b/>
          <w:bCs w:val="0"/>
          <w:sz w:val="28"/>
          <w:szCs w:val="28"/>
          <w:lang w:eastAsia="zh-CN"/>
        </w:rPr>
        <w:t>(八)、颜料行业体验营销</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品牌活动和沉浸式体验：打造独特场景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活动和沉浸式体验是体验营销的首要元素。通过精心设计的品牌活动，如产品发布会、沉浸式展览等，颜料行业能够为消费者创造一个独特而难以忘怀的场景。这不仅提供了对产品的实际体验，还在情感上拉近了品牌与消费者的距离，建立了深厚的情感连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虚拟现实(VR)和增强现实(AR)技术应用：拓展品牌感知边界运用虚拟现实和增强现实技术,颜料行业可以为消费者提供沉浸式的品牌体验。透过虚拟展示和互动体验，消费者将更全面地了解颜料行业产品的特色。这种技术的应用拓展了品牌感知的边界，为消费者提供了前所未有的品牌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产品试用和示范：亲身感受产品独特之处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提供消费者产品试用和示范的机会，是体验营销中的关键步骤。无论是在实体店面还是线上平台，通过让消费者亲身体验颜料行业产品，品牌能够更深入地传达产品的独特之处，从而加强消费者对品牌的信任和认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个性化定制服务：定制独一无二的体验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提供个性化的产品定制服务,颜料行业可以为消费者打造独一无二的体验。个性化定制不仅增强了产品的独特性，还使消费者在品牌体验中更具参与感。这种定制服务不仅满足了个性化需求，也使消费者更深度地融入品牌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互动式社交媒体活动：引导共创品牌世界</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sz w:val="24"/>
          <w:szCs w:val="24"/>
          <w:lang w:eastAsia="zh-CN"/>
        </w:rPr>
        <w:t>利用社交媒体平台推出互动式活动，如挑战、投票等，能够引导消费者积极参与，使他们深度融入品牌的世界。这种互动性不仅提升了品牌的知名度，还促进了品牌与消费者之间的共创，打造了一个更加有趣和参与的品牌生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品牌故事讲述：情感共鸣，传递核心价值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讲述品牌故事,颜料行业能够将自身融入一个富有情感和故事性的场景中。这样的品牌故事不仅让消费者更深刻地理解品牌的核心价值和文化，同时也在情感上与消费者建立共鸣，加深了品牌在他们心中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定期活动和季节性体验：持续关注与互动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计定期的品牌活动和季节性体验,是为了保持消费者对颜料行业的关注度。这包括与节假日、季节等相关的主题活动，为消费者提供持续的品牌互动体验。这种持续关注与互动有助于保持品牌在消费者心中的活跃度，使其成为日常生活中的一部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通过全面运用这些体验营销策略,颜料行业不仅能够在消费者心中创造共鸣，提升品牌亲和力，还能够使消费者不仅购买产品，更是投身于一个引人入胜的品牌体验之中。</w:t>
      </w:r>
    </w:p>
    <w:p>
      <w:pPr>
        <w:pStyle w:val="Heading2"/>
        <w:spacing w:line="480" w:lineRule="auto"/>
        <w:rPr>
          <w:rFonts w:ascii="宋体" w:eastAsia="宋体" w:hAnsi="宋体" w:cs="宋体" w:hint="eastAsia"/>
          <w:bCs w:val="0"/>
          <w:sz w:val="28"/>
          <w:szCs w:val="28"/>
          <w:lang w:eastAsia="zh-CN"/>
        </w:rPr>
      </w:pPr>
      <w:bookmarkStart w:id="14" w:name="_Toc1461"/>
      <w:r>
        <w:rPr>
          <w:rFonts w:ascii="宋体" w:eastAsia="宋体" w:hAnsi="宋体" w:cs="宋体" w:hint="eastAsia"/>
          <w:b/>
          <w:bCs w:val="0"/>
          <w:sz w:val="28"/>
          <w:szCs w:val="28"/>
          <w:lang w:eastAsia="zh-CN"/>
        </w:rPr>
        <w:t>(九)、颜料行业互联网营销</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在当今数字时代，互联网营销成为塑造品牌形象、拓展市场的关键战略。通过充分利用互联网平台，颜料行业能够实现更广泛的品牌曝光和深度的用户互动。下面是在互联网营销中的关键要素：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数字广告与推广：精准触达目标受众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互联网营销中，数字广告是一种有效的推广手段。通过在社交媒体、搜索引擎等平台投放广告,颜料行业能够实现精准触达目标受众。借助数据分析工具，可以实时监测广告效果，灵活调整推广策略提高广告投放的效益。</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社交媒体营销：构建品牌社区共鸣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媒体已成为品牌互动的重要平台。通过在主流社交平台建立和维护品牌账号，颜料行业能够与消费者直接互动。定期发布有价值的内容、参与用户讨论，构建起品牌社区，提升品牌在社交媒体上知名度和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内容营销策略：信息传递与品牌价值共鸣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精心策划的内容营销，颜料行业能够向目标受众传递有深度、有趣味的信息。这包括博客文章、视频内容、品牌故事等形式，以吸引用户关注并建立与品牌价值的共鸣。优质内容不仅增加用户粘性，还有助于提高品牌在搜索引擎中的排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搜索引擎优化(SEO):提升在线可见性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优化网站内容和结构，使其符合搜索引擎算法的要求，颜料行业能够提升在搜索结果中的排名。SEO是一项长期的策略，通过不断优化关键词、改进网站体验，使品牌在用户搜索时更容易被找到，增加网站流量和潜在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电子邮件营销：建立直接沟通渠道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电子邮件营销是一种直接、个性化的沟通方式。通过建立邮件订阅系统，颜料行业可以向用户提供定期的产品信息、优惠活动等内容。这种直接的沟通渠道有助于建立客户忠诚度，提高品牌在用户心中的形象。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数据分析与用户行为追踪：精细化运营决策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数据分析工具，颜料行业能够深入了解用户行为。通过追踪用户在网站上的浏览、点击等行为，可以获取有价值的数据。这些数据不仅可以用于精细化运营决策，还能够帮助品牌更好地了解用户需求，优化产品和服务。</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通过全面运用上述互联网营销策略,颜料行业将能够在数字化的浪潮中抓住机遇，与目标受众建立更紧密的联系，实现品牌在互联网上的成功推广。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5" w:name="_Toc19606"/>
      <w:r>
        <w:rPr>
          <w:rFonts w:ascii="微软雅黑" w:eastAsia="微软雅黑" w:hAnsi="微软雅黑" w:cs="微软雅黑" w:hint="eastAsia"/>
          <w:color w:val="2E54A1" w:themeColor="accent1" w:themeShade="BF"/>
          <w:sz w:val="32"/>
          <w:szCs w:val="32"/>
          <w:lang w:eastAsia="zh-CN"/>
        </w:rPr>
        <w:t>三、领导力发展与企业文化</w:t>
      </w:r>
      <w:bookmarkEnd w:id="15"/>
    </w:p>
    <w:p>
      <w:pPr>
        <w:pStyle w:val="Heading2"/>
        <w:spacing w:line="480" w:lineRule="auto"/>
        <w:rPr>
          <w:rFonts w:ascii="宋体" w:eastAsia="宋体" w:hAnsi="宋体" w:cs="宋体" w:hint="eastAsia"/>
          <w:bCs w:val="0"/>
          <w:sz w:val="28"/>
          <w:szCs w:val="28"/>
          <w:lang w:eastAsia="zh-CN"/>
        </w:rPr>
      </w:pPr>
      <w:bookmarkStart w:id="16" w:name="_Toc29987"/>
      <w:r>
        <w:rPr>
          <w:rFonts w:ascii="宋体" w:eastAsia="宋体" w:hAnsi="宋体" w:cs="宋体" w:hint="eastAsia"/>
          <w:b/>
          <w:bCs w:val="0"/>
          <w:sz w:val="28"/>
          <w:szCs w:val="28"/>
          <w:lang w:eastAsia="zh-CN"/>
        </w:rPr>
        <w:t>(一)、高效团队建设原则</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在进行高效团队建设时，我们秉持着一系列重要的原则，以确保团队能够协同合作、追求卓越。下面是我们团队建设的核心原则：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使命明确：团队的使命和目标需要清晰明确，让每位团队成员都能理解并为之努力。明确的使命能够激发团队成员的动力，使他们在共同的目标下更好地协同合作。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优势互补：我们鼓励团队成员发挥各自的优势，形成一个互补性强、多才多艺的团队。这种多元性有助于更好地应对各种任务和挑战，提高团队整体的综合素质。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开放沟通：沟通是团队协作的基石。我们倡导开放、透明的沟通机制，鼓励团队成员分享意见和建议。通过积极的沟通，团队能够更好地理解彼此，有效解决问题。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共同承担责任：每个团队成员都参与责任的分担，形成共同的责任感。这有助于建立团队协同工作的氛围，确保每个成员都为团队的目标负责。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激发创新：我们鼓励团队成员提出新的想法和方法，不怕犯错误。创新是推动团队发展的重要动力，我们致力于创造一个鼓励创新的团队文化。</w:t>
      </w:r>
    </w:p>
    <w:p>
      <w:pPr>
        <w:pStyle w:val="Heading2"/>
        <w:spacing w:line="480" w:lineRule="auto"/>
        <w:rPr>
          <w:rFonts w:ascii="宋体" w:eastAsia="宋体" w:hAnsi="宋体" w:cs="宋体" w:hint="eastAsia"/>
          <w:bCs w:val="0"/>
          <w:sz w:val="28"/>
          <w:szCs w:val="28"/>
          <w:lang w:eastAsia="zh-CN"/>
        </w:rPr>
      </w:pPr>
      <w:bookmarkStart w:id="17" w:name="_Toc6686"/>
      <w:r>
        <w:rPr>
          <w:rFonts w:ascii="宋体" w:eastAsia="宋体" w:hAnsi="宋体" w:cs="宋体" w:hint="eastAsia"/>
          <w:b/>
          <w:bCs w:val="0"/>
          <w:sz w:val="28"/>
          <w:szCs w:val="28"/>
          <w:lang w:eastAsia="zh-CN"/>
        </w:rPr>
        <w:t>(二)、团队文化与价值观塑造</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团队文化和价值观方面的塑造原则：</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共同愿景：我们着眼于共同的愿景，通过共同的目标来激励团队成员。这一愿景能够为团队提供明确的方向，使每个成员在工作中能够感到使命必达。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信任与透明度：我们倡导建立一个基于信任和透明度的文化。成员间相互信任能够促使更好的合作,而透明度则有助于团队成员全面了解团队的决策过程和发展方向。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合作与共享：我们强调合作和共享的文化，鼓励团队成员彼此支持，共同努力。通过合作，团队成员能够发挥各自的优势，创造出更大的价值。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多元文化：我们重视多元文化的价值观，尊重不同背景和观点的存在。这有助于创造一个开放、包容的团队环境，鼓励成员间的多元化交流和合作。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持续学习：我们鼓励团队成员保持对新知识的渴求，持续学习和不断进步。这有助于形成积极向上、创新的文化氛围，推动团队不断提升综合素质。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通过这些原则,我们塑造了一个充满活力、积极向上的团队文化，使每位成员都能在共享的价值观下共同成长、共同进步。这有助于增强团队的凝聚力，推动团队不断向前发展。</w:t>
      </w:r>
    </w:p>
    <w:p>
      <w:pPr>
        <w:pStyle w:val="Heading2"/>
        <w:spacing w:line="480" w:lineRule="auto"/>
        <w:rPr>
          <w:rFonts w:ascii="宋体" w:eastAsia="宋体" w:hAnsi="宋体" w:cs="宋体" w:hint="eastAsia"/>
          <w:bCs w:val="0"/>
          <w:sz w:val="28"/>
          <w:szCs w:val="28"/>
          <w:lang w:eastAsia="zh-CN"/>
        </w:rPr>
      </w:pPr>
      <w:bookmarkStart w:id="18" w:name="_Toc19643"/>
      <w:r>
        <w:rPr>
          <w:rFonts w:ascii="宋体" w:eastAsia="宋体" w:hAnsi="宋体" w:cs="宋体" w:hint="eastAsia"/>
          <w:b/>
          <w:bCs w:val="0"/>
          <w:sz w:val="28"/>
          <w:szCs w:val="28"/>
          <w:lang w:eastAsia="zh-CN"/>
        </w:rPr>
        <w:t>(三)、领导力发展计划</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领导力发展计划是确保颜料行业项目顺利推进和取得成功的关键组成部分。在这一计划中，我们将注重培养和提升团队领导层的领导力素质，以适应项目不断发展和变化的需求。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1.领导力评估与识别：</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4"/>
          <w:szCs w:val="24"/>
          <w:lang w:eastAsia="zh-CN"/>
        </w:rPr>
        <w:t>首先，我们将进行全面的领导力评估，通过明确领导层的优势和发展领域，为个别领导制定个性化的发展计划。这涵盖了领导者的沟通技能、团队协作、决策能力等方面的综合评估。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2.培训与发展课程：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基于领导力评估的结果，我们将制定有针对性的培训和发展课程。这些课程涵盖领导力理论、沟通技巧、团队建设、冲突解决等方面旨在提高领导者的综合能力。培训将以定期的工作坊、讲座、在线学习等多种形式进行，确保领导者能够不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3.导师制度与辅导：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我们将建立导师制度，由经验丰富的领导者担任导师，与新晋领导者进行定期的一对一辅导。这有助于新领导者更好地理解项目的运作和公司文化，同时也提供了实践中的指导和反馈。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4.实战项目与领导经验：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除了理论学习,我们将推动领导者参与实际项目和领导团队的机会。通过亲身经历，领导者将能够更深入地理解项目的挑战和机遇，锻炼领导力技能。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5.持续反馈和评估：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领导力发展计划将持续进行反馈和评估。通过360度评估、员工调查和项目绩效评估等手段，我们将不断监测领导者的发展进程，及时调整和优化发展计划，确保其与项目目标保持一致。</w:t>
      </w:r>
    </w:p>
    <w:p>
      <w:pPr>
        <w:pStyle w:val="Heading2"/>
        <w:spacing w:line="480" w:lineRule="auto"/>
        <w:rPr>
          <w:rFonts w:ascii="宋体" w:eastAsia="宋体" w:hAnsi="宋体" w:cs="宋体" w:hint="eastAsia"/>
          <w:bCs w:val="0"/>
          <w:sz w:val="28"/>
          <w:szCs w:val="28"/>
          <w:lang w:eastAsia="zh-CN"/>
        </w:rPr>
      </w:pPr>
      <w:bookmarkStart w:id="19" w:name="_Toc6120"/>
      <w:r>
        <w:rPr>
          <w:rFonts w:ascii="宋体" w:eastAsia="宋体" w:hAnsi="宋体" w:cs="宋体" w:hint="eastAsia"/>
          <w:b/>
          <w:bCs w:val="0"/>
          <w:sz w:val="28"/>
          <w:szCs w:val="28"/>
          <w:lang w:eastAsia="zh-CN"/>
        </w:rPr>
        <w:t>(四)、领导力在变革中的作用</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1.制定愿景和方向：</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领导者在变革中的首要任务是制定清晰的愿景和方向。通过与团队共享未来的理想状态，领导者能够激发团队的共鸣和动力。这一愿景应当明确定义变革的目标和意义,为团队提供一个明确的前进方向。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2.传递信任和支持：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在变革期间，团队成员可能面临不确定性和焦虑。领导者的角色就是传递信任和支持，使团队充满信心地迎接变革。建立良好的沟通机制,解答疑虑,同时为团队提供资源和支持,有助于稳定团队情绪。</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3.激发团队的积极性：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领导者应当激发团队的积极性和创造性,鼓励成员参与变革过程，分享想法和建议。通过赋予团队更多的责任和自主权，领导者能够激发成员的参与感和责任心，从而促进变革的顺利进行。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4.管理变革的复杂性：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领导者需要具备处理变革中复杂局面的能力。这包括对风险的识别和管理，解决团队内部的冲突，以及对外部压力的应对。领导者的决策和行动应当能够在变革的动荡中保持组织的稳定性。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5.促进文化变革：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变革通常伴随着组织文化的调整。领导者需要引领文化变革，确保组织的价值观和行为规范与变革目标相一致。通过示范和鼓励期望的行为，领导者可以引导团队逐步适应新的文化氛围。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6.持续学习和适应：</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领导者在变革中的作用也包括自身的不断学习和适应。对于变革的动态过程，领导者需要保持灵活性，随时调整策略，并从经验中吸取教训。这种反思和适应性是成功推动变革的重要因素。</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0" w:name="_Toc30274"/>
      <w:r>
        <w:rPr>
          <w:rFonts w:ascii="微软雅黑" w:eastAsia="微软雅黑" w:hAnsi="微软雅黑" w:cs="微软雅黑" w:hint="eastAsia"/>
          <w:color w:val="2E54A1" w:themeColor="accent1" w:themeShade="BF"/>
          <w:sz w:val="32"/>
          <w:szCs w:val="32"/>
          <w:lang w:eastAsia="zh-CN"/>
        </w:rPr>
        <w:t>四、颜料行业人力资源管理策略</w:t>
      </w:r>
      <w:bookmarkEnd w:id="20"/>
    </w:p>
    <w:p>
      <w:pPr>
        <w:pStyle w:val="Heading2"/>
        <w:spacing w:line="480" w:lineRule="auto"/>
        <w:rPr>
          <w:rFonts w:ascii="宋体" w:eastAsia="宋体" w:hAnsi="宋体" w:cs="宋体" w:hint="eastAsia"/>
          <w:bCs w:val="0"/>
          <w:sz w:val="28"/>
          <w:szCs w:val="28"/>
          <w:lang w:eastAsia="zh-CN"/>
        </w:rPr>
      </w:pPr>
      <w:bookmarkStart w:id="21" w:name="_Toc8389"/>
      <w:r>
        <w:rPr>
          <w:rFonts w:ascii="宋体" w:eastAsia="宋体" w:hAnsi="宋体" w:cs="宋体" w:hint="eastAsia"/>
          <w:b/>
          <w:bCs w:val="0"/>
          <w:sz w:val="28"/>
          <w:szCs w:val="28"/>
          <w:lang w:eastAsia="zh-CN"/>
        </w:rPr>
        <w:t>(一)、颜料行业人力资源管理原则</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1.择优而用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才招聘中，择优而用是确保企业长期成功的首要原则。通过细致入微的面试和评估流程,我们能够识别并吸引具备适应力、技能娴熟、经验丰富的候选人。这种选择最适合职位需求的方法，将为团队的协同工作和业务目标的实现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注重员工培训与发展是建设富有创造力和创新力团队的关键步骤。我们制定个性化的培训计划，以提高员工的专业技能，并通过提供职业发展通道,激发员工的学习热情,使其在职业生涯中持续进步。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3.公平薪酬体系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建立公平合理的薪酬体系，是对员工贡献和表现的公正回报。我们致力于确保薪酬结构的透明度，以便员工理解薪酬决策的依据，激发其更高的工作积极性和创造力。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激励机制和奖励制度是激发员工积极性的有效手段。通过设立晋升机会、提供年终奖金、优厚的员工福利等，我们努力确保员工在公司取得显著成就时能够得到公平而有力的回报。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5.平等对待</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在招聘、晋升、薪酬等决策中，我们始终坚持平等对待的原则，不受性别、年龄、种族、宗教信仰等因素的干扰。这有助于建立一个公正、平等的工作环境，吸引并留住多样化的人才。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6.工作生活平衡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我们关注员工的工作生活平衡，通过灵活的工作时间和假期政策，帮助员工更好地平衡工作和生活。这种关心有助于提高员工的工作满意度，增强员工对公司的忠诚度。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7.沟通透明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保持沟通的透明度对于员工的投入和理解至关重要。我们建立开放的沟通渠道，及时与员工分享公司的发展战略、目标和变化，以确保员工始终了解公司的方向和决策过程。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8.多元团队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我们鼓励多元团队的建设，通过招聘具有不同背景、经验和观点的人才，创造一个充满创造力和创新力的工作环境。多元团队有助于更好地适应市场变化，提高公司的灵活性和竞争力。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9.员工参与与反馈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择优而用的原则中，员工参与与反馈是关键的环节。我们鼓励员工积极参与公司决策的过程,通过员工意见收集、定期座谈会等方式，倾听他们的声音，了解他们的需求和期望。这不仅有助于更好地满足员工的个体差异，还增加了员工对公司决策的理解和认同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10.灵活工作制度</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培养与发展的过程中，我们致力于建立灵活的工作制度。理解每个员工的工作风格和生活需求,我们提供弹性的工作时间和远程办公选项。这种灵活性有助于员工更好地平衡工作和生活，提高他们的工作效率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11.精神健康关怀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平薪酬体系的建立不仅涉及物质回报,也关乎员工的整体幸福感。因此，我们注重员工的精神健康。提供心理健康支持、灵活的工作安排以及定期的团队活动，有助于维护员工的心理健康，提高他们的工作积极性和生活品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12.创新激励机制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激励与奖励不仅体现在薪酬上，还包括对员工创新的认可。我们设立创新激励机制，奖励提出创意和优化方案的员工。这激发了员工的创造力，推动公司在不断变化的市场中保持竞争优势。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13.持续学习文化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在平等对待的基础上,我们倡导持续学习的文化。为员工提供不断学习的机会，包括专业培训、知识分享平台等。这有助于员工不断提升自己的专业技能，适应颜料行业和市场的快速变化。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14.领导力培养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激励与奖励制度中，注重对内部领导力的培养。通过领导力培训计划、mentor制度等，我们培养和提升公司内部的领导层。强大的领导团队是公司持续发展的重要支撑。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15.社会责任</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sz w:val="24"/>
          <w:szCs w:val="24"/>
          <w:lang w:eastAsia="zh-CN"/>
        </w:rPr>
        <w:t>平等对待的原则承载了公司的社会责任。我们将社会责任融入企业文化，通过参与公益活动、环保倡议等方式，使员工参与到社会责任的实践中。这不仅有助于树立公司的良好社会形象，也让员工感到自己是一个更有意义的组织的一部分。</w:t>
      </w:r>
    </w:p>
    <w:p>
      <w:pPr>
        <w:pStyle w:val="Heading2"/>
        <w:spacing w:line="480" w:lineRule="auto"/>
        <w:rPr>
          <w:rFonts w:ascii="宋体" w:eastAsia="宋体" w:hAnsi="宋体" w:cs="宋体" w:hint="eastAsia"/>
          <w:bCs w:val="0"/>
          <w:sz w:val="28"/>
          <w:szCs w:val="28"/>
          <w:lang w:eastAsia="zh-CN"/>
        </w:rPr>
      </w:pPr>
      <w:bookmarkStart w:id="22" w:name="_Toc248"/>
      <w:r>
        <w:rPr>
          <w:rFonts w:ascii="宋体" w:eastAsia="宋体" w:hAnsi="宋体" w:cs="宋体" w:hint="eastAsia"/>
          <w:b/>
          <w:bCs w:val="0"/>
          <w:sz w:val="28"/>
          <w:szCs w:val="28"/>
          <w:lang w:eastAsia="zh-CN"/>
        </w:rPr>
        <w:t>(二)、颜料行业劳动关系管理</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1.招聘与录用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计颜料行业人员配置方案时,我们首先聚焦于招聘与录用的关键步骤。明确每个职位的技能要求和角色职责,我们通过多渠道的招聘，如招聘网站、社交平台以及校园招聘，寻找适应性强、经验丰富、专业技能突出的候选人。通过细致的面试和评估程序，确保新员工的优质加入，为团队的多元化和协同工作翼定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2.员工培训与发展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素养和创新能力，我们关注员工培训与发展。制定全面的培训计划，结合内外部培训资源、专业课程和团队活动，提高员工的专业技能和团队协作水平。鼓励员工参与职业发展规划，为其提供晋升通道和跨部门学习机会,推动员工在职业生涯中的不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3.薪酬与福利管理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公平透明的薪酬与福利管理是吸引和留住优秀人才的关键。建立绩效考核体系，将薪酬与员工贡献直接挂钩，确保员工对薪酬结构的理解和认同。提供丰富多样的福利待遇，包括灵活的工作制度、健康保险和员工活动,关注员工的全面福祉，提升员工对企业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4.绩效激励与奖励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关注绩效激励与奖励机制，我们通过设立明确的绩效评估标准，激发员工的工作积极性。每年的绩效评估中，提供公正的晋升机会、奖金和其他形式的奖励，以回报员工的出色表现，同时建立起积极的工作激励氛围。</w:t>
      </w:r>
    </w:p>
    <w:p>
      <w:pPr>
        <w:spacing w:line="480" w:lineRule="auto"/>
        <w:ind w:firstLine="420" w:firstLineChars="0"/>
        <w:rPr>
          <w:rFonts w:ascii="宋体" w:eastAsia="宋体" w:hAnsi="宋体" w:cs="宋体" w:hint="eastAsia"/>
          <w:sz w:val="24"/>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宋体" w:eastAsia="宋体" w:hAnsi="宋体" w:cs="宋体" w:hint="eastAsia"/>
          <w:sz w:val="24"/>
          <w:szCs w:val="24"/>
          <w:lang w:eastAsia="zh-CN"/>
        </w:rPr>
        <w:t>5.团队建设与沟通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打造一个协调高效的颜料行业团队,我们实施了多层次的团队建设与沟通机制。定期组织团队活动、培训课程和座谈会，促进团队成员之间的相互了解和信任。建立了开放透明的沟通渠道，确保领导与团队之间能够进行有效的信息共享，提高团队的协同工作效率，推动整体业务发展。</w:t>
      </w:r>
    </w:p>
    <w:p>
      <w:pPr>
        <w:pStyle w:val="Heading2"/>
        <w:spacing w:line="480" w:lineRule="auto"/>
        <w:rPr>
          <w:rFonts w:ascii="宋体" w:eastAsia="宋体" w:hAnsi="宋体" w:cs="宋体" w:hint="eastAsia"/>
          <w:bCs w:val="0"/>
          <w:sz w:val="28"/>
          <w:szCs w:val="28"/>
          <w:lang w:eastAsia="zh-CN"/>
        </w:rPr>
      </w:pPr>
      <w:bookmarkStart w:id="23" w:name="_Toc28636"/>
      <w:r>
        <w:rPr>
          <w:rFonts w:ascii="宋体" w:eastAsia="宋体" w:hAnsi="宋体" w:cs="宋体" w:hint="eastAsia"/>
          <w:b/>
          <w:bCs w:val="0"/>
          <w:sz w:val="28"/>
          <w:szCs w:val="28"/>
          <w:lang w:eastAsia="zh-CN"/>
        </w:rPr>
        <w:t>(三)、颜料行业人员配置方案</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1.项目经理：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职责：负责项目的整体规划、执行和监控，协调项目团队的工作，确保项目目标的达成。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技能：项目管理经验、领导能力、沟通协调能力。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2.项目团队成员(根据项目需求而定，可能包括):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业务分析师：负责收集和分析业务需求，协助制定项目计划。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开发人员：负责系统或产品的开发工作。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测试人员：负责测试和验证产品的功能和质量。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设计师：负责项目相关设计工作，可能包括图形设计、系统架构设计等。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3.技术支持团队：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职责：提供项目实施后的技术支持和维护服务。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技能：技术专业知识、解决问题的能力。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4.财务专员：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职责：负责项目预算的编制和监控，处理财务事务。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技能：财务管理知识、预算编制能力。</w:t>
      </w:r>
    </w:p>
    <w:p>
      <w:pPr>
        <w:spacing w:line="480" w:lineRule="auto"/>
        <w:ind w:firstLine="420" w:firstLineChars="0"/>
        <w:rPr>
          <w:rFonts w:ascii="宋体" w:eastAsia="宋体" w:hAnsi="宋体" w:cs="宋体" w:hint="eastAsia"/>
          <w:sz w:val="24"/>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宋体" w:eastAsia="宋体" w:hAnsi="宋体" w:cs="宋体" w:hint="eastAsia"/>
          <w:sz w:val="24"/>
          <w:szCs w:val="24"/>
          <w:lang w:eastAsia="zh-CN"/>
        </w:rPr>
        <w:t>5.沟通协调员：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职责：负责内外部沟通，协调项目各方面工作。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技能：良好的沟通能力、团队协作能力。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请注意,具体的人员配置方案应该根据项目的具体情况进行调整和完善。</w:t>
      </w:r>
    </w:p>
    <w:p>
      <w:pPr>
        <w:pStyle w:val="Heading2"/>
        <w:spacing w:line="480" w:lineRule="auto"/>
        <w:rPr>
          <w:rFonts w:ascii="宋体" w:eastAsia="宋体" w:hAnsi="宋体" w:cs="宋体" w:hint="eastAsia"/>
          <w:bCs w:val="0"/>
          <w:sz w:val="28"/>
          <w:szCs w:val="28"/>
          <w:lang w:eastAsia="zh-CN"/>
        </w:rPr>
      </w:pPr>
      <w:bookmarkStart w:id="24" w:name="_Toc10412"/>
      <w:r>
        <w:rPr>
          <w:rFonts w:ascii="宋体" w:eastAsia="宋体" w:hAnsi="宋体" w:cs="宋体" w:hint="eastAsia"/>
          <w:b/>
          <w:bCs w:val="0"/>
          <w:sz w:val="28"/>
          <w:szCs w:val="28"/>
          <w:lang w:eastAsia="zh-CN"/>
        </w:rPr>
        <w:t>(四)、颜料行业员工招聘方案</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需求分析阶段,我们深入了解各部门的工作需求和业务规划，与部门经理和团队领导密切合作。通过详细的职位描述，我们明确每个职位的职责、技能要求和所需经验。这有助于确保招聘计划与公司的长期战略和短期目标保持一致。我们通过员工评估、团队规模评估和未来业务发展预测，量化招聘需求，确保新员工的加入对公司整体业务目标的达成起到积极作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2.制定招聘渠道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招聘渠道时,我们采取多管齐下的策略,以确保覆盖面广，吸引到多样化的人才。除了利用传统的招聘网站和社交媒体平台，我们还积极参与颜料行业相关的招聘会和专业活动,以建立更紧密的原油行业联系。与此同时，我们与高校建立紧密的合作关系，通过校园招聘和实习项目，吸引优秀的新毕业生。通过这样的多渠道招聘策略，我们确保了招聘过程的多样性和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3.招聘流程设计</w:t>
      </w:r>
    </w:p>
    <w:p>
      <w:pPr>
        <w:spacing w:line="480" w:lineRule="auto"/>
        <w:ind w:firstLine="420" w:firstLineChars="0"/>
        <w:rPr>
          <w:rFonts w:ascii="宋体" w:eastAsia="宋体" w:hAnsi="宋体" w:cs="宋体" w:hint="eastAsia"/>
          <w:sz w:val="24"/>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招聘流程的设计，以确保高效而有序的招聘过程。我们引入了招聘管理系统，通过自动化和信息化的手段，优化了招聘流程的各个环节。从简历筛选、面试安排到最终录用，每个步骤都有明确的流程和标准。我们注重与候选人的沟通，提供实时的反馈，以提升整体招聘体验。通过这样的设计，我们旨在降低招聘周期，吸引更多优秀的候选人加入我们的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4.员工培训计划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新员工能够快速适应公司文化和工作环境,我们制定了全面的员工培训计划。入职培训包括公司历史、价值观和团队文化的介绍，以及基础的工作规范培训。此外，我们提供专业技能培训，以帮助员工提高在特定领域的能力。我们强调团队协作和沟通技能的培养，以促进整个团队的协同工作。培训计划不仅关注新员工，也为现有员工提供定期的职业发展机会,确保每个员工在职业生涯中都能持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5.薪酬福利设计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薪酬福利设计方面，我们根据市场调研和员工需求，制定了灵活而具有竞争力的薪酬体系。我们关注颜料行业薪酬水平，确保员工的薪酬符合市场标准。同时，我们提供全面的福利待遇，包括健康保险、弹性工作制度、员工活动和奖励计划等。这样的薪酬福利体系有助于吸引高素质的人才，并提高员工的工作满意度，增强员工对公司的忠诚度。</w:t>
      </w:r>
    </w:p>
    <w:p>
      <w:pPr>
        <w:pStyle w:val="Heading2"/>
        <w:spacing w:line="480" w:lineRule="auto"/>
        <w:rPr>
          <w:rFonts w:ascii="宋体" w:eastAsia="宋体" w:hAnsi="宋体" w:cs="宋体" w:hint="eastAsia"/>
          <w:bCs w:val="0"/>
          <w:sz w:val="28"/>
          <w:szCs w:val="28"/>
          <w:lang w:eastAsia="zh-CN"/>
        </w:rPr>
      </w:pPr>
      <w:bookmarkStart w:id="25" w:name="_Toc4601"/>
      <w:r>
        <w:rPr>
          <w:rFonts w:ascii="宋体" w:eastAsia="宋体" w:hAnsi="宋体" w:cs="宋体" w:hint="eastAsia"/>
          <w:b/>
          <w:bCs w:val="0"/>
          <w:sz w:val="28"/>
          <w:szCs w:val="28"/>
          <w:lang w:eastAsia="zh-CN"/>
        </w:rPr>
        <w:t>(五)、颜料行业绩效和薪酬管理方案</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1.绩效管理方案</w:t>
      </w:r>
    </w:p>
    <w:p>
      <w:pPr>
        <w:spacing w:line="480" w:lineRule="auto"/>
        <w:ind w:firstLine="420" w:firstLineChars="0"/>
        <w:rPr>
          <w:rFonts w:ascii="宋体" w:eastAsia="宋体" w:hAnsi="宋体" w:cs="宋体" w:hint="eastAsia"/>
          <w:sz w:val="24"/>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管理是确保员工个体和团队整体能够达到最佳工作水平的关键工具。我们采用全面的绩效管理方案，包括目标设定、定期评估和反馈机制。首先，与员工一起设定明确的工作目标，确保每个人都理解公司的期望和个人职责。定期的评估过程不仅关注成果，还注重员工的行为和发展。我们鼓励员工参与自我评估，促进对个人成长的深刻思考。此外，为了提高绩效管理的透明度，我们建立了开放式的绩效反馈机制，鼓励员工与管理层进行有意义的对话，共同制定未来发展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2.薪酬管理方案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薪酬管理方案旨在建立公正、透明和激励的激励体系。首先，我们根据市场薪酬水平进行详尽的调研，确保我们的薪酬体系具有竞争力。薪酬结构考虑了员工的职位、经验、绩效和市场条件等多方面因素，以确保员工获得公正的回报。我们注重薪酬的激励性，设立了与绩效挂钩的奖励机制，对于表现优异的员工提供额外激励。同时，我们也关注员工的福利待遇，提供全面的福利计划，包括健康保险、带薪休假和培训发展等，以提高员工的整体生活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3.激励与奖励机制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机制是我们绩效和薪酬管理方案的重要组成部分。我们设立了灵活而有力的激励机制，通过明确的绩效评估，对表现优秀的员工提供额外奖金和晋升机会。激励不仅关注个体，还包括团队和部门水平的表现。我们注重公平，确保激励机制的透明度，使员工能够理解奖励决策的依据。激励计划还包括非金钱方面的奖励，如员工活动、团队建设和专业培训等，以综合提升员工的工作满意度和团队凝聚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4.职业发展计划</w:t>
      </w:r>
    </w:p>
    <w:p>
      <w:pPr>
        <w:spacing w:line="480" w:lineRule="auto"/>
        <w:ind w:firstLine="420" w:firstLineChars="0"/>
        <w:rPr>
          <w:rFonts w:ascii="宋体" w:eastAsia="宋体" w:hAnsi="宋体" w:cs="宋体" w:hint="eastAsia"/>
          <w:sz w:val="24"/>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业发展计划是我们绩效和薪酬管理方案的关键元素之一。我们致力于为员工提供广阔的职业发展通道，通过内部晋升、横向发展和专业培训等方式，帮助员工不断提升职业能力。我们与员工共同制定个性化的职业发展计划，明确目标和发展方向。此外，我们鼓励员工参与跨部门和跨项目的合作，促进知识交流和技能共享。通过这样的职业发展计划，我们旨在激发员工的学习热情，增强他们在公司内部的归属感和成就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5.沟通与反馈机制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良好的沟通与反馈机制是绩效和薪酬管理的支持系统。我们建立了定期的沟通渠道，包括一对一会议、团队会议和公司大会等。通过这些渠道，员工能够与领导直接沟通，分享工作中的困惑和挑战。我们注重双向反馈，鼓励员工提出改进建议，同时及时向员工提供有针对性的反馈，帮助他们更好地了解自己的工作表现和发展方向。沟通与反馈机制有助于建立开放、透明的工作氛围，提高员工对绩效和薪酬管理的满意度。</w:t>
      </w:r>
    </w:p>
    <w:p>
      <w:pPr>
        <w:pStyle w:val="Heading2"/>
        <w:spacing w:line="480" w:lineRule="auto"/>
        <w:rPr>
          <w:rFonts w:ascii="宋体" w:eastAsia="宋体" w:hAnsi="宋体" w:cs="宋体" w:hint="eastAsia"/>
          <w:bCs w:val="0"/>
          <w:sz w:val="28"/>
          <w:szCs w:val="28"/>
          <w:lang w:eastAsia="zh-CN"/>
        </w:rPr>
      </w:pPr>
      <w:bookmarkStart w:id="26" w:name="_Toc28231"/>
      <w:r>
        <w:rPr>
          <w:rFonts w:ascii="宋体" w:eastAsia="宋体" w:hAnsi="宋体" w:cs="宋体" w:hint="eastAsia"/>
          <w:b/>
          <w:bCs w:val="0"/>
          <w:sz w:val="28"/>
          <w:szCs w:val="28"/>
          <w:lang w:eastAsia="zh-CN"/>
        </w:rPr>
        <w:t>(六)、颜料行业员工福利管理方案</w:t>
      </w:r>
      <w:bookmarkEnd w:id="2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1.健康保险计划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我们提供全面的健康保险计划，覆盖员工及其家庭成员。这包括基本的医疗保健、牙科和视力保健。我们致力于为员工提供全方位的健康保障,确保在生病或有医疗需求时能够得到及时且负担得起的医疗服务。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2.带薪休假政策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我们采用灵活的带薪休假政策，鼓励员工在需要时取得休息。这包括年度带薪假期、病假和特殊假期。我们理解员工在工作与生活之间需要平衡，因此提供合理的休假政策，以确保员工的身心健康和工作动力。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3.弹性工作时间</w:t>
      </w:r>
    </w:p>
    <w:p>
      <w:pPr>
        <w:spacing w:line="480" w:lineRule="auto"/>
        <w:ind w:firstLine="420" w:firstLineChars="0"/>
        <w:rPr>
          <w:rFonts w:ascii="宋体" w:eastAsia="宋体" w:hAnsi="宋体" w:cs="宋体" w:hint="eastAsia"/>
          <w:sz w:val="24"/>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宋体" w:eastAsia="宋体" w:hAnsi="宋体" w:cs="宋体" w:hint="eastAsia"/>
          <w:sz w:val="24"/>
          <w:szCs w:val="24"/>
          <w:lang w:eastAsia="zh-CN"/>
        </w:rPr>
        <w:t>为了更好地满足员工的工作生活平衡需求,我们推行弹性工作时间制度。员工可以根据个人情况调整工作时间，更好地安排工作和生活。这种弹性工作制度有助于提高员工的工作满意度和生产力。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4.学习与发展支持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我们提供全面的学习与发展支持，包括专业培训、进修课程和参与外部研讨会的机会。通过这些学习渠道，员工可以不断提升自己的专业能力，适应颜料行业的发展变化，实现个人职业目标。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5.团队建设活动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为了促进员工之间的合作与团队精神,我们组织各类团队建设活动。这可能包括团队旅行、户外拓展活动、庆祝活动等。这些活动不仅加强了员工之间的联系，也提高了整体工作氛围。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6.职业发展规划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我们为每位员工制定个性化的职业发展规划,与员工共同探讨未来的职业道路和目标。这有助于员工更好地了解自己的职业发展方向，明确发展目标，并制定实现这些目标的计划。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7.灵活工作安排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我们支持员工采用灵活的工作安排，如远程办公和分时工作。这种灵活性有助于员工更好地平衡工作和生活，提高工作效率，同时为员工创造更加宽松的工作环境。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8.员工福利平台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我们建立了员工福利平台，涵盖各类优惠和福利。从购物、旅游到文化娱乐，员工可以通过平台享受到丰富的福利待遇，增强其对公司的归属感和满意度。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这些员工福利管理方案不仅有助于提高员工的生活质量，还加强了员工对公司的忠诚度和工作积极性。</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https://d.book118.com/845323124012011042</w:t>
        </w:r>
      </w:hyperlink>
    </w:p>
    <w:p>
      <w:pPr>
        <w:spacing w:line="480" w:lineRule="auto"/>
        <w:ind w:firstLine="420" w:firstLineChars="0"/>
        <w:rPr>
          <w:rFonts w:ascii="宋体" w:eastAsia="宋体" w:hAnsi="宋体" w:cs="宋体" w:hint="eastAsia"/>
          <w:sz w:val="24"/>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8966A05"/>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845323124012011042"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