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944" w:firstLineChars="295"/>
        <w:jc w:val="center"/>
        <w:rPr>
          <w:rFonts w:ascii="黑体" w:eastAsia="黑体" w:hAnsi="黑体"/>
          <w:b/>
          <w:sz w:val="32"/>
          <w:szCs w:val="32"/>
        </w:rPr>
        <w:sectPr>
          <w:headerReference w:type="default" r:id="rId6"/>
          <w:pgSz w:w="11906" w:h="16838"/>
          <w:pgMar w:top="1440" w:right="1797" w:bottom="1440" w:left="1797" w:header="851" w:footer="992" w:gutter="0"/>
          <w:pgNumType w:fmt="upperRoman" w:start="1"/>
          <w:cols w:num="1" w:space="720"/>
          <w:docGrid w:type="lines" w:linePitch="312" w:charSpace="0"/>
        </w:sectPr>
      </w:pPr>
    </w:p>
    <w:p>
      <w:pPr>
        <w:spacing w:line="220" w:lineRule="atLeast"/>
        <w:jc w:val="center"/>
        <w:rPr>
          <w:rFonts w:ascii="黑体" w:eastAsia="黑体" w:hAnsi="黑体"/>
          <w:b/>
          <w:sz w:val="32"/>
          <w:szCs w:val="32"/>
        </w:rPr>
      </w:pPr>
      <w:bookmarkStart w:id="0" w:name="_GoBack"/>
      <w:r>
        <w:rPr>
          <w:rFonts w:ascii="黑体" w:eastAsia="黑体" w:hAnsi="黑体" w:hint="eastAsia"/>
          <w:b/>
          <w:sz w:val="32"/>
          <w:szCs w:val="32"/>
        </w:rPr>
        <w:t>绿地集团偿债能力分析</w:t>
      </w:r>
    </w:p>
    <w:bookmarkEnd w:id="0"/>
    <w:p>
      <w:pPr>
        <w:spacing w:line="320" w:lineRule="exact"/>
        <w:jc w:val="both"/>
        <w:rPr>
          <w:rFonts w:ascii="仿宋" w:eastAsia="仿宋" w:hAnsi="仿宋"/>
          <w:sz w:val="24"/>
          <w:szCs w:val="24"/>
        </w:rPr>
      </w:pPr>
      <w:r>
        <w:rPr>
          <w:rFonts w:ascii="黑体" w:eastAsia="黑体" w:hAnsi="黑体" w:hint="eastAsia"/>
          <w:sz w:val="24"/>
          <w:szCs w:val="24"/>
        </w:rPr>
        <w:t>摘要:</w:t>
      </w:r>
      <w:r>
        <w:rPr>
          <w:rFonts w:ascii="仿宋" w:eastAsia="仿宋" w:hAnsi="仿宋" w:hint="eastAsia"/>
          <w:sz w:val="24"/>
          <w:szCs w:val="24"/>
        </w:rPr>
        <w:t>偿债能力，简单从字面意思的层次上来理解就是一个企业偿还所欠债款能力的大小。对一个企业来说，是否有较强的偿债能力决定着企业未来的发展。不管是中小型企业亦或是大型企业，投资者与经营者只有一直了解并关注偿债能力的高低，才能够时刻将企业的财务风险掌控在可控范围内。而在房地产行业中，许多的企业为了加强自身的竞争力，提高自身的市场占有，通常会靠举债经营来扩大规模进行生产，故偿债能力分析十分重要。因此，文章首先阐述相关概念界定，以绿地集团为例，同时以其近几年主要财务数据为基础，对其长期偿债能力、短期偿债能力、综合能力、现金流量、非财务指标进行分析，进而找出问题所在，并且寻求变化原因，最后提出提高绿地集团偿债能力的对策和建议。</w:t>
      </w:r>
    </w:p>
    <w:p>
      <w:pPr>
        <w:spacing w:line="320" w:lineRule="exact"/>
        <w:jc w:val="both"/>
        <w:rPr>
          <w:rFonts w:asciiTheme="minorEastAsia" w:eastAsiaTheme="minorEastAsia" w:hAnsiTheme="minorEastAsia"/>
          <w:sz w:val="18"/>
          <w:szCs w:val="18"/>
        </w:rPr>
      </w:pPr>
      <w:r>
        <w:rPr>
          <w:rFonts w:ascii="黑体" w:eastAsia="黑体" w:hAnsi="黑体" w:hint="eastAsia"/>
          <w:sz w:val="24"/>
          <w:szCs w:val="24"/>
        </w:rPr>
        <w:t>关键词</w:t>
      </w:r>
      <w:r>
        <w:rPr>
          <w:rFonts w:asciiTheme="minorEastAsia" w:eastAsiaTheme="minorEastAsia" w:hAnsiTheme="minorEastAsia" w:hint="eastAsia"/>
          <w:b/>
          <w:sz w:val="18"/>
          <w:szCs w:val="18"/>
        </w:rPr>
        <w:t>：</w:t>
      </w:r>
      <w:r>
        <w:rPr>
          <w:rFonts w:ascii="仿宋" w:eastAsia="仿宋" w:hAnsi="仿宋" w:hint="eastAsia"/>
          <w:sz w:val="24"/>
          <w:szCs w:val="24"/>
        </w:rPr>
        <w:t>短期偿债能力；长期偿债能力；资产负债率；流动比率</w:t>
      </w:r>
    </w:p>
    <w:p>
      <w:pPr>
        <w:spacing w:line="320" w:lineRule="exact"/>
        <w:jc w:val="center"/>
        <w:rPr>
          <w:rFonts w:ascii="Times New Roman" w:hAnsi="Times New Roman" w:eastAsiaTheme="minorEastAsia" w:cs="Times New Roman"/>
          <w:b/>
          <w:sz w:val="28"/>
          <w:szCs w:val="28"/>
        </w:rPr>
      </w:pPr>
      <w:r>
        <w:rPr>
          <w:rFonts w:ascii="Times New Roman" w:hAnsi="Times New Roman" w:eastAsiaTheme="minorEastAsia" w:cs="Times New Roman"/>
          <w:b/>
          <w:sz w:val="28"/>
          <w:szCs w:val="28"/>
        </w:rPr>
        <w:t>Analysis of green group's solvency</w:t>
      </w:r>
    </w:p>
    <w:p>
      <w:pPr>
        <w:spacing w:line="320" w:lineRule="exact"/>
        <w:jc w:val="both"/>
        <w:rPr>
          <w:rFonts w:asciiTheme="minorEastAsia" w:eastAsiaTheme="minorEastAsia" w:hAnsiTheme="minorEastAsia"/>
          <w:sz w:val="18"/>
          <w:szCs w:val="18"/>
        </w:rPr>
      </w:pPr>
    </w:p>
    <w:p>
      <w:pPr>
        <w:spacing w:line="320" w:lineRule="exact"/>
        <w:jc w:val="both"/>
        <w:rPr>
          <w:rFonts w:ascii="Times New Roman" w:hAnsi="Times New Roman" w:eastAsiaTheme="minorEastAsia" w:cs="Times New Roman"/>
          <w:sz w:val="24"/>
          <w:szCs w:val="24"/>
        </w:rPr>
      </w:pPr>
      <w:r>
        <w:rPr>
          <w:rFonts w:ascii="Times New Roman" w:hAnsi="Times New Roman" w:eastAsiaTheme="minorEastAsia" w:cs="Times New Roman"/>
          <w:b/>
          <w:sz w:val="24"/>
          <w:szCs w:val="24"/>
        </w:rPr>
        <w:t>[Abstract]</w:t>
      </w:r>
      <w:r>
        <w:rPr>
          <w:rFonts w:ascii="Times New Roman" w:hAnsi="Times New Roman" w:eastAsiaTheme="minorEastAsia" w:cs="Times New Roman" w:hint="eastAsia"/>
          <w:sz w:val="24"/>
          <w:szCs w:val="24"/>
        </w:rPr>
        <w:t>Solvency, simply from the literal level of understanding is the ability of an enterprise to repay the debts owed. For an enterprise, whether it has a strong solvency ability determines its future development. No matter small and medium-sized enterprises or large-scale enterprises, investors and operators can always control the financial risk of enterprises within a controllable range only when they have always understood and paid attention to the level of solvency. In the real estate industry, in order to strengthen their competitiveness and increase their market share, many companies usually rely on debt management to expand their production scale. Therefore, analysis of debt repayment ability is very important.Therefore, the article first elaborates the definition of related concepts. Taking Greenland Group as an example, and based on its main financial data in recent years, it analyzes its long-term solvency, short-term solvency, comprehensive ability, cash flow, and non-financial indicators. , And then find out the problem, and seek the reasons for the change, and finally put forward countermeasures and suggestions to improve Greenland Group's solvency.</w:t>
      </w:r>
    </w:p>
    <w:p>
      <w:pPr>
        <w:spacing w:line="320" w:lineRule="exact"/>
        <w:jc w:val="both"/>
        <w:rPr>
          <w:rFonts w:ascii="Times New Roman" w:hAnsi="Times New Roman" w:eastAsiaTheme="majorEastAsia" w:cs="Times New Roman"/>
          <w:sz w:val="24"/>
          <w:szCs w:val="24"/>
        </w:rPr>
      </w:pPr>
      <w:r>
        <w:rPr>
          <w:rFonts w:ascii="Times New Roman" w:hAnsi="Times New Roman" w:eastAsiaTheme="minorEastAsia" w:cs="Times New Roman"/>
          <w:b/>
          <w:sz w:val="24"/>
          <w:szCs w:val="24"/>
        </w:rPr>
        <w:t>Key words:</w:t>
      </w:r>
      <w:r>
        <w:rPr>
          <w:rFonts w:ascii="Times New Roman" w:hAnsi="Times New Roman" w:eastAsiaTheme="majorEastAsia" w:cs="Times New Roman"/>
          <w:sz w:val="24"/>
          <w:szCs w:val="24"/>
        </w:rPr>
        <w:t xml:space="preserve"> </w:t>
      </w:r>
      <w:r>
        <w:rPr>
          <w:rFonts w:ascii="Times New Roman" w:hAnsi="Times New Roman" w:eastAsiaTheme="majorEastAsia" w:cs="Times New Roman" w:hint="eastAsia"/>
          <w:sz w:val="24"/>
          <w:szCs w:val="24"/>
        </w:rPr>
        <w:t>short term solvency; long term solvency; Asset liability ratio; Liquidity ratio</w:t>
      </w:r>
    </w:p>
    <w:p>
      <w:pPr>
        <w:ind w:firstLine="480" w:firstLineChars="200"/>
        <w:jc w:val="both"/>
        <w:outlineLvl w:val="0"/>
        <w:rPr>
          <w:rFonts w:asciiTheme="minorEastAsia" w:eastAsiaTheme="minorEastAsia" w:hAnsiTheme="minorEastAsia"/>
          <w:b/>
          <w:sz w:val="24"/>
          <w:szCs w:val="24"/>
        </w:rPr>
      </w:pPr>
      <w:r>
        <w:rPr>
          <w:rFonts w:asciiTheme="minorEastAsia" w:eastAsiaTheme="minorEastAsia" w:hAnsiTheme="minorEastAsia"/>
          <w:b/>
          <w:sz w:val="24"/>
          <w:szCs w:val="24"/>
        </w:rPr>
        <w:br/>
      </w:r>
      <w:r>
        <w:rPr>
          <w:rFonts w:asciiTheme="minorEastAsia" w:eastAsiaTheme="minorEastAsia" w:hAnsiTheme="minorEastAsia"/>
          <w:b/>
          <w:sz w:val="24"/>
          <w:szCs w:val="24"/>
        </w:rP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https://d.book118.com/845344202324011044</w:t>
        </w:r>
      </w:hyperlink>
    </w:p>
    <w:p>
      <w:pPr>
        <w:ind w:firstLine="480" w:firstLineChars="200"/>
        <w:jc w:val="both"/>
        <w:outlineLvl w:val="0"/>
        <w:rPr>
          <w:rFonts w:asciiTheme="minorEastAsia" w:eastAsiaTheme="minorEastAsia" w:hAnsiTheme="minorEastAsia"/>
          <w:b/>
          <w:sz w:val="24"/>
          <w:szCs w:val="24"/>
        </w:rPr>
      </w:pPr>
    </w:p>
    <w:sectPr>
      <w:headerReference w:type="default" r:id="rId8"/>
      <w:footerReference w:type="default" r:id="rId9"/>
      <w:pgSz w:w="11906" w:h="16838"/>
      <w:pgMar w:top="1440" w:right="1797" w:bottom="1440" w:left="1797" w:header="709" w:footer="709" w:gutter="0"/>
      <w:pgNumType w:fmt="upperRoman" w:start="1"/>
      <w:cols w:num="1" w:space="708"/>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ZSSK--GBK1-00+ZLOHct-10">
    <w:altName w:val="宋体"/>
    <w:panose1 w:val="00000000000000000000"/>
    <w:charset w:val="86"/>
    <w:family w:val="auto"/>
    <w:pitch w:val="default"/>
    <w:sig w:usb0="00000000" w:usb1="00000000" w:usb2="00000010" w:usb3="00000000" w:csb0="00040000" w:csb1="00000000"/>
  </w:font>
  <w:font w:name="KTJ0+ZLOHcs-5">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02EF897"/>
    <w:multiLevelType w:val="singleLevel"/>
    <w:tmpl w:val="902EF897"/>
    <w:lvl w:ilvl="0">
      <w:start w:val="1"/>
      <w:numFmt w:val="chineseCounting"/>
      <w:suff w:val="nothing"/>
      <w:lvlText w:val="（%1）"/>
      <w:lvlJc w:val="left"/>
      <w:pPr>
        <w:ind w:left="0" w:firstLine="420"/>
      </w:pPr>
      <w:rPr>
        <w:rFonts w:hint="eastAsia"/>
      </w:rPr>
    </w:lvl>
  </w:abstractNum>
  <w:abstractNum w:abstractNumId="1">
    <w:nsid w:val="BF9C1495"/>
    <w:multiLevelType w:val="singleLevel"/>
    <w:tmpl w:val="BF9C1495"/>
    <w:lvl w:ilvl="0">
      <w:start w:val="1"/>
      <w:numFmt w:val="chineseCounting"/>
      <w:suff w:val="nothing"/>
      <w:lvlText w:val="（%1）"/>
      <w:lvlJc w:val="left"/>
      <w:pPr>
        <w:ind w:left="0" w:firstLine="420"/>
      </w:pPr>
      <w:rPr>
        <w:rFonts w:hint="eastAsia"/>
      </w:rPr>
    </w:lvl>
  </w:abstractNum>
  <w:abstractNum w:abstractNumId="2">
    <w:nsid w:val="F0301AAA"/>
    <w:multiLevelType w:val="singleLevel"/>
    <w:tmpl w:val="F0301AAA"/>
    <w:lvl w:ilvl="0">
      <w:start w:val="1"/>
      <w:numFmt w:val="chineseCounting"/>
      <w:suff w:val="nothing"/>
      <w:lvlText w:val="（%1）"/>
      <w:lvlJc w:val="left"/>
      <w:pPr>
        <w:ind w:left="0" w:firstLine="420"/>
      </w:pPr>
      <w:rPr>
        <w:rFonts w:hint="eastAsia"/>
      </w:rPr>
    </w:lvl>
  </w:abstractNum>
  <w:abstractNum w:abstractNumId="3">
    <w:nsid w:val="3FFCD7A8"/>
    <w:multiLevelType w:val="singleLevel"/>
    <w:tmpl w:val="3FFCD7A8"/>
    <w:lvl w:ilvl="0">
      <w:start w:val="1"/>
      <w:numFmt w:val="chineseCounting"/>
      <w:suff w:val="nothing"/>
      <w:lvlText w:val="（%1）"/>
      <w:lvlJc w:val="left"/>
      <w:pPr>
        <w:ind w:left="0" w:firstLine="420"/>
      </w:pPr>
      <w:rPr>
        <w:rFonts w:hint="eastAsia"/>
      </w:rPr>
    </w:lvl>
  </w:abstractNum>
  <w:abstractNum w:abstractNumId="4">
    <w:nsid w:val="550CB0F9"/>
    <w:multiLevelType w:val="singleLevel"/>
    <w:tmpl w:val="550CB0F9"/>
    <w:lvl w:ilvl="0">
      <w:start w:val="1"/>
      <w:numFmt w:val="chineseCounting"/>
      <w:suff w:val="nothing"/>
      <w:lvlText w:val="（%1）"/>
      <w:lvlJc w:val="left"/>
      <w:pPr>
        <w:ind w:left="0" w:firstLine="420"/>
      </w:pPr>
      <w:rPr>
        <w:rFonts w:hint="eastAsia"/>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noPunctuationKerning/>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23AB"/>
    <w:rsid w:val="0001012D"/>
    <w:rsid w:val="0006129D"/>
    <w:rsid w:val="00062156"/>
    <w:rsid w:val="00066449"/>
    <w:rsid w:val="00070319"/>
    <w:rsid w:val="00076BE2"/>
    <w:rsid w:val="000B04C3"/>
    <w:rsid w:val="000B24E7"/>
    <w:rsid w:val="000C3EB0"/>
    <w:rsid w:val="000D0FE5"/>
    <w:rsid w:val="000D368F"/>
    <w:rsid w:val="000F02BA"/>
    <w:rsid w:val="000F1670"/>
    <w:rsid w:val="000F30AA"/>
    <w:rsid w:val="000F44F0"/>
    <w:rsid w:val="00123AD4"/>
    <w:rsid w:val="00155AF3"/>
    <w:rsid w:val="00170937"/>
    <w:rsid w:val="001809B4"/>
    <w:rsid w:val="001C5DA5"/>
    <w:rsid w:val="001F3753"/>
    <w:rsid w:val="0020465E"/>
    <w:rsid w:val="00206292"/>
    <w:rsid w:val="00225007"/>
    <w:rsid w:val="002267ED"/>
    <w:rsid w:val="00232DC8"/>
    <w:rsid w:val="00245847"/>
    <w:rsid w:val="00246EA4"/>
    <w:rsid w:val="002627ED"/>
    <w:rsid w:val="00266C63"/>
    <w:rsid w:val="00281FFB"/>
    <w:rsid w:val="00282665"/>
    <w:rsid w:val="00284B08"/>
    <w:rsid w:val="00285BFA"/>
    <w:rsid w:val="002B11F2"/>
    <w:rsid w:val="002B2131"/>
    <w:rsid w:val="002B2833"/>
    <w:rsid w:val="002B54AF"/>
    <w:rsid w:val="002B5783"/>
    <w:rsid w:val="002B7436"/>
    <w:rsid w:val="002B786A"/>
    <w:rsid w:val="002C19BA"/>
    <w:rsid w:val="002E5C8C"/>
    <w:rsid w:val="003118F9"/>
    <w:rsid w:val="00323B43"/>
    <w:rsid w:val="00334081"/>
    <w:rsid w:val="003374A7"/>
    <w:rsid w:val="00362FE2"/>
    <w:rsid w:val="003674E7"/>
    <w:rsid w:val="00367DF8"/>
    <w:rsid w:val="00374BE6"/>
    <w:rsid w:val="00382D68"/>
    <w:rsid w:val="00385A52"/>
    <w:rsid w:val="003D37D8"/>
    <w:rsid w:val="003E0638"/>
    <w:rsid w:val="003F3B82"/>
    <w:rsid w:val="003F7EC8"/>
    <w:rsid w:val="004013EB"/>
    <w:rsid w:val="00414440"/>
    <w:rsid w:val="0042205F"/>
    <w:rsid w:val="00426133"/>
    <w:rsid w:val="00427239"/>
    <w:rsid w:val="004358AB"/>
    <w:rsid w:val="00435AB1"/>
    <w:rsid w:val="004447BD"/>
    <w:rsid w:val="004558FB"/>
    <w:rsid w:val="0046410C"/>
    <w:rsid w:val="00495D9E"/>
    <w:rsid w:val="004C502B"/>
    <w:rsid w:val="004C50C8"/>
    <w:rsid w:val="004D5DAF"/>
    <w:rsid w:val="004E5F3B"/>
    <w:rsid w:val="004E71B5"/>
    <w:rsid w:val="00500B45"/>
    <w:rsid w:val="00547002"/>
    <w:rsid w:val="00552687"/>
    <w:rsid w:val="0055295D"/>
    <w:rsid w:val="00554965"/>
    <w:rsid w:val="00557BCF"/>
    <w:rsid w:val="00564444"/>
    <w:rsid w:val="005917E4"/>
    <w:rsid w:val="0059192F"/>
    <w:rsid w:val="005952CF"/>
    <w:rsid w:val="005A1697"/>
    <w:rsid w:val="005A70EB"/>
    <w:rsid w:val="005B5404"/>
    <w:rsid w:val="005D77DA"/>
    <w:rsid w:val="00601148"/>
    <w:rsid w:val="006107C4"/>
    <w:rsid w:val="00610A37"/>
    <w:rsid w:val="00610CEA"/>
    <w:rsid w:val="006157E9"/>
    <w:rsid w:val="006160D5"/>
    <w:rsid w:val="00631C4B"/>
    <w:rsid w:val="00644BCA"/>
    <w:rsid w:val="006528F9"/>
    <w:rsid w:val="006617DF"/>
    <w:rsid w:val="0066600C"/>
    <w:rsid w:val="0067003C"/>
    <w:rsid w:val="00672664"/>
    <w:rsid w:val="00684BCF"/>
    <w:rsid w:val="00693EE2"/>
    <w:rsid w:val="00696E04"/>
    <w:rsid w:val="006C6200"/>
    <w:rsid w:val="006D0CF8"/>
    <w:rsid w:val="006D6519"/>
    <w:rsid w:val="006D7426"/>
    <w:rsid w:val="006F46E7"/>
    <w:rsid w:val="00712D37"/>
    <w:rsid w:val="0071615A"/>
    <w:rsid w:val="0071687F"/>
    <w:rsid w:val="00731F18"/>
    <w:rsid w:val="00740FFE"/>
    <w:rsid w:val="00744D7D"/>
    <w:rsid w:val="007477EF"/>
    <w:rsid w:val="0075186E"/>
    <w:rsid w:val="0076246C"/>
    <w:rsid w:val="00790DF8"/>
    <w:rsid w:val="007A103E"/>
    <w:rsid w:val="007B2FA7"/>
    <w:rsid w:val="007B594A"/>
    <w:rsid w:val="007C0A33"/>
    <w:rsid w:val="007E79B2"/>
    <w:rsid w:val="0080106C"/>
    <w:rsid w:val="0080617D"/>
    <w:rsid w:val="00815B85"/>
    <w:rsid w:val="00880677"/>
    <w:rsid w:val="008B18FB"/>
    <w:rsid w:val="008B7726"/>
    <w:rsid w:val="008C0EC4"/>
    <w:rsid w:val="008C121F"/>
    <w:rsid w:val="008C4892"/>
    <w:rsid w:val="008C7059"/>
    <w:rsid w:val="008D4052"/>
    <w:rsid w:val="008F5C85"/>
    <w:rsid w:val="008F7BB0"/>
    <w:rsid w:val="009240AE"/>
    <w:rsid w:val="00931087"/>
    <w:rsid w:val="00941013"/>
    <w:rsid w:val="0095601F"/>
    <w:rsid w:val="0095674F"/>
    <w:rsid w:val="009665D8"/>
    <w:rsid w:val="00980F7A"/>
    <w:rsid w:val="009813F0"/>
    <w:rsid w:val="009868E1"/>
    <w:rsid w:val="0098748D"/>
    <w:rsid w:val="00995A53"/>
    <w:rsid w:val="009A4889"/>
    <w:rsid w:val="009B5512"/>
    <w:rsid w:val="009B5884"/>
    <w:rsid w:val="009D26F1"/>
    <w:rsid w:val="009E2482"/>
    <w:rsid w:val="009F04F1"/>
    <w:rsid w:val="009F091D"/>
    <w:rsid w:val="009F511C"/>
    <w:rsid w:val="00A06471"/>
    <w:rsid w:val="00A1077A"/>
    <w:rsid w:val="00A170B6"/>
    <w:rsid w:val="00A34336"/>
    <w:rsid w:val="00A3490B"/>
    <w:rsid w:val="00A36D44"/>
    <w:rsid w:val="00A40994"/>
    <w:rsid w:val="00A577E1"/>
    <w:rsid w:val="00A57918"/>
    <w:rsid w:val="00A73937"/>
    <w:rsid w:val="00A742C3"/>
    <w:rsid w:val="00A77183"/>
    <w:rsid w:val="00AB1C21"/>
    <w:rsid w:val="00AB2B48"/>
    <w:rsid w:val="00AE6CDD"/>
    <w:rsid w:val="00AF7E2F"/>
    <w:rsid w:val="00B002BB"/>
    <w:rsid w:val="00B15173"/>
    <w:rsid w:val="00B22EE3"/>
    <w:rsid w:val="00B243BE"/>
    <w:rsid w:val="00B2583A"/>
    <w:rsid w:val="00B41634"/>
    <w:rsid w:val="00B47239"/>
    <w:rsid w:val="00B70DD5"/>
    <w:rsid w:val="00B91A94"/>
    <w:rsid w:val="00BD45A7"/>
    <w:rsid w:val="00BF6764"/>
    <w:rsid w:val="00C00620"/>
    <w:rsid w:val="00C07E4A"/>
    <w:rsid w:val="00C20C3D"/>
    <w:rsid w:val="00C4122A"/>
    <w:rsid w:val="00C47D30"/>
    <w:rsid w:val="00C518F2"/>
    <w:rsid w:val="00C51AA4"/>
    <w:rsid w:val="00C56EAC"/>
    <w:rsid w:val="00C57CBF"/>
    <w:rsid w:val="00C611A5"/>
    <w:rsid w:val="00C65112"/>
    <w:rsid w:val="00C94A21"/>
    <w:rsid w:val="00CB0D6E"/>
    <w:rsid w:val="00CB1C39"/>
    <w:rsid w:val="00CD7D72"/>
    <w:rsid w:val="00CE35C5"/>
    <w:rsid w:val="00D03C6D"/>
    <w:rsid w:val="00D12AA0"/>
    <w:rsid w:val="00D204DD"/>
    <w:rsid w:val="00D31D50"/>
    <w:rsid w:val="00D46602"/>
    <w:rsid w:val="00D50342"/>
    <w:rsid w:val="00D67AA7"/>
    <w:rsid w:val="00D73ADA"/>
    <w:rsid w:val="00D96AFC"/>
    <w:rsid w:val="00DA1FC9"/>
    <w:rsid w:val="00DB22AF"/>
    <w:rsid w:val="00DC64E6"/>
    <w:rsid w:val="00DC7D88"/>
    <w:rsid w:val="00DE313D"/>
    <w:rsid w:val="00DF1622"/>
    <w:rsid w:val="00DF3F74"/>
    <w:rsid w:val="00E30582"/>
    <w:rsid w:val="00E62661"/>
    <w:rsid w:val="00E723D5"/>
    <w:rsid w:val="00E76DAA"/>
    <w:rsid w:val="00E91CED"/>
    <w:rsid w:val="00EA60A3"/>
    <w:rsid w:val="00EB27B9"/>
    <w:rsid w:val="00EC1FEC"/>
    <w:rsid w:val="00EC4249"/>
    <w:rsid w:val="00EC5D6F"/>
    <w:rsid w:val="00ED7F0F"/>
    <w:rsid w:val="00EE1EDF"/>
    <w:rsid w:val="00EE6864"/>
    <w:rsid w:val="00EF09E7"/>
    <w:rsid w:val="00F13787"/>
    <w:rsid w:val="00F16D8F"/>
    <w:rsid w:val="00F20FD1"/>
    <w:rsid w:val="00F27D74"/>
    <w:rsid w:val="00F52A54"/>
    <w:rsid w:val="00F53B3C"/>
    <w:rsid w:val="00F86514"/>
    <w:rsid w:val="00FC1D35"/>
    <w:rsid w:val="00FC3709"/>
    <w:rsid w:val="00FC3BE4"/>
    <w:rsid w:val="00FC7FF6"/>
    <w:rsid w:val="00FD11FD"/>
    <w:rsid w:val="00FF375D"/>
    <w:rsid w:val="00FF6D58"/>
    <w:rsid w:val="00FF6FD4"/>
    <w:rsid w:val="03452F53"/>
    <w:rsid w:val="09124ED2"/>
    <w:rsid w:val="0C726C12"/>
    <w:rsid w:val="0F326A60"/>
    <w:rsid w:val="0F702427"/>
    <w:rsid w:val="10E9649D"/>
    <w:rsid w:val="167A4F56"/>
    <w:rsid w:val="16B27021"/>
    <w:rsid w:val="17AF202E"/>
    <w:rsid w:val="1D1C73BD"/>
    <w:rsid w:val="1F2F2AEB"/>
    <w:rsid w:val="21DE4F13"/>
    <w:rsid w:val="23A037BB"/>
    <w:rsid w:val="23C733A8"/>
    <w:rsid w:val="276D4EEC"/>
    <w:rsid w:val="2A316823"/>
    <w:rsid w:val="2C454EDE"/>
    <w:rsid w:val="2C501EE8"/>
    <w:rsid w:val="2D01789B"/>
    <w:rsid w:val="306B1540"/>
    <w:rsid w:val="32AE29CE"/>
    <w:rsid w:val="33A97723"/>
    <w:rsid w:val="3D322122"/>
    <w:rsid w:val="3E786424"/>
    <w:rsid w:val="3FC575B9"/>
    <w:rsid w:val="41FD27D4"/>
    <w:rsid w:val="442F6913"/>
    <w:rsid w:val="46BA6190"/>
    <w:rsid w:val="46C4511D"/>
    <w:rsid w:val="47430A21"/>
    <w:rsid w:val="47927E7C"/>
    <w:rsid w:val="48373F5D"/>
    <w:rsid w:val="4862576B"/>
    <w:rsid w:val="4AF00B81"/>
    <w:rsid w:val="4F4E04D0"/>
    <w:rsid w:val="5364075D"/>
    <w:rsid w:val="54DA1CD1"/>
    <w:rsid w:val="55215EE3"/>
    <w:rsid w:val="56B82F7A"/>
    <w:rsid w:val="5AA3648B"/>
    <w:rsid w:val="5B9A0B3E"/>
    <w:rsid w:val="613C55B8"/>
    <w:rsid w:val="624A0D04"/>
    <w:rsid w:val="63921044"/>
    <w:rsid w:val="643D5D9D"/>
    <w:rsid w:val="64B43B11"/>
    <w:rsid w:val="6A2506A7"/>
    <w:rsid w:val="6AD51EF4"/>
    <w:rsid w:val="6FBF3D34"/>
    <w:rsid w:val="6FE76DB9"/>
    <w:rsid w:val="708416B5"/>
    <w:rsid w:val="70E60DCB"/>
    <w:rsid w:val="76C021C8"/>
    <w:rsid w:val="76EF4DED"/>
    <w:rsid w:val="7A3A30BA"/>
  </w:rsids>
  <w:docVars>
    <w:docVar w:name="commondata" w:val="eyJoZGlkIjoiZGY5OGNiNGUyMjQ5MmI4ZDQ3ZjRhNGEzOTgxOWU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qFormat="1"/>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400" w:lineRule="exact"/>
    </w:pPr>
    <w:rPr>
      <w:rFonts w:ascii="Tahoma" w:eastAsia="微软雅黑" w:hAnsi="Tahoma" w:cstheme="minorBidi"/>
      <w:sz w:val="22"/>
      <w:szCs w:val="22"/>
      <w:lang w:val="en-US" w:eastAsia="zh-CN" w:bidi="ar-SA"/>
    </w:rPr>
  </w:style>
  <w:style w:type="paragraph" w:styleId="Heading2">
    <w:name w:val="heading 2"/>
    <w:basedOn w:val="Normal"/>
    <w:next w:val="Normal"/>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autoRedefine/>
    <w:uiPriority w:val="9"/>
    <w:qFormat/>
    <w:pPr>
      <w:spacing w:before="100" w:beforeAutospacing="1" w:after="100" w:afterAutospacing="1"/>
      <w:outlineLvl w:val="2"/>
    </w:pPr>
    <w:rPr>
      <w:rFonts w:ascii="宋体" w:eastAsia="宋体" w:hAnsi="宋体" w:cs="宋体"/>
      <w:b/>
      <w:bCs/>
      <w:sz w:val="27"/>
      <w:szCs w:val="27"/>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2"/>
    <w:autoRedefine/>
    <w:unhideWhenUsed/>
    <w:qFormat/>
  </w:style>
  <w:style w:type="paragraph" w:styleId="TOC3">
    <w:name w:val="toc 3"/>
    <w:basedOn w:val="Normal"/>
    <w:next w:val="Normal"/>
    <w:autoRedefine/>
    <w:uiPriority w:val="39"/>
    <w:semiHidden/>
    <w:unhideWhenUsed/>
    <w:qFormat/>
    <w:pPr>
      <w:ind w:left="840" w:leftChars="400"/>
    </w:p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autoRedefine/>
    <w:uiPriority w:val="39"/>
    <w:semiHidden/>
    <w:unhideWhenUsed/>
    <w:qFormat/>
  </w:style>
  <w:style w:type="paragraph" w:styleId="TOC2">
    <w:name w:val="toc 2"/>
    <w:basedOn w:val="Normal"/>
    <w:next w:val="Normal"/>
    <w:autoRedefine/>
    <w:uiPriority w:val="39"/>
    <w:semiHidden/>
    <w:unhideWhenUsed/>
    <w:qFormat/>
    <w:pPr>
      <w:ind w:left="420" w:leftChars="200"/>
    </w:pPr>
  </w:style>
  <w:style w:type="paragraph" w:styleId="HTMLPreformatted">
    <w:name w:val="HTML Preformatted"/>
    <w:basedOn w:val="Normal"/>
    <w:autoRedefine/>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sz w:val="24"/>
      <w:szCs w:val="24"/>
    </w:rPr>
  </w:style>
  <w:style w:type="paragraph" w:styleId="NormalWeb">
    <w:name w:val="Normal (Web)"/>
    <w:basedOn w:val="Normal"/>
    <w:uiPriority w:val="99"/>
    <w:unhideWhenUsed/>
    <w:qFormat/>
    <w:pPr>
      <w:spacing w:before="100" w:beforeAutospacing="1" w:after="100" w:afterAutospacing="1"/>
    </w:pPr>
    <w:rPr>
      <w:rFonts w:ascii="宋体" w:eastAsia="宋体" w:hAnsi="宋体" w:cs="宋体"/>
      <w:sz w:val="24"/>
      <w:szCs w:val="24"/>
    </w:rPr>
  </w:style>
  <w:style w:type="paragraph" w:styleId="CommentSubject">
    <w:name w:val="annotation subject"/>
    <w:basedOn w:val="CommentText"/>
    <w:next w:val="CommentText"/>
    <w:link w:val="Char3"/>
    <w:autoRedefine/>
    <w:uiPriority w:val="99"/>
    <w:semiHidden/>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Hyperlink">
    <w:name w:val="Hyperlink"/>
    <w:basedOn w:val="DefaultParagraphFont"/>
    <w:autoRedefine/>
    <w:uiPriority w:val="99"/>
    <w:semiHidden/>
    <w:unhideWhenUsed/>
    <w:qFormat/>
    <w:rPr>
      <w:color w:val="0000FF"/>
      <w:u w:val="single"/>
    </w:rPr>
  </w:style>
  <w:style w:type="character" w:styleId="CommentReference">
    <w:name w:val="annotation reference"/>
    <w:basedOn w:val="DefaultParagraphFont"/>
    <w:autoRedefine/>
    <w:uiPriority w:val="99"/>
    <w:semiHidden/>
    <w:unhideWhenUsed/>
    <w:qFormat/>
    <w:rPr>
      <w:sz w:val="21"/>
      <w:szCs w:val="21"/>
    </w:rPr>
  </w:style>
  <w:style w:type="character" w:customStyle="1" w:styleId="Char">
    <w:name w:val="页眉 Char"/>
    <w:basedOn w:val="DefaultParagraphFont"/>
    <w:link w:val="Header"/>
    <w:autoRedefine/>
    <w:uiPriority w:val="99"/>
    <w:qFormat/>
    <w:rPr>
      <w:rFonts w:ascii="Tahoma" w:hAnsi="Tahoma"/>
      <w:sz w:val="18"/>
      <w:szCs w:val="18"/>
    </w:rPr>
  </w:style>
  <w:style w:type="character" w:customStyle="1" w:styleId="Char0">
    <w:name w:val="页脚 Char"/>
    <w:basedOn w:val="DefaultParagraphFont"/>
    <w:link w:val="Footer"/>
    <w:autoRedefine/>
    <w:uiPriority w:val="99"/>
    <w:qFormat/>
    <w:rPr>
      <w:rFonts w:ascii="Tahoma" w:hAnsi="Tahoma"/>
      <w:sz w:val="18"/>
      <w:szCs w:val="18"/>
    </w:rPr>
  </w:style>
  <w:style w:type="paragraph" w:customStyle="1" w:styleId="Default">
    <w:name w:val="Default"/>
    <w:qFormat/>
    <w:pPr>
      <w:widowControl w:val="0"/>
      <w:autoSpaceDE w:val="0"/>
      <w:autoSpaceDN w:val="0"/>
      <w:adjustRightInd w:val="0"/>
    </w:pPr>
    <w:rPr>
      <w:rFonts w:ascii="宋体" w:eastAsia="宋体" w:hAnsiTheme="minorHAnsi" w:cs="宋体"/>
      <w:color w:val="000000"/>
      <w:sz w:val="24"/>
      <w:szCs w:val="24"/>
      <w:lang w:val="en-US" w:eastAsia="zh-CN" w:bidi="ar-SA"/>
    </w:rPr>
  </w:style>
  <w:style w:type="character" w:customStyle="1" w:styleId="Char1">
    <w:name w:val="批注框文本 Char"/>
    <w:basedOn w:val="DefaultParagraphFont"/>
    <w:link w:val="BalloonText"/>
    <w:autoRedefine/>
    <w:uiPriority w:val="99"/>
    <w:semiHidden/>
    <w:qFormat/>
    <w:rPr>
      <w:rFonts w:ascii="Tahoma" w:hAnsi="Tahoma"/>
      <w:sz w:val="18"/>
      <w:szCs w:val="18"/>
    </w:rPr>
  </w:style>
  <w:style w:type="character" w:styleId="PlaceholderText">
    <w:name w:val="Placeholder Text"/>
    <w:basedOn w:val="DefaultParagraphFont"/>
    <w:autoRedefine/>
    <w:uiPriority w:val="99"/>
    <w:semiHidden/>
    <w:qFormat/>
    <w:rPr>
      <w:color w:val="808080"/>
    </w:rPr>
  </w:style>
  <w:style w:type="paragraph" w:styleId="ListParagraph">
    <w:name w:val="List Paragraph"/>
    <w:basedOn w:val="Normal"/>
    <w:autoRedefine/>
    <w:uiPriority w:val="34"/>
    <w:qFormat/>
    <w:pPr>
      <w:ind w:firstLine="420" w:firstLineChars="200"/>
    </w:pPr>
  </w:style>
  <w:style w:type="character" w:customStyle="1" w:styleId="3Char">
    <w:name w:val="标题 3 Char"/>
    <w:basedOn w:val="DefaultParagraphFont"/>
    <w:link w:val="Heading3"/>
    <w:uiPriority w:val="9"/>
    <w:qFormat/>
    <w:rPr>
      <w:rFonts w:ascii="宋体" w:eastAsia="宋体" w:hAnsi="宋体" w:cs="宋体"/>
      <w:b/>
      <w:bCs/>
      <w:sz w:val="27"/>
      <w:szCs w:val="27"/>
    </w:rPr>
  </w:style>
  <w:style w:type="character" w:customStyle="1" w:styleId="2Char">
    <w:name w:val="标题 2 Char"/>
    <w:basedOn w:val="DefaultParagraphFont"/>
    <w:link w:val="Heading2"/>
    <w:autoRedefine/>
    <w:uiPriority w:val="9"/>
    <w:semiHidden/>
    <w:qFormat/>
    <w:rPr>
      <w:rFonts w:asciiTheme="majorHAnsi" w:eastAsiaTheme="majorEastAsia" w:hAnsiTheme="majorHAnsi" w:cstheme="majorBidi"/>
      <w:b/>
      <w:bCs/>
      <w:sz w:val="32"/>
      <w:szCs w:val="32"/>
    </w:rPr>
  </w:style>
  <w:style w:type="character" w:customStyle="1" w:styleId="Char2">
    <w:name w:val="批注文字 Char"/>
    <w:basedOn w:val="DefaultParagraphFont"/>
    <w:link w:val="CommentText"/>
    <w:qFormat/>
    <w:rPr>
      <w:rFonts w:ascii="Tahoma" w:hAnsi="Tahoma"/>
    </w:rPr>
  </w:style>
  <w:style w:type="character" w:customStyle="1" w:styleId="Char3">
    <w:name w:val="批注主题 Char"/>
    <w:basedOn w:val="Char2"/>
    <w:link w:val="CommentSubject"/>
    <w:autoRedefine/>
    <w:uiPriority w:val="99"/>
    <w:semiHidden/>
    <w:qFormat/>
    <w:rPr>
      <w:rFonts w:ascii="Tahoma" w:hAnsi="Tahom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yperlink" Target="https://d.book118.com/845344202324011044" TargetMode="Externa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7783B9-5702-4141-B655-BEDAF3BFC0B6}">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2807</Words>
  <Characters>16006</Characters>
  <Application>Microsoft Office Word</Application>
  <DocSecurity>0</DocSecurity>
  <Lines>133</Lines>
  <Paragraphs>37</Paragraphs>
  <ScaleCrop>false</ScaleCrop>
  <Company/>
  <LinksUpToDate>false</LinksUpToDate>
  <CharactersWithSpaces>18776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3</cp:revision>
  <cp:lastPrinted>2021-05-28T12:31:00Z</cp:lastPrinted>
  <dcterms:created xsi:type="dcterms:W3CDTF">2020-02-06T10:12:00Z</dcterms:created>
  <dcterms:modified xsi:type="dcterms:W3CDTF">2024-01-11T13:29:54Z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D055C335808F4AED9F46052C837B332F_12</vt:lpwstr>
  </property>
  <property fmtid="{D5CDD505-2E9C-101B-9397-08002B2CF9AE}" pid="3" name="KSOProductBuildVer">
    <vt:lpwstr>2052-12.1.0.16120</vt:lpwstr>
  </property>
</Properties>
</file>