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 w:history="1">
        <w:r>
          <w:rPr>
            <w:rFonts w:ascii="仿宋" w:eastAsia="仿宋" w:hAnsi="仿宋" w:cs="仿宋" w:hint="eastAsia"/>
            <w:lang w:eastAsia="zh-CN"/>
          </w:rPr>
          <w:t>序言</w:t>
        </w:r>
        <w:r>
          <w:tab/>
        </w:r>
        <w:r>
          <w:fldChar w:fldCharType="begin"/>
        </w:r>
        <w:r>
          <w:instrText xml:space="preserve"> PAGEREF _Toc2233 \h </w:instrText>
        </w:r>
        <w:r>
          <w:fldChar w:fldCharType="separate"/>
        </w:r>
        <w:r>
          <w:t>3</w:t>
        </w:r>
        <w:r>
          <w:fldChar w:fldCharType="end"/>
        </w:r>
      </w:hyperlink>
    </w:p>
    <w:p>
      <w:pPr>
        <w:pStyle w:val="TOC1"/>
        <w:tabs>
          <w:tab w:val="right" w:leader="dot" w:pos="8306"/>
        </w:tabs>
      </w:pPr>
      <w:hyperlink w:anchor="_Toc25018" w:history="1">
        <w:r>
          <w:rPr>
            <w:rFonts w:ascii="仿宋" w:eastAsia="仿宋" w:hAnsi="仿宋" w:cs="仿宋" w:hint="eastAsia"/>
            <w:lang w:eastAsia="zh-CN"/>
          </w:rPr>
          <w:t>一、产品规划分析</w:t>
        </w:r>
        <w:r>
          <w:tab/>
        </w:r>
        <w:r>
          <w:fldChar w:fldCharType="begin"/>
        </w:r>
        <w:r>
          <w:instrText xml:space="preserve"> PAGEREF _Toc25018 \h </w:instrText>
        </w:r>
        <w:r>
          <w:fldChar w:fldCharType="separate"/>
        </w:r>
        <w:r>
          <w:t>3</w:t>
        </w:r>
        <w:r>
          <w:fldChar w:fldCharType="end"/>
        </w:r>
      </w:hyperlink>
    </w:p>
    <w:p>
      <w:pPr>
        <w:pStyle w:val="TOC2"/>
        <w:tabs>
          <w:tab w:val="right" w:leader="dot" w:pos="8306"/>
        </w:tabs>
      </w:pPr>
      <w:hyperlink w:anchor="_Toc4267" w:history="1">
        <w:r>
          <w:rPr>
            <w:rFonts w:ascii="仿宋" w:eastAsia="仿宋" w:hAnsi="仿宋" w:cs="仿宋" w:hint="eastAsia"/>
            <w:lang w:eastAsia="zh-CN"/>
          </w:rPr>
          <w:t>(一)、产品规划</w:t>
        </w:r>
        <w:r>
          <w:tab/>
        </w:r>
        <w:r>
          <w:fldChar w:fldCharType="begin"/>
        </w:r>
        <w:r>
          <w:instrText xml:space="preserve"> PAGEREF _Toc4267 \h </w:instrText>
        </w:r>
        <w:r>
          <w:fldChar w:fldCharType="separate"/>
        </w:r>
        <w:r>
          <w:t>3</w:t>
        </w:r>
        <w:r>
          <w:fldChar w:fldCharType="end"/>
        </w:r>
      </w:hyperlink>
    </w:p>
    <w:p>
      <w:pPr>
        <w:pStyle w:val="TOC2"/>
        <w:tabs>
          <w:tab w:val="right" w:leader="dot" w:pos="8306"/>
        </w:tabs>
      </w:pPr>
      <w:hyperlink w:anchor="_Toc5680" w:history="1">
        <w:r>
          <w:rPr>
            <w:rFonts w:ascii="仿宋" w:eastAsia="仿宋" w:hAnsi="仿宋" w:cs="仿宋" w:hint="eastAsia"/>
            <w:lang w:eastAsia="zh-CN"/>
          </w:rPr>
          <w:t>(二)、建设规模</w:t>
        </w:r>
        <w:r>
          <w:tab/>
        </w:r>
        <w:r>
          <w:fldChar w:fldCharType="begin"/>
        </w:r>
        <w:r>
          <w:instrText xml:space="preserve"> PAGEREF _Toc5680 \h </w:instrText>
        </w:r>
        <w:r>
          <w:fldChar w:fldCharType="separate"/>
        </w:r>
        <w:r>
          <w:t>4</w:t>
        </w:r>
        <w:r>
          <w:fldChar w:fldCharType="end"/>
        </w:r>
      </w:hyperlink>
    </w:p>
    <w:p>
      <w:pPr>
        <w:pStyle w:val="TOC1"/>
        <w:tabs>
          <w:tab w:val="right" w:leader="dot" w:pos="8306"/>
        </w:tabs>
      </w:pPr>
      <w:hyperlink w:anchor="_Toc19972" w:history="1">
        <w:r>
          <w:rPr>
            <w:rFonts w:ascii="仿宋" w:eastAsia="仿宋" w:hAnsi="仿宋" w:cs="仿宋" w:hint="eastAsia"/>
            <w:lang w:eastAsia="zh-CN"/>
          </w:rPr>
          <w:t>二、氮肥项目绩效评估</w:t>
        </w:r>
        <w:r>
          <w:tab/>
        </w:r>
        <w:r>
          <w:fldChar w:fldCharType="begin"/>
        </w:r>
        <w:r>
          <w:instrText xml:space="preserve"> PAGEREF _Toc19972 \h </w:instrText>
        </w:r>
        <w:r>
          <w:fldChar w:fldCharType="separate"/>
        </w:r>
        <w:r>
          <w:t>5</w:t>
        </w:r>
        <w:r>
          <w:fldChar w:fldCharType="end"/>
        </w:r>
      </w:hyperlink>
    </w:p>
    <w:p>
      <w:pPr>
        <w:pStyle w:val="TOC2"/>
        <w:tabs>
          <w:tab w:val="right" w:leader="dot" w:pos="8306"/>
        </w:tabs>
      </w:pPr>
      <w:hyperlink w:anchor="_Toc3851" w:history="1">
        <w:r>
          <w:rPr>
            <w:rFonts w:ascii="仿宋" w:eastAsia="仿宋" w:hAnsi="仿宋" w:cs="仿宋" w:hint="eastAsia"/>
            <w:lang w:eastAsia="zh-CN"/>
          </w:rPr>
          <w:t>(一)、绩效评估指标</w:t>
        </w:r>
        <w:r>
          <w:tab/>
        </w:r>
        <w:r>
          <w:fldChar w:fldCharType="begin"/>
        </w:r>
        <w:r>
          <w:instrText xml:space="preserve"> PAGEREF _Toc3851 \h </w:instrText>
        </w:r>
        <w:r>
          <w:fldChar w:fldCharType="separate"/>
        </w:r>
        <w:r>
          <w:t>5</w:t>
        </w:r>
        <w:r>
          <w:fldChar w:fldCharType="end"/>
        </w:r>
      </w:hyperlink>
    </w:p>
    <w:p>
      <w:pPr>
        <w:pStyle w:val="TOC2"/>
        <w:tabs>
          <w:tab w:val="right" w:leader="dot" w:pos="8306"/>
        </w:tabs>
      </w:pPr>
      <w:hyperlink w:anchor="_Toc3426" w:history="1">
        <w:r>
          <w:rPr>
            <w:rFonts w:ascii="仿宋" w:eastAsia="仿宋" w:hAnsi="仿宋" w:cs="仿宋" w:hint="eastAsia"/>
            <w:lang w:eastAsia="zh-CN"/>
          </w:rPr>
          <w:t>(二)、绩效评估方法</w:t>
        </w:r>
        <w:r>
          <w:tab/>
        </w:r>
        <w:r>
          <w:fldChar w:fldCharType="begin"/>
        </w:r>
        <w:r>
          <w:instrText xml:space="preserve"> PAGEREF _Toc3426 \h </w:instrText>
        </w:r>
        <w:r>
          <w:fldChar w:fldCharType="separate"/>
        </w:r>
        <w:r>
          <w:t>6</w:t>
        </w:r>
        <w:r>
          <w:fldChar w:fldCharType="end"/>
        </w:r>
      </w:hyperlink>
    </w:p>
    <w:p>
      <w:pPr>
        <w:pStyle w:val="TOC2"/>
        <w:tabs>
          <w:tab w:val="right" w:leader="dot" w:pos="8306"/>
        </w:tabs>
      </w:pPr>
      <w:hyperlink w:anchor="_Toc7502" w:history="1">
        <w:r>
          <w:rPr>
            <w:rFonts w:ascii="仿宋" w:eastAsia="仿宋" w:hAnsi="仿宋" w:cs="仿宋" w:hint="eastAsia"/>
            <w:lang w:eastAsia="zh-CN"/>
          </w:rPr>
          <w:t>(三)、绩效评估周期</w:t>
        </w:r>
        <w:r>
          <w:tab/>
        </w:r>
        <w:r>
          <w:fldChar w:fldCharType="begin"/>
        </w:r>
        <w:r>
          <w:instrText xml:space="preserve"> PAGEREF _Toc7502 \h </w:instrText>
        </w:r>
        <w:r>
          <w:fldChar w:fldCharType="separate"/>
        </w:r>
        <w:r>
          <w:t>7</w:t>
        </w:r>
        <w:r>
          <w:fldChar w:fldCharType="end"/>
        </w:r>
      </w:hyperlink>
    </w:p>
    <w:p>
      <w:pPr>
        <w:pStyle w:val="TOC1"/>
        <w:tabs>
          <w:tab w:val="right" w:leader="dot" w:pos="8306"/>
        </w:tabs>
      </w:pPr>
      <w:hyperlink w:anchor="_Toc7970" w:history="1">
        <w:r>
          <w:rPr>
            <w:rFonts w:ascii="仿宋" w:eastAsia="仿宋" w:hAnsi="仿宋" w:cs="仿宋" w:hint="eastAsia"/>
            <w:lang w:eastAsia="zh-CN"/>
          </w:rPr>
          <w:t>三、氮肥项目文档管理</w:t>
        </w:r>
        <w:r>
          <w:tab/>
        </w:r>
        <w:r>
          <w:fldChar w:fldCharType="begin"/>
        </w:r>
        <w:r>
          <w:instrText xml:space="preserve"> PAGEREF _Toc7970 \h </w:instrText>
        </w:r>
        <w:r>
          <w:fldChar w:fldCharType="separate"/>
        </w:r>
        <w:r>
          <w:t>8</w:t>
        </w:r>
        <w:r>
          <w:fldChar w:fldCharType="end"/>
        </w:r>
      </w:hyperlink>
    </w:p>
    <w:p>
      <w:pPr>
        <w:pStyle w:val="TOC2"/>
        <w:tabs>
          <w:tab w:val="right" w:leader="dot" w:pos="8306"/>
        </w:tabs>
      </w:pPr>
      <w:hyperlink w:anchor="_Toc19848" w:history="1">
        <w:r>
          <w:rPr>
            <w:rFonts w:ascii="仿宋" w:eastAsia="仿宋" w:hAnsi="仿宋" w:cs="仿宋" w:hint="eastAsia"/>
            <w:lang w:eastAsia="zh-CN"/>
          </w:rPr>
          <w:t>(一)、文档编制与审查</w:t>
        </w:r>
        <w:r>
          <w:tab/>
        </w:r>
        <w:r>
          <w:fldChar w:fldCharType="begin"/>
        </w:r>
        <w:r>
          <w:instrText xml:space="preserve"> PAGEREF _Toc19848 \h </w:instrText>
        </w:r>
        <w:r>
          <w:fldChar w:fldCharType="separate"/>
        </w:r>
        <w:r>
          <w:t>8</w:t>
        </w:r>
        <w:r>
          <w:fldChar w:fldCharType="end"/>
        </w:r>
      </w:hyperlink>
    </w:p>
    <w:p>
      <w:pPr>
        <w:pStyle w:val="TOC2"/>
        <w:tabs>
          <w:tab w:val="right" w:leader="dot" w:pos="8306"/>
        </w:tabs>
      </w:pPr>
      <w:hyperlink w:anchor="_Toc3236" w:history="1">
        <w:r>
          <w:rPr>
            <w:rFonts w:ascii="仿宋" w:eastAsia="仿宋" w:hAnsi="仿宋" w:cs="仿宋" w:hint="eastAsia"/>
            <w:lang w:eastAsia="zh-CN"/>
          </w:rPr>
          <w:t>(二)、文档发布与分发</w:t>
        </w:r>
        <w:r>
          <w:tab/>
        </w:r>
        <w:r>
          <w:fldChar w:fldCharType="begin"/>
        </w:r>
        <w:r>
          <w:instrText xml:space="preserve"> PAGEREF _Toc3236 \h </w:instrText>
        </w:r>
        <w:r>
          <w:fldChar w:fldCharType="separate"/>
        </w:r>
        <w:r>
          <w:t>9</w:t>
        </w:r>
        <w:r>
          <w:fldChar w:fldCharType="end"/>
        </w:r>
      </w:hyperlink>
    </w:p>
    <w:p>
      <w:pPr>
        <w:pStyle w:val="TOC2"/>
        <w:tabs>
          <w:tab w:val="right" w:leader="dot" w:pos="8306"/>
        </w:tabs>
      </w:pPr>
      <w:hyperlink w:anchor="_Toc32405" w:history="1">
        <w:r>
          <w:rPr>
            <w:rFonts w:ascii="仿宋" w:eastAsia="仿宋" w:hAnsi="仿宋" w:cs="仿宋" w:hint="eastAsia"/>
            <w:lang w:eastAsia="zh-CN"/>
          </w:rPr>
          <w:t>(三)、文档存档与归档</w:t>
        </w:r>
        <w:r>
          <w:tab/>
        </w:r>
        <w:r>
          <w:fldChar w:fldCharType="begin"/>
        </w:r>
        <w:r>
          <w:instrText xml:space="preserve"> PAGEREF _Toc32405 \h </w:instrText>
        </w:r>
        <w:r>
          <w:fldChar w:fldCharType="separate"/>
        </w:r>
        <w:r>
          <w:t>10</w:t>
        </w:r>
        <w:r>
          <w:fldChar w:fldCharType="end"/>
        </w:r>
      </w:hyperlink>
    </w:p>
    <w:p>
      <w:pPr>
        <w:pStyle w:val="TOC1"/>
        <w:tabs>
          <w:tab w:val="right" w:leader="dot" w:pos="8306"/>
        </w:tabs>
      </w:pPr>
      <w:hyperlink w:anchor="_Toc12383" w:history="1">
        <w:r>
          <w:rPr>
            <w:rFonts w:ascii="仿宋" w:eastAsia="仿宋" w:hAnsi="仿宋" w:cs="仿宋" w:hint="eastAsia"/>
            <w:lang w:eastAsia="zh-CN"/>
          </w:rPr>
          <w:t>四、氮肥项目概论</w:t>
        </w:r>
        <w:r>
          <w:tab/>
        </w:r>
        <w:r>
          <w:fldChar w:fldCharType="begin"/>
        </w:r>
        <w:r>
          <w:instrText xml:space="preserve"> PAGEREF _Toc12383 \h </w:instrText>
        </w:r>
        <w:r>
          <w:fldChar w:fldCharType="separate"/>
        </w:r>
        <w:r>
          <w:t>11</w:t>
        </w:r>
        <w:r>
          <w:fldChar w:fldCharType="end"/>
        </w:r>
      </w:hyperlink>
    </w:p>
    <w:p>
      <w:pPr>
        <w:pStyle w:val="TOC2"/>
        <w:tabs>
          <w:tab w:val="right" w:leader="dot" w:pos="8306"/>
        </w:tabs>
      </w:pPr>
      <w:hyperlink w:anchor="_Toc991" w:history="1">
        <w:r>
          <w:rPr>
            <w:rFonts w:ascii="仿宋" w:eastAsia="仿宋" w:hAnsi="仿宋" w:cs="仿宋" w:hint="eastAsia"/>
            <w:lang w:eastAsia="zh-CN"/>
          </w:rPr>
          <w:t>(一)、氮肥项目概况</w:t>
        </w:r>
        <w:r>
          <w:tab/>
        </w:r>
        <w:r>
          <w:fldChar w:fldCharType="begin"/>
        </w:r>
        <w:r>
          <w:instrText xml:space="preserve"> PAGEREF _Toc991 \h </w:instrText>
        </w:r>
        <w:r>
          <w:fldChar w:fldCharType="separate"/>
        </w:r>
        <w:r>
          <w:t>11</w:t>
        </w:r>
        <w:r>
          <w:fldChar w:fldCharType="end"/>
        </w:r>
      </w:hyperlink>
    </w:p>
    <w:p>
      <w:pPr>
        <w:pStyle w:val="TOC2"/>
        <w:tabs>
          <w:tab w:val="right" w:leader="dot" w:pos="8306"/>
        </w:tabs>
      </w:pPr>
      <w:hyperlink w:anchor="_Toc4028" w:history="1">
        <w:r>
          <w:rPr>
            <w:rFonts w:ascii="仿宋" w:eastAsia="仿宋" w:hAnsi="仿宋" w:cs="仿宋" w:hint="eastAsia"/>
            <w:lang w:eastAsia="zh-CN"/>
          </w:rPr>
          <w:t>(二)、氮肥项目目标</w:t>
        </w:r>
        <w:r>
          <w:tab/>
        </w:r>
        <w:r>
          <w:fldChar w:fldCharType="begin"/>
        </w:r>
        <w:r>
          <w:instrText xml:space="preserve"> PAGEREF _Toc4028 \h </w:instrText>
        </w:r>
        <w:r>
          <w:fldChar w:fldCharType="separate"/>
        </w:r>
        <w:r>
          <w:t>13</w:t>
        </w:r>
        <w:r>
          <w:fldChar w:fldCharType="end"/>
        </w:r>
      </w:hyperlink>
    </w:p>
    <w:p>
      <w:pPr>
        <w:pStyle w:val="TOC2"/>
        <w:tabs>
          <w:tab w:val="right" w:leader="dot" w:pos="8306"/>
        </w:tabs>
      </w:pPr>
      <w:hyperlink w:anchor="_Toc22075" w:history="1">
        <w:r>
          <w:rPr>
            <w:rFonts w:ascii="仿宋" w:eastAsia="仿宋" w:hAnsi="仿宋" w:cs="仿宋" w:hint="eastAsia"/>
            <w:lang w:eastAsia="zh-CN"/>
          </w:rPr>
          <w:t>(三)、氮肥项目提出的理由</w:t>
        </w:r>
        <w:r>
          <w:tab/>
        </w:r>
        <w:r>
          <w:fldChar w:fldCharType="begin"/>
        </w:r>
        <w:r>
          <w:instrText xml:space="preserve"> PAGEREF _Toc22075 \h </w:instrText>
        </w:r>
        <w:r>
          <w:fldChar w:fldCharType="separate"/>
        </w:r>
        <w:r>
          <w:t>14</w:t>
        </w:r>
        <w:r>
          <w:fldChar w:fldCharType="end"/>
        </w:r>
      </w:hyperlink>
    </w:p>
    <w:p>
      <w:pPr>
        <w:pStyle w:val="TOC2"/>
        <w:tabs>
          <w:tab w:val="right" w:leader="dot" w:pos="8306"/>
        </w:tabs>
      </w:pPr>
      <w:hyperlink w:anchor="_Toc3304" w:history="1">
        <w:r>
          <w:rPr>
            <w:rFonts w:ascii="仿宋" w:eastAsia="仿宋" w:hAnsi="仿宋" w:cs="仿宋" w:hint="eastAsia"/>
            <w:lang w:eastAsia="zh-CN"/>
          </w:rPr>
          <w:t>(四)、氮肥项目意义</w:t>
        </w:r>
        <w:r>
          <w:tab/>
        </w:r>
        <w:r>
          <w:fldChar w:fldCharType="begin"/>
        </w:r>
        <w:r>
          <w:instrText xml:space="preserve"> PAGEREF _Toc3304 \h </w:instrText>
        </w:r>
        <w:r>
          <w:fldChar w:fldCharType="separate"/>
        </w:r>
        <w:r>
          <w:t>16</w:t>
        </w:r>
        <w:r>
          <w:fldChar w:fldCharType="end"/>
        </w:r>
      </w:hyperlink>
    </w:p>
    <w:p>
      <w:pPr>
        <w:pStyle w:val="TOC2"/>
        <w:tabs>
          <w:tab w:val="right" w:leader="dot" w:pos="8306"/>
        </w:tabs>
      </w:pPr>
      <w:hyperlink w:anchor="_Toc12562" w:history="1">
        <w:r>
          <w:rPr>
            <w:rFonts w:ascii="仿宋" w:eastAsia="仿宋" w:hAnsi="仿宋" w:cs="仿宋" w:hint="eastAsia"/>
            <w:lang w:eastAsia="zh-CN"/>
          </w:rPr>
          <w:t>(五)、氮肥项目背景</w:t>
        </w:r>
        <w:r>
          <w:tab/>
        </w:r>
        <w:r>
          <w:fldChar w:fldCharType="begin"/>
        </w:r>
        <w:r>
          <w:instrText xml:space="preserve"> PAGEREF _Toc12562 \h </w:instrText>
        </w:r>
        <w:r>
          <w:fldChar w:fldCharType="separate"/>
        </w:r>
        <w:r>
          <w:t>16</w:t>
        </w:r>
        <w:r>
          <w:fldChar w:fldCharType="end"/>
        </w:r>
      </w:hyperlink>
    </w:p>
    <w:p>
      <w:pPr>
        <w:pStyle w:val="TOC1"/>
        <w:tabs>
          <w:tab w:val="right" w:leader="dot" w:pos="8306"/>
        </w:tabs>
      </w:pPr>
      <w:hyperlink w:anchor="_Toc30703" w:history="1">
        <w:r>
          <w:rPr>
            <w:rFonts w:ascii="仿宋" w:eastAsia="仿宋" w:hAnsi="仿宋" w:cs="仿宋" w:hint="eastAsia"/>
            <w:lang w:eastAsia="zh-CN"/>
          </w:rPr>
          <w:t>五、氮肥项目危机管理</w:t>
        </w:r>
        <w:r>
          <w:tab/>
        </w:r>
        <w:r>
          <w:fldChar w:fldCharType="begin"/>
        </w:r>
        <w:r>
          <w:instrText xml:space="preserve"> PAGEREF _Toc30703 \h </w:instrText>
        </w:r>
        <w:r>
          <w:fldChar w:fldCharType="separate"/>
        </w:r>
        <w:r>
          <w:t>17</w:t>
        </w:r>
        <w:r>
          <w:fldChar w:fldCharType="end"/>
        </w:r>
      </w:hyperlink>
    </w:p>
    <w:p>
      <w:pPr>
        <w:pStyle w:val="TOC2"/>
        <w:tabs>
          <w:tab w:val="right" w:leader="dot" w:pos="8306"/>
        </w:tabs>
      </w:pPr>
      <w:hyperlink w:anchor="_Toc9597" w:history="1">
        <w:r>
          <w:rPr>
            <w:rFonts w:ascii="仿宋" w:eastAsia="仿宋" w:hAnsi="仿宋" w:cs="仿宋" w:hint="eastAsia"/>
            <w:lang w:eastAsia="zh-CN"/>
          </w:rPr>
          <w:t>(一)、危机预警与识别</w:t>
        </w:r>
        <w:r>
          <w:tab/>
        </w:r>
        <w:r>
          <w:fldChar w:fldCharType="begin"/>
        </w:r>
        <w:r>
          <w:instrText xml:space="preserve"> PAGEREF _Toc9597 \h </w:instrText>
        </w:r>
        <w:r>
          <w:fldChar w:fldCharType="separate"/>
        </w:r>
        <w:r>
          <w:t>17</w:t>
        </w:r>
        <w:r>
          <w:fldChar w:fldCharType="end"/>
        </w:r>
      </w:hyperlink>
    </w:p>
    <w:p>
      <w:pPr>
        <w:pStyle w:val="TOC2"/>
        <w:tabs>
          <w:tab w:val="right" w:leader="dot" w:pos="8306"/>
        </w:tabs>
      </w:pPr>
      <w:hyperlink w:anchor="_Toc470" w:history="1">
        <w:r>
          <w:rPr>
            <w:rFonts w:ascii="仿宋" w:eastAsia="仿宋" w:hAnsi="仿宋" w:cs="仿宋" w:hint="eastAsia"/>
            <w:lang w:eastAsia="zh-CN"/>
          </w:rPr>
          <w:t>(二)、危机应对与恢复</w:t>
        </w:r>
        <w:r>
          <w:tab/>
        </w:r>
        <w:r>
          <w:fldChar w:fldCharType="begin"/>
        </w:r>
        <w:r>
          <w:instrText xml:space="preserve"> PAGEREF _Toc470 \h </w:instrText>
        </w:r>
        <w:r>
          <w:fldChar w:fldCharType="separate"/>
        </w:r>
        <w:r>
          <w:t>18</w:t>
        </w:r>
        <w:r>
          <w:fldChar w:fldCharType="end"/>
        </w:r>
      </w:hyperlink>
    </w:p>
    <w:p>
      <w:pPr>
        <w:pStyle w:val="TOC1"/>
        <w:tabs>
          <w:tab w:val="right" w:leader="dot" w:pos="8306"/>
        </w:tabs>
      </w:pPr>
      <w:hyperlink w:anchor="_Toc15216" w:history="1">
        <w:r>
          <w:rPr>
            <w:rFonts w:ascii="仿宋" w:eastAsia="仿宋" w:hAnsi="仿宋" w:cs="仿宋" w:hint="eastAsia"/>
            <w:lang w:eastAsia="zh-CN"/>
          </w:rPr>
          <w:t>六、氮肥项目建设背景及必要性分析</w:t>
        </w:r>
        <w:r>
          <w:tab/>
        </w:r>
        <w:r>
          <w:fldChar w:fldCharType="begin"/>
        </w:r>
        <w:r>
          <w:instrText xml:space="preserve"> PAGEREF _Toc15216 \h </w:instrText>
        </w:r>
        <w:r>
          <w:fldChar w:fldCharType="separate"/>
        </w:r>
        <w:r>
          <w:t>20</w:t>
        </w:r>
        <w:r>
          <w:fldChar w:fldCharType="end"/>
        </w:r>
      </w:hyperlink>
    </w:p>
    <w:p>
      <w:pPr>
        <w:pStyle w:val="TOC2"/>
        <w:tabs>
          <w:tab w:val="right" w:leader="dot" w:pos="8306"/>
        </w:tabs>
      </w:pPr>
      <w:hyperlink w:anchor="_Toc27043" w:history="1">
        <w:r>
          <w:rPr>
            <w:rFonts w:ascii="仿宋" w:eastAsia="仿宋" w:hAnsi="仿宋" w:cs="仿宋" w:hint="eastAsia"/>
            <w:lang w:eastAsia="zh-CN"/>
          </w:rPr>
          <w:t>(一)、氮肥项目背景分析</w:t>
        </w:r>
        <w:r>
          <w:tab/>
        </w:r>
        <w:r>
          <w:fldChar w:fldCharType="begin"/>
        </w:r>
        <w:r>
          <w:instrText xml:space="preserve"> PAGEREF _Toc27043 \h </w:instrText>
        </w:r>
        <w:r>
          <w:fldChar w:fldCharType="separate"/>
        </w:r>
        <w:r>
          <w:t>20</w:t>
        </w:r>
        <w:r>
          <w:fldChar w:fldCharType="end"/>
        </w:r>
      </w:hyperlink>
    </w:p>
    <w:p>
      <w:pPr>
        <w:pStyle w:val="TOC2"/>
        <w:tabs>
          <w:tab w:val="right" w:leader="dot" w:pos="8306"/>
        </w:tabs>
      </w:pPr>
      <w:hyperlink w:anchor="_Toc14646" w:history="1">
        <w:r>
          <w:rPr>
            <w:rFonts w:ascii="仿宋" w:eastAsia="仿宋" w:hAnsi="仿宋" w:cs="仿宋" w:hint="eastAsia"/>
            <w:lang w:eastAsia="zh-CN"/>
          </w:rPr>
          <w:t>(二)、氮肥项目建设必要性分析</w:t>
        </w:r>
        <w:r>
          <w:tab/>
        </w:r>
        <w:r>
          <w:fldChar w:fldCharType="begin"/>
        </w:r>
        <w:r>
          <w:instrText xml:space="preserve"> PAGEREF _Toc14646 \h </w:instrText>
        </w:r>
        <w:r>
          <w:fldChar w:fldCharType="separate"/>
        </w:r>
        <w:r>
          <w:t>21</w:t>
        </w:r>
        <w:r>
          <w:fldChar w:fldCharType="end"/>
        </w:r>
      </w:hyperlink>
    </w:p>
    <w:p>
      <w:pPr>
        <w:pStyle w:val="TOC1"/>
        <w:tabs>
          <w:tab w:val="right" w:leader="dot" w:pos="8306"/>
        </w:tabs>
      </w:pPr>
      <w:hyperlink w:anchor="_Toc14952" w:history="1">
        <w:r>
          <w:rPr>
            <w:rFonts w:ascii="仿宋" w:eastAsia="仿宋" w:hAnsi="仿宋" w:cs="仿宋" w:hint="eastAsia"/>
            <w:lang w:eastAsia="zh-CN"/>
          </w:rPr>
          <w:t>七、氮肥项目风险管理</w:t>
        </w:r>
        <w:r>
          <w:tab/>
        </w:r>
        <w:r>
          <w:fldChar w:fldCharType="begin"/>
        </w:r>
        <w:r>
          <w:instrText xml:space="preserve"> PAGEREF _Toc14952 \h </w:instrText>
        </w:r>
        <w:r>
          <w:fldChar w:fldCharType="separate"/>
        </w:r>
        <w:r>
          <w:t>23</w:t>
        </w:r>
        <w:r>
          <w:fldChar w:fldCharType="end"/>
        </w:r>
      </w:hyperlink>
    </w:p>
    <w:p>
      <w:pPr>
        <w:pStyle w:val="TOC2"/>
        <w:tabs>
          <w:tab w:val="right" w:leader="dot" w:pos="8306"/>
        </w:tabs>
      </w:pPr>
      <w:hyperlink w:anchor="_Toc11204" w:history="1">
        <w:r>
          <w:rPr>
            <w:rFonts w:ascii="仿宋" w:eastAsia="仿宋" w:hAnsi="仿宋" w:cs="仿宋" w:hint="eastAsia"/>
            <w:lang w:eastAsia="zh-CN"/>
          </w:rPr>
          <w:t>(一)、风险识别与评估</w:t>
        </w:r>
        <w:r>
          <w:tab/>
        </w:r>
        <w:r>
          <w:fldChar w:fldCharType="begin"/>
        </w:r>
        <w:r>
          <w:instrText xml:space="preserve"> PAGEREF _Toc11204 \h </w:instrText>
        </w:r>
        <w:r>
          <w:fldChar w:fldCharType="separate"/>
        </w:r>
        <w:r>
          <w:t>23</w:t>
        </w:r>
        <w:r>
          <w:fldChar w:fldCharType="end"/>
        </w:r>
      </w:hyperlink>
    </w:p>
    <w:p>
      <w:pPr>
        <w:pStyle w:val="TOC2"/>
        <w:tabs>
          <w:tab w:val="right" w:leader="dot" w:pos="8306"/>
        </w:tabs>
      </w:pPr>
      <w:hyperlink w:anchor="_Toc27335" w:history="1">
        <w:r>
          <w:rPr>
            <w:rFonts w:ascii="仿宋" w:eastAsia="仿宋" w:hAnsi="仿宋" w:cs="仿宋" w:hint="eastAsia"/>
            <w:lang w:eastAsia="zh-CN"/>
          </w:rPr>
          <w:t>(二)、风险应对策略</w:t>
        </w:r>
        <w:r>
          <w:tab/>
        </w:r>
        <w:r>
          <w:fldChar w:fldCharType="begin"/>
        </w:r>
        <w:r>
          <w:instrText xml:space="preserve"> PAGEREF _Toc27335 \h </w:instrText>
        </w:r>
        <w:r>
          <w:fldChar w:fldCharType="separate"/>
        </w:r>
        <w:r>
          <w:t>24</w:t>
        </w:r>
        <w:r>
          <w:fldChar w:fldCharType="end"/>
        </w:r>
      </w:hyperlink>
    </w:p>
    <w:p>
      <w:pPr>
        <w:pStyle w:val="TOC2"/>
        <w:tabs>
          <w:tab w:val="right" w:leader="dot" w:pos="8306"/>
        </w:tabs>
      </w:pPr>
      <w:hyperlink w:anchor="_Toc24239" w:history="1">
        <w:r>
          <w:rPr>
            <w:rFonts w:ascii="仿宋" w:eastAsia="仿宋" w:hAnsi="仿宋" w:cs="仿宋" w:hint="eastAsia"/>
            <w:lang w:eastAsia="zh-CN"/>
          </w:rPr>
          <w:t>(三)、风险监控与控制</w:t>
        </w:r>
        <w:r>
          <w:tab/>
        </w:r>
        <w:r>
          <w:fldChar w:fldCharType="begin"/>
        </w:r>
        <w:r>
          <w:instrText xml:space="preserve"> PAGEREF _Toc24239 \h </w:instrText>
        </w:r>
        <w:r>
          <w:fldChar w:fldCharType="separate"/>
        </w:r>
        <w:r>
          <w:t>26</w:t>
        </w:r>
        <w:r>
          <w:fldChar w:fldCharType="end"/>
        </w:r>
      </w:hyperlink>
    </w:p>
    <w:p>
      <w:pPr>
        <w:pStyle w:val="TOC1"/>
        <w:tabs>
          <w:tab w:val="right" w:leader="dot" w:pos="8306"/>
        </w:tabs>
      </w:pPr>
      <w:hyperlink w:anchor="_Toc29072" w:history="1">
        <w:r>
          <w:rPr>
            <w:rFonts w:ascii="仿宋" w:eastAsia="仿宋" w:hAnsi="仿宋" w:cs="仿宋" w:hint="eastAsia"/>
            <w:lang w:eastAsia="zh-CN"/>
          </w:rPr>
          <w:t>八、氮肥项目计划安排</w:t>
        </w:r>
        <w:r>
          <w:tab/>
        </w:r>
        <w:r>
          <w:fldChar w:fldCharType="begin"/>
        </w:r>
        <w:r>
          <w:instrText xml:space="preserve"> PAGEREF _Toc29072 \h </w:instrText>
        </w:r>
        <w:r>
          <w:fldChar w:fldCharType="separate"/>
        </w:r>
        <w:r>
          <w:t>27</w:t>
        </w:r>
        <w:r>
          <w:fldChar w:fldCharType="end"/>
        </w:r>
      </w:hyperlink>
    </w:p>
    <w:p>
      <w:pPr>
        <w:pStyle w:val="TOC2"/>
        <w:tabs>
          <w:tab w:val="right" w:leader="dot" w:pos="8306"/>
        </w:tabs>
      </w:pPr>
      <w:hyperlink w:anchor="_Toc10444" w:history="1">
        <w:r>
          <w:rPr>
            <w:rFonts w:ascii="仿宋" w:eastAsia="仿宋" w:hAnsi="仿宋" w:cs="仿宋" w:hint="eastAsia"/>
            <w:lang w:eastAsia="zh-CN"/>
          </w:rPr>
          <w:t>(一)、建设周期</w:t>
        </w:r>
        <w:r>
          <w:tab/>
        </w:r>
        <w:r>
          <w:fldChar w:fldCharType="begin"/>
        </w:r>
        <w:r>
          <w:instrText xml:space="preserve"> PAGEREF _Toc10444 \h </w:instrText>
        </w:r>
        <w:r>
          <w:fldChar w:fldCharType="separate"/>
        </w:r>
        <w:r>
          <w:t>27</w:t>
        </w:r>
        <w:r>
          <w:fldChar w:fldCharType="end"/>
        </w:r>
      </w:hyperlink>
    </w:p>
    <w:p>
      <w:pPr>
        <w:pStyle w:val="TOC2"/>
        <w:tabs>
          <w:tab w:val="right" w:leader="dot" w:pos="8306"/>
        </w:tabs>
      </w:pPr>
      <w:hyperlink w:anchor="_Toc16494" w:history="1">
        <w:r>
          <w:rPr>
            <w:rFonts w:ascii="仿宋" w:eastAsia="仿宋" w:hAnsi="仿宋" w:cs="仿宋" w:hint="eastAsia"/>
            <w:lang w:eastAsia="zh-CN"/>
          </w:rPr>
          <w:t>(二)、建设进度</w:t>
        </w:r>
        <w:r>
          <w:tab/>
        </w:r>
        <w:r>
          <w:fldChar w:fldCharType="begin"/>
        </w:r>
        <w:r>
          <w:instrText xml:space="preserve"> PAGEREF _Toc16494 \h </w:instrText>
        </w:r>
        <w:r>
          <w:fldChar w:fldCharType="separate"/>
        </w:r>
        <w:r>
          <w:t>27</w:t>
        </w:r>
        <w:r>
          <w:fldChar w:fldCharType="end"/>
        </w:r>
      </w:hyperlink>
    </w:p>
    <w:p>
      <w:pPr>
        <w:pStyle w:val="TOC2"/>
        <w:tabs>
          <w:tab w:val="right" w:leader="dot" w:pos="8306"/>
        </w:tabs>
      </w:pPr>
      <w:hyperlink w:anchor="_Toc23225" w:history="1">
        <w:r>
          <w:rPr>
            <w:rFonts w:ascii="仿宋" w:eastAsia="仿宋" w:hAnsi="仿宋" w:cs="仿宋" w:hint="eastAsia"/>
            <w:lang w:eastAsia="zh-CN"/>
          </w:rPr>
          <w:t>(三)、进度安排注意事项</w:t>
        </w:r>
        <w:r>
          <w:tab/>
        </w:r>
        <w:r>
          <w:fldChar w:fldCharType="begin"/>
        </w:r>
        <w:r>
          <w:instrText xml:space="preserve"> PAGEREF _Toc23225 \h </w:instrText>
        </w:r>
        <w:r>
          <w:fldChar w:fldCharType="separate"/>
        </w:r>
        <w:r>
          <w:t>28</w:t>
        </w:r>
        <w:r>
          <w:fldChar w:fldCharType="end"/>
        </w:r>
      </w:hyperlink>
    </w:p>
    <w:p>
      <w:pPr>
        <w:pStyle w:val="TOC2"/>
        <w:tabs>
          <w:tab w:val="right" w:leader="dot" w:pos="8306"/>
        </w:tabs>
      </w:pPr>
      <w:hyperlink w:anchor="_Toc23730" w:history="1">
        <w:r>
          <w:rPr>
            <w:rFonts w:ascii="仿宋" w:eastAsia="仿宋" w:hAnsi="仿宋" w:cs="仿宋" w:hint="eastAsia"/>
            <w:lang w:eastAsia="zh-CN"/>
          </w:rPr>
          <w:t>(四)、人力资源配置</w:t>
        </w:r>
        <w:r>
          <w:tab/>
        </w:r>
        <w:r>
          <w:fldChar w:fldCharType="begin"/>
        </w:r>
        <w:r>
          <w:instrText xml:space="preserve"> PAGEREF _Toc23730 \h </w:instrText>
        </w:r>
        <w:r>
          <w:fldChar w:fldCharType="separate"/>
        </w:r>
        <w:r>
          <w:t>30</w:t>
        </w:r>
        <w:r>
          <w:fldChar w:fldCharType="end"/>
        </w:r>
      </w:hyperlink>
    </w:p>
    <w:p>
      <w:pPr>
        <w:pStyle w:val="TOC1"/>
        <w:tabs>
          <w:tab w:val="right" w:leader="dot" w:pos="8306"/>
        </w:tabs>
      </w:pPr>
      <w:hyperlink w:anchor="_Toc18156" w:history="1">
        <w:r>
          <w:rPr>
            <w:rFonts w:ascii="仿宋" w:eastAsia="仿宋" w:hAnsi="仿宋" w:cs="仿宋" w:hint="eastAsia"/>
            <w:lang w:eastAsia="zh-CN"/>
          </w:rPr>
          <w:t>九、氮肥项目财务管理</w:t>
        </w:r>
        <w:r>
          <w:tab/>
        </w:r>
        <w:r>
          <w:fldChar w:fldCharType="begin"/>
        </w:r>
        <w:r>
          <w:instrText xml:space="preserve"> PAGEREF _Toc18156 \h </w:instrText>
        </w:r>
        <w:r>
          <w:fldChar w:fldCharType="separate"/>
        </w:r>
        <w:r>
          <w:t>31</w:t>
        </w:r>
        <w:r>
          <w:fldChar w:fldCharType="end"/>
        </w:r>
      </w:hyperlink>
    </w:p>
    <w:p>
      <w:pPr>
        <w:pStyle w:val="TOC2"/>
        <w:tabs>
          <w:tab w:val="right" w:leader="dot" w:pos="8306"/>
        </w:tabs>
      </w:pPr>
      <w:hyperlink w:anchor="_Toc20413" w:history="1">
        <w:r>
          <w:rPr>
            <w:rFonts w:ascii="仿宋" w:eastAsia="仿宋" w:hAnsi="仿宋" w:cs="仿宋" w:hint="eastAsia"/>
            <w:lang w:eastAsia="zh-CN"/>
          </w:rPr>
          <w:t>(一)、资金需求大</w:t>
        </w:r>
        <w:r>
          <w:tab/>
        </w:r>
        <w:r>
          <w:fldChar w:fldCharType="begin"/>
        </w:r>
        <w:r>
          <w:instrText xml:space="preserve"> PAGEREF _Toc20413 \h </w:instrText>
        </w:r>
        <w:r>
          <w:fldChar w:fldCharType="separate"/>
        </w:r>
        <w:r>
          <w:t>31</w:t>
        </w:r>
        <w:r>
          <w:fldChar w:fldCharType="end"/>
        </w:r>
      </w:hyperlink>
    </w:p>
    <w:p>
      <w:pPr>
        <w:pStyle w:val="TOC2"/>
        <w:tabs>
          <w:tab w:val="right" w:leader="dot" w:pos="8306"/>
        </w:tabs>
      </w:pPr>
      <w:hyperlink w:anchor="_Toc22265" w:history="1">
        <w:r>
          <w:rPr>
            <w:rFonts w:ascii="仿宋" w:eastAsia="仿宋" w:hAnsi="仿宋" w:cs="仿宋" w:hint="eastAsia"/>
            <w:lang w:eastAsia="zh-CN"/>
          </w:rPr>
          <w:t>(二)、研发周期长</w:t>
        </w:r>
        <w:r>
          <w:tab/>
        </w:r>
        <w:r>
          <w:fldChar w:fldCharType="begin"/>
        </w:r>
        <w:r>
          <w:instrText xml:space="preserve"> PAGEREF _Toc22265 \h </w:instrText>
        </w:r>
        <w:r>
          <w:fldChar w:fldCharType="separate"/>
        </w:r>
        <w:r>
          <w:t>32</w:t>
        </w:r>
        <w:r>
          <w:fldChar w:fldCharType="end"/>
        </w:r>
      </w:hyperlink>
    </w:p>
    <w:p>
      <w:pPr>
        <w:pStyle w:val="TOC2"/>
        <w:tabs>
          <w:tab w:val="right" w:leader="dot" w:pos="8306"/>
        </w:tabs>
      </w:pPr>
      <w:hyperlink w:anchor="_Toc13224" w:history="1">
        <w:r>
          <w:rPr>
            <w:rFonts w:ascii="仿宋" w:eastAsia="仿宋" w:hAnsi="仿宋" w:cs="仿宋" w:hint="eastAsia"/>
            <w:lang w:eastAsia="zh-CN"/>
          </w:rPr>
          <w:t>(三)、市场风险大</w:t>
        </w:r>
        <w:r>
          <w:tab/>
        </w:r>
        <w:r>
          <w:fldChar w:fldCharType="begin"/>
        </w:r>
        <w:r>
          <w:instrText xml:space="preserve"> PAGEREF _Toc13224 \h </w:instrText>
        </w:r>
        <w:r>
          <w:fldChar w:fldCharType="separate"/>
        </w:r>
        <w:r>
          <w:t>33</w:t>
        </w:r>
        <w:r>
          <w:fldChar w:fldCharType="end"/>
        </w:r>
      </w:hyperlink>
    </w:p>
    <w:p>
      <w:pPr>
        <w:pStyle w:val="TOC2"/>
        <w:tabs>
          <w:tab w:val="right" w:leader="dot" w:pos="8306"/>
        </w:tabs>
      </w:pPr>
      <w:hyperlink w:anchor="_Toc36" w:history="1">
        <w:r>
          <w:rPr>
            <w:rFonts w:ascii="仿宋" w:eastAsia="仿宋" w:hAnsi="仿宋" w:cs="仿宋" w:hint="eastAsia"/>
            <w:lang w:eastAsia="zh-CN"/>
          </w:rPr>
          <w:t>(四)、利润率高</w:t>
        </w:r>
        <w:r>
          <w:tab/>
        </w:r>
        <w:r>
          <w:fldChar w:fldCharType="begin"/>
        </w:r>
        <w:r>
          <w:instrText xml:space="preserve"> PAGEREF _Toc36 \h </w:instrText>
        </w:r>
        <w:r>
          <w:fldChar w:fldCharType="separate"/>
        </w:r>
        <w:r>
          <w:t>36</w:t>
        </w:r>
        <w:r>
          <w:fldChar w:fldCharType="end"/>
        </w:r>
      </w:hyperlink>
    </w:p>
    <w:p>
      <w:pPr>
        <w:pStyle w:val="TOC1"/>
        <w:tabs>
          <w:tab w:val="right" w:leader="dot" w:pos="8306"/>
        </w:tabs>
      </w:pPr>
      <w:hyperlink w:anchor="_Toc1544" w:history="1">
        <w:r>
          <w:rPr>
            <w:rFonts w:ascii="仿宋" w:eastAsia="仿宋" w:hAnsi="仿宋" w:cs="仿宋" w:hint="eastAsia"/>
            <w:lang w:eastAsia="zh-CN"/>
          </w:rPr>
          <w:t>十、氮肥项目技术管理</w:t>
        </w:r>
        <w:r>
          <w:tab/>
        </w:r>
        <w:r>
          <w:fldChar w:fldCharType="begin"/>
        </w:r>
        <w:r>
          <w:instrText xml:space="preserve"> PAGEREF _Toc1544 \h </w:instrText>
        </w:r>
        <w:r>
          <w:fldChar w:fldCharType="separate"/>
        </w:r>
        <w:r>
          <w:t>38</w:t>
        </w:r>
        <w:r>
          <w:fldChar w:fldCharType="end"/>
        </w:r>
      </w:hyperlink>
    </w:p>
    <w:p>
      <w:pPr>
        <w:pStyle w:val="TOC2"/>
        <w:tabs>
          <w:tab w:val="right" w:leader="dot" w:pos="8306"/>
        </w:tabs>
      </w:pPr>
      <w:hyperlink w:anchor="_Toc14724" w:history="1">
        <w:r>
          <w:rPr>
            <w:rFonts w:ascii="仿宋" w:eastAsia="仿宋" w:hAnsi="仿宋" w:cs="仿宋" w:hint="eastAsia"/>
            <w:lang w:eastAsia="zh-CN"/>
          </w:rPr>
          <w:t>(一)、技术方案选用方向</w:t>
        </w:r>
        <w:r>
          <w:tab/>
        </w:r>
        <w:r>
          <w:fldChar w:fldCharType="begin"/>
        </w:r>
        <w:r>
          <w:instrText xml:space="preserve"> PAGEREF _Toc14724 \h </w:instrText>
        </w:r>
        <w:r>
          <w:fldChar w:fldCharType="separate"/>
        </w:r>
        <w:r>
          <w:t>38</w:t>
        </w:r>
        <w:r>
          <w:fldChar w:fldCharType="end"/>
        </w:r>
      </w:hyperlink>
    </w:p>
    <w:p>
      <w:pPr>
        <w:pStyle w:val="TOC2"/>
        <w:tabs>
          <w:tab w:val="right" w:leader="dot" w:pos="8306"/>
        </w:tabs>
      </w:pPr>
      <w:hyperlink w:anchor="_Toc31241" w:history="1">
        <w:r>
          <w:rPr>
            <w:rFonts w:ascii="仿宋" w:eastAsia="仿宋" w:hAnsi="仿宋" w:cs="仿宋" w:hint="eastAsia"/>
            <w:lang w:eastAsia="zh-CN"/>
          </w:rPr>
          <w:t>(二)、工艺技术方案选用原则</w:t>
        </w:r>
        <w:r>
          <w:tab/>
        </w:r>
        <w:r>
          <w:fldChar w:fldCharType="begin"/>
        </w:r>
        <w:r>
          <w:instrText xml:space="preserve"> PAGEREF _Toc31241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8" w:history="1">
        <w:r>
          <w:rPr>
            <w:rFonts w:ascii="仿宋" w:eastAsia="仿宋" w:hAnsi="仿宋" w:cs="仿宋" w:hint="eastAsia"/>
            <w:lang w:eastAsia="zh-CN"/>
          </w:rPr>
          <w:t>(三)、工艺技术方案要求</w:t>
        </w:r>
        <w:r>
          <w:tab/>
        </w:r>
        <w:r>
          <w:fldChar w:fldCharType="begin"/>
        </w:r>
        <w:r>
          <w:instrText xml:space="preserve"> PAGEREF _Toc26688 \h </w:instrText>
        </w:r>
        <w:r>
          <w:fldChar w:fldCharType="separate"/>
        </w:r>
        <w:r>
          <w:t>41</w:t>
        </w:r>
        <w:r>
          <w:fldChar w:fldCharType="end"/>
        </w:r>
      </w:hyperlink>
    </w:p>
    <w:p>
      <w:pPr>
        <w:pStyle w:val="TOC1"/>
        <w:tabs>
          <w:tab w:val="right" w:leader="dot" w:pos="8306"/>
        </w:tabs>
      </w:pPr>
      <w:hyperlink w:anchor="_Toc3128" w:history="1">
        <w:r>
          <w:rPr>
            <w:rFonts w:ascii="仿宋" w:eastAsia="仿宋" w:hAnsi="仿宋" w:cs="仿宋" w:hint="eastAsia"/>
            <w:lang w:eastAsia="zh-CN"/>
          </w:rPr>
          <w:t>十一、氮肥项目创新与研发</w:t>
        </w:r>
        <w:r>
          <w:tab/>
        </w:r>
        <w:r>
          <w:fldChar w:fldCharType="begin"/>
        </w:r>
        <w:r>
          <w:instrText xml:space="preserve"> PAGEREF _Toc3128 \h </w:instrText>
        </w:r>
        <w:r>
          <w:fldChar w:fldCharType="separate"/>
        </w:r>
        <w:r>
          <w:t>44</w:t>
        </w:r>
        <w:r>
          <w:fldChar w:fldCharType="end"/>
        </w:r>
      </w:hyperlink>
    </w:p>
    <w:p>
      <w:pPr>
        <w:pStyle w:val="TOC2"/>
        <w:tabs>
          <w:tab w:val="right" w:leader="dot" w:pos="8306"/>
        </w:tabs>
      </w:pPr>
      <w:hyperlink w:anchor="_Toc6828" w:history="1">
        <w:r>
          <w:rPr>
            <w:rFonts w:ascii="仿宋" w:eastAsia="仿宋" w:hAnsi="仿宋" w:cs="仿宋" w:hint="eastAsia"/>
            <w:lang w:eastAsia="zh-CN"/>
          </w:rPr>
          <w:t>(一)、创新策略与方向</w:t>
        </w:r>
        <w:r>
          <w:tab/>
        </w:r>
        <w:r>
          <w:fldChar w:fldCharType="begin"/>
        </w:r>
        <w:r>
          <w:instrText xml:space="preserve"> PAGEREF _Toc6828 \h </w:instrText>
        </w:r>
        <w:r>
          <w:fldChar w:fldCharType="separate"/>
        </w:r>
        <w:r>
          <w:t>44</w:t>
        </w:r>
        <w:r>
          <w:fldChar w:fldCharType="end"/>
        </w:r>
      </w:hyperlink>
    </w:p>
    <w:p>
      <w:pPr>
        <w:pStyle w:val="TOC2"/>
        <w:tabs>
          <w:tab w:val="right" w:leader="dot" w:pos="8306"/>
        </w:tabs>
      </w:pPr>
      <w:hyperlink w:anchor="_Toc28075" w:history="1">
        <w:r>
          <w:rPr>
            <w:rFonts w:ascii="仿宋" w:eastAsia="仿宋" w:hAnsi="仿宋" w:cs="仿宋" w:hint="eastAsia"/>
            <w:lang w:eastAsia="zh-CN"/>
          </w:rPr>
          <w:t>(二)、研发规划与投入</w:t>
        </w:r>
        <w:r>
          <w:tab/>
        </w:r>
        <w:r>
          <w:fldChar w:fldCharType="begin"/>
        </w:r>
        <w:r>
          <w:instrText xml:space="preserve"> PAGEREF _Toc28075 \h </w:instrText>
        </w:r>
        <w:r>
          <w:fldChar w:fldCharType="separate"/>
        </w:r>
        <w:r>
          <w:t>45</w:t>
        </w:r>
        <w:r>
          <w:fldChar w:fldCharType="end"/>
        </w:r>
      </w:hyperlink>
    </w:p>
    <w:p>
      <w:pPr>
        <w:pStyle w:val="TOC1"/>
        <w:tabs>
          <w:tab w:val="right" w:leader="dot" w:pos="8306"/>
        </w:tabs>
      </w:pPr>
      <w:hyperlink w:anchor="_Toc29006" w:history="1">
        <w:r>
          <w:rPr>
            <w:rFonts w:ascii="仿宋" w:eastAsia="仿宋" w:hAnsi="仿宋" w:cs="仿宋" w:hint="eastAsia"/>
            <w:lang w:eastAsia="zh-CN"/>
          </w:rPr>
          <w:t>十二、氮肥项目社会影响</w:t>
        </w:r>
        <w:r>
          <w:tab/>
        </w:r>
        <w:r>
          <w:fldChar w:fldCharType="begin"/>
        </w:r>
        <w:r>
          <w:instrText xml:space="preserve"> PAGEREF _Toc29006 \h </w:instrText>
        </w:r>
        <w:r>
          <w:fldChar w:fldCharType="separate"/>
        </w:r>
        <w:r>
          <w:t>47</w:t>
        </w:r>
        <w:r>
          <w:fldChar w:fldCharType="end"/>
        </w:r>
      </w:hyperlink>
    </w:p>
    <w:p>
      <w:pPr>
        <w:pStyle w:val="TOC2"/>
        <w:tabs>
          <w:tab w:val="right" w:leader="dot" w:pos="8306"/>
        </w:tabs>
      </w:pPr>
      <w:hyperlink w:anchor="_Toc18800" w:history="1">
        <w:r>
          <w:rPr>
            <w:rFonts w:ascii="仿宋" w:eastAsia="仿宋" w:hAnsi="仿宋" w:cs="仿宋" w:hint="eastAsia"/>
            <w:lang w:eastAsia="zh-CN"/>
          </w:rPr>
          <w:t>(一)、社会责任与义务</w:t>
        </w:r>
        <w:r>
          <w:tab/>
        </w:r>
        <w:r>
          <w:fldChar w:fldCharType="begin"/>
        </w:r>
        <w:r>
          <w:instrText xml:space="preserve"> PAGEREF _Toc18800 \h </w:instrText>
        </w:r>
        <w:r>
          <w:fldChar w:fldCharType="separate"/>
        </w:r>
        <w:r>
          <w:t>47</w:t>
        </w:r>
        <w:r>
          <w:fldChar w:fldCharType="end"/>
        </w:r>
      </w:hyperlink>
    </w:p>
    <w:p>
      <w:pPr>
        <w:pStyle w:val="TOC2"/>
        <w:tabs>
          <w:tab w:val="right" w:leader="dot" w:pos="8306"/>
        </w:tabs>
      </w:pPr>
      <w:hyperlink w:anchor="_Toc19737" w:history="1">
        <w:r>
          <w:rPr>
            <w:rFonts w:ascii="仿宋" w:eastAsia="仿宋" w:hAnsi="仿宋" w:cs="仿宋" w:hint="eastAsia"/>
            <w:lang w:eastAsia="zh-CN"/>
          </w:rPr>
          <w:t>(二)、社会参与与沟通</w:t>
        </w:r>
        <w:r>
          <w:tab/>
        </w:r>
        <w:r>
          <w:fldChar w:fldCharType="begin"/>
        </w:r>
        <w:r>
          <w:instrText xml:space="preserve"> PAGEREF _Toc19737 \h </w:instrText>
        </w:r>
        <w:r>
          <w:fldChar w:fldCharType="separate"/>
        </w:r>
        <w:r>
          <w:t>47</w:t>
        </w:r>
        <w:r>
          <w:fldChar w:fldCharType="end"/>
        </w:r>
      </w:hyperlink>
    </w:p>
    <w:p>
      <w:pPr>
        <w:pStyle w:val="TOC1"/>
        <w:tabs>
          <w:tab w:val="right" w:leader="dot" w:pos="8306"/>
        </w:tabs>
      </w:pPr>
      <w:hyperlink w:anchor="_Toc15974" w:history="1">
        <w:r>
          <w:rPr>
            <w:rFonts w:ascii="仿宋" w:eastAsia="仿宋" w:hAnsi="仿宋" w:cs="仿宋" w:hint="eastAsia"/>
            <w:lang w:eastAsia="zh-CN"/>
          </w:rPr>
          <w:t>十三、氮肥项目变更管理</w:t>
        </w:r>
        <w:r>
          <w:tab/>
        </w:r>
        <w:r>
          <w:fldChar w:fldCharType="begin"/>
        </w:r>
        <w:r>
          <w:instrText xml:space="preserve"> PAGEREF _Toc15974 \h </w:instrText>
        </w:r>
        <w:r>
          <w:fldChar w:fldCharType="separate"/>
        </w:r>
        <w:r>
          <w:t>48</w:t>
        </w:r>
        <w:r>
          <w:fldChar w:fldCharType="end"/>
        </w:r>
      </w:hyperlink>
    </w:p>
    <w:p>
      <w:pPr>
        <w:pStyle w:val="TOC2"/>
        <w:tabs>
          <w:tab w:val="right" w:leader="dot" w:pos="8306"/>
        </w:tabs>
      </w:pPr>
      <w:hyperlink w:anchor="_Toc21589" w:history="1">
        <w:r>
          <w:rPr>
            <w:rFonts w:ascii="仿宋" w:eastAsia="仿宋" w:hAnsi="仿宋" w:cs="仿宋" w:hint="eastAsia"/>
            <w:lang w:eastAsia="zh-CN"/>
          </w:rPr>
          <w:t>(一)、变更申请与评估</w:t>
        </w:r>
        <w:r>
          <w:tab/>
        </w:r>
        <w:r>
          <w:fldChar w:fldCharType="begin"/>
        </w:r>
        <w:r>
          <w:instrText xml:space="preserve"> PAGEREF _Toc21589 \h </w:instrText>
        </w:r>
        <w:r>
          <w:fldChar w:fldCharType="separate"/>
        </w:r>
        <w:r>
          <w:t>48</w:t>
        </w:r>
        <w:r>
          <w:fldChar w:fldCharType="end"/>
        </w:r>
      </w:hyperlink>
    </w:p>
    <w:p>
      <w:pPr>
        <w:pStyle w:val="TOC2"/>
        <w:tabs>
          <w:tab w:val="right" w:leader="dot" w:pos="8306"/>
        </w:tabs>
      </w:pPr>
      <w:hyperlink w:anchor="_Toc30960" w:history="1">
        <w:r>
          <w:rPr>
            <w:rFonts w:ascii="仿宋" w:eastAsia="仿宋" w:hAnsi="仿宋" w:cs="仿宋" w:hint="eastAsia"/>
            <w:lang w:eastAsia="zh-CN"/>
          </w:rPr>
          <w:t>(二)、变更实施与控制</w:t>
        </w:r>
        <w:r>
          <w:tab/>
        </w:r>
        <w:r>
          <w:fldChar w:fldCharType="begin"/>
        </w:r>
        <w:r>
          <w:instrText xml:space="preserve"> PAGEREF _Toc30960 \h </w:instrText>
        </w:r>
        <w:r>
          <w:fldChar w:fldCharType="separate"/>
        </w:r>
        <w:r>
          <w:t>49</w:t>
        </w:r>
        <w:r>
          <w:fldChar w:fldCharType="end"/>
        </w:r>
      </w:hyperlink>
    </w:p>
    <w:p>
      <w:pPr>
        <w:pStyle w:val="TOC1"/>
        <w:tabs>
          <w:tab w:val="right" w:leader="dot" w:pos="8306"/>
        </w:tabs>
      </w:pPr>
      <w:hyperlink w:anchor="_Toc11291" w:history="1">
        <w:r>
          <w:rPr>
            <w:rFonts w:ascii="仿宋" w:eastAsia="仿宋" w:hAnsi="仿宋" w:cs="仿宋" w:hint="eastAsia"/>
            <w:lang w:eastAsia="zh-CN"/>
          </w:rPr>
          <w:t>十四、氮肥项目实施保障措施</w:t>
        </w:r>
        <w:r>
          <w:tab/>
        </w:r>
        <w:r>
          <w:fldChar w:fldCharType="begin"/>
        </w:r>
        <w:r>
          <w:instrText xml:space="preserve"> PAGEREF _Toc11291 \h </w:instrText>
        </w:r>
        <w:r>
          <w:fldChar w:fldCharType="separate"/>
        </w:r>
        <w:r>
          <w:t>49</w:t>
        </w:r>
        <w:r>
          <w:fldChar w:fldCharType="end"/>
        </w:r>
      </w:hyperlink>
    </w:p>
    <w:p>
      <w:pPr>
        <w:pStyle w:val="TOC2"/>
        <w:tabs>
          <w:tab w:val="right" w:leader="dot" w:pos="8306"/>
        </w:tabs>
      </w:pPr>
      <w:hyperlink w:anchor="_Toc29467" w:history="1">
        <w:r>
          <w:rPr>
            <w:rFonts w:ascii="仿宋" w:eastAsia="仿宋" w:hAnsi="仿宋" w:cs="仿宋" w:hint="eastAsia"/>
            <w:lang w:eastAsia="zh-CN"/>
          </w:rPr>
          <w:t>(一)、氮肥项目实施保障机制</w:t>
        </w:r>
        <w:r>
          <w:tab/>
        </w:r>
        <w:r>
          <w:fldChar w:fldCharType="begin"/>
        </w:r>
        <w:r>
          <w:instrText xml:space="preserve"> PAGEREF _Toc29467 \h </w:instrText>
        </w:r>
        <w:r>
          <w:fldChar w:fldCharType="separate"/>
        </w:r>
        <w:r>
          <w:t>49</w:t>
        </w:r>
        <w:r>
          <w:fldChar w:fldCharType="end"/>
        </w:r>
      </w:hyperlink>
    </w:p>
    <w:p>
      <w:pPr>
        <w:pStyle w:val="TOC2"/>
        <w:tabs>
          <w:tab w:val="right" w:leader="dot" w:pos="8306"/>
        </w:tabs>
      </w:pPr>
      <w:hyperlink w:anchor="_Toc29252" w:history="1">
        <w:r>
          <w:rPr>
            <w:rFonts w:ascii="仿宋" w:eastAsia="仿宋" w:hAnsi="仿宋" w:cs="仿宋" w:hint="eastAsia"/>
            <w:lang w:eastAsia="zh-CN"/>
          </w:rPr>
          <w:t>(二)、氮肥项目法律合规要求</w:t>
        </w:r>
        <w:r>
          <w:tab/>
        </w:r>
        <w:r>
          <w:fldChar w:fldCharType="begin"/>
        </w:r>
        <w:r>
          <w:instrText xml:space="preserve"> PAGEREF _Toc29252 \h </w:instrText>
        </w:r>
        <w:r>
          <w:fldChar w:fldCharType="separate"/>
        </w:r>
        <w:r>
          <w:t>53</w:t>
        </w:r>
        <w:r>
          <w:fldChar w:fldCharType="end"/>
        </w:r>
      </w:hyperlink>
    </w:p>
    <w:p>
      <w:pPr>
        <w:pStyle w:val="TOC2"/>
        <w:tabs>
          <w:tab w:val="right" w:leader="dot" w:pos="8306"/>
        </w:tabs>
      </w:pPr>
      <w:hyperlink w:anchor="_Toc22329" w:history="1">
        <w:r>
          <w:rPr>
            <w:rFonts w:ascii="仿宋" w:eastAsia="仿宋" w:hAnsi="仿宋" w:cs="仿宋" w:hint="eastAsia"/>
            <w:lang w:eastAsia="zh-CN"/>
          </w:rPr>
          <w:t>(三)、氮肥项目合同管理与法律事务</w:t>
        </w:r>
        <w:r>
          <w:tab/>
        </w:r>
        <w:r>
          <w:fldChar w:fldCharType="begin"/>
        </w:r>
        <w:r>
          <w:instrText xml:space="preserve"> PAGEREF _Toc22329 \h </w:instrText>
        </w:r>
        <w:r>
          <w:fldChar w:fldCharType="separate"/>
        </w:r>
        <w:r>
          <w:t>56</w:t>
        </w:r>
        <w:r>
          <w:fldChar w:fldCharType="end"/>
        </w:r>
      </w:hyperlink>
    </w:p>
    <w:p>
      <w:pPr>
        <w:pStyle w:val="TOC2"/>
        <w:tabs>
          <w:tab w:val="right" w:leader="dot" w:pos="8306"/>
        </w:tabs>
      </w:pPr>
      <w:hyperlink w:anchor="_Toc9278" w:history="1">
        <w:r>
          <w:rPr>
            <w:rFonts w:ascii="仿宋" w:eastAsia="仿宋" w:hAnsi="仿宋" w:cs="仿宋" w:hint="eastAsia"/>
            <w:lang w:eastAsia="zh-CN"/>
          </w:rPr>
          <w:t>(四)、氮肥项目知识产权保护策略</w:t>
        </w:r>
        <w:r>
          <w:tab/>
        </w:r>
        <w:r>
          <w:fldChar w:fldCharType="begin"/>
        </w:r>
        <w:r>
          <w:instrText xml:space="preserve"> PAGEREF _Toc9278 \h </w:instrText>
        </w:r>
        <w:r>
          <w:fldChar w:fldCharType="separate"/>
        </w:r>
        <w:r>
          <w:t>63</w:t>
        </w:r>
        <w:r>
          <w:fldChar w:fldCharType="end"/>
        </w:r>
      </w:hyperlink>
    </w:p>
    <w:p>
      <w:pPr>
        <w:pStyle w:val="TOC1"/>
        <w:tabs>
          <w:tab w:val="right" w:leader="dot" w:pos="8306"/>
        </w:tabs>
      </w:pPr>
      <w:hyperlink w:anchor="_Toc8181" w:history="1">
        <w:r>
          <w:rPr>
            <w:rFonts w:ascii="仿宋" w:eastAsia="仿宋" w:hAnsi="仿宋" w:cs="仿宋" w:hint="eastAsia"/>
            <w:lang w:eastAsia="zh-CN"/>
          </w:rPr>
          <w:t>十五、营销与推广策略</w:t>
        </w:r>
        <w:r>
          <w:tab/>
        </w:r>
        <w:r>
          <w:fldChar w:fldCharType="begin"/>
        </w:r>
        <w:r>
          <w:instrText xml:space="preserve"> PAGEREF _Toc8181 \h </w:instrText>
        </w:r>
        <w:r>
          <w:fldChar w:fldCharType="separate"/>
        </w:r>
        <w:r>
          <w:t>65</w:t>
        </w:r>
        <w:r>
          <w:fldChar w:fldCharType="end"/>
        </w:r>
      </w:hyperlink>
    </w:p>
    <w:p>
      <w:pPr>
        <w:pStyle w:val="TOC2"/>
        <w:tabs>
          <w:tab w:val="right" w:leader="dot" w:pos="8306"/>
        </w:tabs>
      </w:pPr>
      <w:hyperlink w:anchor="_Toc16681" w:history="1">
        <w:r>
          <w:rPr>
            <w:rFonts w:ascii="仿宋" w:eastAsia="仿宋" w:hAnsi="仿宋" w:cs="仿宋" w:hint="eastAsia"/>
            <w:lang w:eastAsia="zh-CN"/>
          </w:rPr>
          <w:t>(一)、产品/服务定位与特点</w:t>
        </w:r>
        <w:r>
          <w:tab/>
        </w:r>
        <w:r>
          <w:fldChar w:fldCharType="begin"/>
        </w:r>
        <w:r>
          <w:instrText xml:space="preserve"> PAGEREF _Toc16681 \h </w:instrText>
        </w:r>
        <w:r>
          <w:fldChar w:fldCharType="separate"/>
        </w:r>
        <w:r>
          <w:t>65</w:t>
        </w:r>
        <w:r>
          <w:fldChar w:fldCharType="end"/>
        </w:r>
      </w:hyperlink>
    </w:p>
    <w:p>
      <w:pPr>
        <w:pStyle w:val="TOC2"/>
        <w:tabs>
          <w:tab w:val="right" w:leader="dot" w:pos="8306"/>
        </w:tabs>
      </w:pPr>
      <w:hyperlink w:anchor="_Toc10865" w:history="1">
        <w:r>
          <w:rPr>
            <w:rFonts w:ascii="仿宋" w:eastAsia="仿宋" w:hAnsi="仿宋" w:cs="仿宋" w:hint="eastAsia"/>
            <w:lang w:eastAsia="zh-CN"/>
          </w:rPr>
          <w:t>(二)、市场定位与竞争分析</w:t>
        </w:r>
        <w:r>
          <w:tab/>
        </w:r>
        <w:r>
          <w:fldChar w:fldCharType="begin"/>
        </w:r>
        <w:r>
          <w:instrText xml:space="preserve"> PAGEREF _Toc10865 \h </w:instrText>
        </w:r>
        <w:r>
          <w:fldChar w:fldCharType="separate"/>
        </w:r>
        <w:r>
          <w:t>66</w:t>
        </w:r>
        <w:r>
          <w:fldChar w:fldCharType="end"/>
        </w:r>
      </w:hyperlink>
    </w:p>
    <w:p>
      <w:pPr>
        <w:pStyle w:val="TOC2"/>
        <w:tabs>
          <w:tab w:val="right" w:leader="dot" w:pos="8306"/>
        </w:tabs>
      </w:pPr>
      <w:hyperlink w:anchor="_Toc10783" w:history="1">
        <w:r>
          <w:rPr>
            <w:rFonts w:ascii="仿宋" w:eastAsia="仿宋" w:hAnsi="仿宋" w:cs="仿宋" w:hint="eastAsia"/>
            <w:lang w:eastAsia="zh-CN"/>
          </w:rPr>
          <w:t>(三)、营销渠道与策略</w:t>
        </w:r>
        <w:r>
          <w:tab/>
        </w:r>
        <w:r>
          <w:fldChar w:fldCharType="begin"/>
        </w:r>
        <w:r>
          <w:instrText xml:space="preserve"> PAGEREF _Toc10783 \h </w:instrText>
        </w:r>
        <w:r>
          <w:fldChar w:fldCharType="separate"/>
        </w:r>
        <w:r>
          <w:t>68</w:t>
        </w:r>
        <w:r>
          <w:fldChar w:fldCharType="end"/>
        </w:r>
      </w:hyperlink>
    </w:p>
    <w:p>
      <w:pPr>
        <w:pStyle w:val="TOC2"/>
        <w:tabs>
          <w:tab w:val="right" w:leader="dot" w:pos="8306"/>
        </w:tabs>
      </w:pPr>
      <w:hyperlink w:anchor="_Toc20975" w:history="1">
        <w:r>
          <w:rPr>
            <w:rFonts w:ascii="仿宋" w:eastAsia="仿宋" w:hAnsi="仿宋" w:cs="仿宋" w:hint="eastAsia"/>
            <w:lang w:eastAsia="zh-CN"/>
          </w:rPr>
          <w:t>(四)、推广与宣传活动</w:t>
        </w:r>
        <w:r>
          <w:tab/>
        </w:r>
        <w:r>
          <w:fldChar w:fldCharType="begin"/>
        </w:r>
        <w:r>
          <w:instrText xml:space="preserve"> PAGEREF _Toc20975 \h </w:instrText>
        </w:r>
        <w:r>
          <w:fldChar w:fldCharType="separate"/>
        </w:r>
        <w:r>
          <w:t>69</w:t>
        </w:r>
        <w:r>
          <w:fldChar w:fldCharType="end"/>
        </w:r>
      </w:hyperlink>
    </w:p>
    <w:p>
      <w:pPr>
        <w:pStyle w:val="TOC1"/>
        <w:tabs>
          <w:tab w:val="right" w:leader="dot" w:pos="8306"/>
        </w:tabs>
      </w:pPr>
      <w:hyperlink w:anchor="_Toc6563" w:history="1">
        <w:r>
          <w:rPr>
            <w:rFonts w:ascii="仿宋" w:eastAsia="仿宋" w:hAnsi="仿宋" w:cs="仿宋" w:hint="eastAsia"/>
            <w:lang w:eastAsia="zh-CN"/>
          </w:rPr>
          <w:t>十六、质量管理体系</w:t>
        </w:r>
        <w:r>
          <w:tab/>
        </w:r>
        <w:r>
          <w:fldChar w:fldCharType="begin"/>
        </w:r>
        <w:r>
          <w:instrText xml:space="preserve"> PAGEREF _Toc6563 \h </w:instrText>
        </w:r>
        <w:r>
          <w:fldChar w:fldCharType="separate"/>
        </w:r>
        <w:r>
          <w:t>74</w:t>
        </w:r>
        <w:r>
          <w:fldChar w:fldCharType="end"/>
        </w:r>
      </w:hyperlink>
    </w:p>
    <w:p>
      <w:pPr>
        <w:pStyle w:val="TOC2"/>
        <w:tabs>
          <w:tab w:val="right" w:leader="dot" w:pos="8306"/>
        </w:tabs>
      </w:pPr>
      <w:hyperlink w:anchor="_Toc10762" w:history="1">
        <w:r>
          <w:rPr>
            <w:rFonts w:ascii="仿宋" w:eastAsia="仿宋" w:hAnsi="仿宋" w:cs="仿宋" w:hint="eastAsia"/>
            <w:lang w:eastAsia="zh-CN"/>
          </w:rPr>
          <w:t>(一)、质量目标与方针</w:t>
        </w:r>
        <w:r>
          <w:tab/>
        </w:r>
        <w:r>
          <w:fldChar w:fldCharType="begin"/>
        </w:r>
        <w:r>
          <w:instrText xml:space="preserve"> PAGEREF _Toc10762 \h </w:instrText>
        </w:r>
        <w:r>
          <w:fldChar w:fldCharType="separate"/>
        </w:r>
        <w:r>
          <w:t>74</w:t>
        </w:r>
        <w:r>
          <w:fldChar w:fldCharType="end"/>
        </w:r>
      </w:hyperlink>
    </w:p>
    <w:p>
      <w:pPr>
        <w:pStyle w:val="TOC2"/>
        <w:tabs>
          <w:tab w:val="right" w:leader="dot" w:pos="8306"/>
        </w:tabs>
      </w:pPr>
      <w:hyperlink w:anchor="_Toc4991" w:history="1">
        <w:r>
          <w:rPr>
            <w:rFonts w:ascii="仿宋" w:eastAsia="仿宋" w:hAnsi="仿宋" w:cs="仿宋" w:hint="eastAsia"/>
            <w:lang w:eastAsia="zh-CN"/>
          </w:rPr>
          <w:t>(二)、质量管理责任</w:t>
        </w:r>
        <w:r>
          <w:tab/>
        </w:r>
        <w:r>
          <w:fldChar w:fldCharType="begin"/>
        </w:r>
        <w:r>
          <w:instrText xml:space="preserve"> PAGEREF _Toc4991 \h </w:instrText>
        </w:r>
        <w:r>
          <w:fldChar w:fldCharType="separate"/>
        </w:r>
        <w:r>
          <w:t>75</w:t>
        </w:r>
        <w:r>
          <w:fldChar w:fldCharType="end"/>
        </w:r>
      </w:hyperlink>
    </w:p>
    <w:p>
      <w:pPr>
        <w:pStyle w:val="TOC2"/>
        <w:tabs>
          <w:tab w:val="right" w:leader="dot" w:pos="8306"/>
        </w:tabs>
      </w:pPr>
      <w:hyperlink w:anchor="_Toc21399" w:history="1">
        <w:r>
          <w:rPr>
            <w:rFonts w:ascii="仿宋" w:eastAsia="仿宋" w:hAnsi="仿宋" w:cs="仿宋" w:hint="eastAsia"/>
            <w:lang w:eastAsia="zh-CN"/>
          </w:rPr>
          <w:t>(三)、质量管理体系文件</w:t>
        </w:r>
        <w:r>
          <w:tab/>
        </w:r>
        <w:r>
          <w:fldChar w:fldCharType="begin"/>
        </w:r>
        <w:r>
          <w:instrText xml:space="preserve"> PAGEREF _Toc21399 \h </w:instrText>
        </w:r>
        <w:r>
          <w:fldChar w:fldCharType="separate"/>
        </w:r>
        <w:r>
          <w:t>76</w:t>
        </w:r>
        <w:r>
          <w:fldChar w:fldCharType="end"/>
        </w:r>
      </w:hyperlink>
    </w:p>
    <w:p>
      <w:pPr>
        <w:pStyle w:val="TOC2"/>
        <w:tabs>
          <w:tab w:val="right" w:leader="dot" w:pos="8306"/>
        </w:tabs>
      </w:pPr>
      <w:hyperlink w:anchor="_Toc30874" w:history="1">
        <w:r>
          <w:rPr>
            <w:rFonts w:ascii="仿宋" w:eastAsia="仿宋" w:hAnsi="仿宋" w:cs="仿宋" w:hint="eastAsia"/>
            <w:lang w:eastAsia="zh-CN"/>
          </w:rPr>
          <w:t>(四)、质量培训与教育</w:t>
        </w:r>
        <w:r>
          <w:tab/>
        </w:r>
        <w:r>
          <w:fldChar w:fldCharType="begin"/>
        </w:r>
        <w:r>
          <w:instrText xml:space="preserve"> PAGEREF _Toc30874 \h </w:instrText>
        </w:r>
        <w:r>
          <w:fldChar w:fldCharType="separate"/>
        </w:r>
        <w:r>
          <w:t>78</w:t>
        </w:r>
        <w:r>
          <w:fldChar w:fldCharType="end"/>
        </w:r>
      </w:hyperlink>
    </w:p>
    <w:p>
      <w:pPr>
        <w:pStyle w:val="TOC2"/>
        <w:tabs>
          <w:tab w:val="right" w:leader="dot" w:pos="8306"/>
        </w:tabs>
      </w:pPr>
      <w:hyperlink w:anchor="_Toc2463" w:history="1">
        <w:r>
          <w:rPr>
            <w:rFonts w:ascii="仿宋" w:eastAsia="仿宋" w:hAnsi="仿宋" w:cs="仿宋" w:hint="eastAsia"/>
            <w:lang w:eastAsia="zh-CN"/>
          </w:rPr>
          <w:t>(五)、质量审核与评价</w:t>
        </w:r>
        <w:r>
          <w:tab/>
        </w:r>
        <w:r>
          <w:fldChar w:fldCharType="begin"/>
        </w:r>
        <w:r>
          <w:instrText xml:space="preserve"> PAGEREF _Toc2463 \h </w:instrText>
        </w:r>
        <w:r>
          <w:fldChar w:fldCharType="separate"/>
        </w:r>
        <w:r>
          <w:t>79</w:t>
        </w:r>
        <w:r>
          <w:fldChar w:fldCharType="end"/>
        </w:r>
      </w:hyperlink>
    </w:p>
    <w:p>
      <w:pPr>
        <w:pStyle w:val="TOC2"/>
        <w:tabs>
          <w:tab w:val="right" w:leader="dot" w:pos="8306"/>
        </w:tabs>
      </w:pPr>
      <w:hyperlink w:anchor="_Toc1686" w:history="1">
        <w:r>
          <w:rPr>
            <w:rFonts w:ascii="仿宋" w:eastAsia="仿宋" w:hAnsi="仿宋" w:cs="仿宋" w:hint="eastAsia"/>
            <w:lang w:eastAsia="zh-CN"/>
          </w:rPr>
          <w:t>(六)、不符合与纠正措施</w:t>
        </w:r>
        <w:r>
          <w:tab/>
        </w:r>
        <w:r>
          <w:fldChar w:fldCharType="begin"/>
        </w:r>
        <w:r>
          <w:instrText xml:space="preserve"> PAGEREF _Toc1686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氮肥项目的主要产品是XXXX，预计年产值为XXX万元。这一产品在市场中占据着重要的地位，其广泛的应用范围使得该氮肥项目的市场前景非常广阔。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肥项目的xxx产品作为重要的原材料之一，将在多个领域发挥关键作用。其在建筑、交通、能源等方面的广泛应用将为整个产业链提供强大的支持，形成产业协同效应。氮肥项目的年产值XXX万XXX万XXX万万元不仅反映了其在市场上的巨大潜力，更预示着它对国民经济的积极贡献。这种关联度高、涉及面广的产业关系，使得该氮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总征地面积为XXXX平方米，相当于约XX.XX亩，其中净用地面积为XXXX平方米，红线范围内相当于约XX.XX亩。这一用地规模充分考虑了氮肥项目的建设需求，保障了氮肥项目在合适的空间内得以充分发展。氮肥项目规划的总建筑面积为XXXX平方米，其中主体工程建设占XXXX平方米，计容建筑面积达XXXX平方米。预计建筑工程的投资将达到XXXX万元，为氮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购置的设备共计XXXX台（套），设备购置费用为XXXX万元。这一设备购置计划充分考虑到氮肥项目的生产需求和技术要求，确保了氮肥项目在生产运营中具备先进的技术装备和高效的生产能力。设备的合理配置将为氮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总投资为XXXX万元，预计年实现营业收入为XXXX万元。这一产能规模的设定旨在确保氮肥项目能够在投资与回报之间取得平衡，实现长期可持续的发展。氮肥项目的总投资充分考虑到各个方面的需求，包括用地建设、设备购置等多个环节，以确保氮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972"/>
      <w:r>
        <w:rPr>
          <w:rFonts w:ascii="仿宋" w:eastAsia="仿宋" w:hAnsi="仿宋" w:cs="仿宋" w:hint="eastAsia"/>
          <w:sz w:val="28"/>
          <w:lang w:eastAsia="zh-CN"/>
        </w:rPr>
        <w:t>二、氮肥项目绩效评估</w:t>
      </w:r>
      <w:bookmarkEnd w:id="5"/>
    </w:p>
    <w:p>
      <w:pPr>
        <w:pStyle w:val="Heading2"/>
        <w:rPr>
          <w:rFonts w:ascii="仿宋" w:eastAsia="仿宋" w:hAnsi="仿宋" w:cs="仿宋" w:hint="eastAsia"/>
          <w:lang w:eastAsia="zh-CN"/>
        </w:rPr>
      </w:pPr>
      <w:bookmarkStart w:id="6" w:name="_Toc38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在氮肥项目中，我们设计了一套全面的绩效评估指标，以确保氮肥项目的可控和成功交付。这些指标跨足氮肥项目目标、成本、进度和质量等多个维度，为我们提供了全面洞察氮肥项目的健康状况。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目标达成率是我们关注的首要指标。我们设定了明确的目标，并通过定期监测和评估，迅速发现并应对潜在的目标偏差。这为氮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进度作为关键的绩效指标之一，得到了精心的关注。我们制定了详细的氮肥项目进度计划，并设立了进度符合度指标，确保实际进度与计划进度保持一致。这使我们能够快速发现和解决潜在的进度问题，保持氮肥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肥项目绩效的不可或缺的一环。我们引入了一系列的质量标准和客户满意度指标，以确保氮肥项目交付的成果在质量上达到或超越预期水平。通过持续监测这些指标，我们努力提升氮肥项目整体质量水平，为氮肥项目的成功交付提供有力保障。通过这些科学且全面的绩效评估，我们能够更好地引导氮肥项目的持续改进，确保氮肥项目目标的顺利达成。</w:t>
      </w:r>
    </w:p>
    <w:p>
      <w:pPr>
        <w:pStyle w:val="Heading2"/>
        <w:ind w:firstLine="560" w:firstLineChars="200"/>
        <w:rPr>
          <w:rFonts w:ascii="仿宋" w:eastAsia="仿宋" w:hAnsi="仿宋" w:cs="仿宋" w:hint="eastAsia"/>
          <w:sz w:val="28"/>
          <w:lang w:eastAsia="zh-CN"/>
        </w:rPr>
      </w:pPr>
      <w:bookmarkStart w:id="7" w:name="_Toc342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绩效评估是氮肥项目中的关键环节，为确保氮肥项目达到预期目标，我们采用了多层次、多维度的绩效评估方法。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肥项目的战略目标对齐，确保每个决策和行动都与氮肥项目整体目标保持一致。团队会定期召开战略对齐会议，审视当前工作与氮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肥项目进度、质量、成本和风险等方面。这些指标通过数据收集和分析，为氮肥项目管理团队提供了客观的评估依据。例如，我们通过氮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绩效评估不仅仅停留在氮肥项目内部，还考虑了氮肥项目对外部环境的影响。我们定期进行干系人满意度调查，以了解各利益相关方对氮肥项目的期望和满意度，并及时做出调整。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这种多层次、多角度的绩效评估方法，使得我们能够全面了解氮肥项目的运行状态，及时做出调整，确保氮肥项目在不断变化的环境中保持稳健前行。</w:t>
      </w:r>
    </w:p>
    <w:p>
      <w:pPr>
        <w:pStyle w:val="Heading2"/>
        <w:ind w:firstLine="560" w:firstLineChars="200"/>
        <w:rPr>
          <w:rFonts w:ascii="仿宋" w:eastAsia="仿宋" w:hAnsi="仿宋" w:cs="仿宋" w:hint="eastAsia"/>
          <w:sz w:val="28"/>
          <w:lang w:eastAsia="zh-CN"/>
        </w:rPr>
      </w:pPr>
      <w:bookmarkStart w:id="8" w:name="_Toc750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为了确保氮肥项目的有效管理和不断优化，我们采用了精心设计的绩效评估周期。这个周期旨在实现灵活、实时和全面的评估，以适应氮肥项目执行中的各种挑战。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肥项目的不同需求，分为短期、中期和长期。短期评估关注每个迭代或工作周期，以及时发现和解决当前任务中的问题。中期评估涵盖几个迭代，深入了解整体氮肥项目的趋势和性能。长期评估则着眼于整个氮肥项目阶段，确保氮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肥项目管理工具和协作平台，团队成员能够随时更新和分享氮肥项目数据。这种实时性的反馈机制使我们能够及时察觉潜在问题，快速调整，保持氮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肥项目的决策制定密不可分。每个周期的氮肥项目回顾会议成为集体总结经验、识别问题深层次原因并找到创新解决方案的平台。这种定期的反思与调整机制使氮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970"/>
      <w:r>
        <w:rPr>
          <w:rFonts w:ascii="仿宋" w:eastAsia="仿宋" w:hAnsi="仿宋" w:cs="仿宋" w:hint="eastAsia"/>
          <w:sz w:val="28"/>
          <w:lang w:eastAsia="zh-CN"/>
        </w:rPr>
        <w:t>三、氮肥项目文档管理</w:t>
      </w:r>
      <w:bookmarkEnd w:id="9"/>
    </w:p>
    <w:p>
      <w:pPr>
        <w:pStyle w:val="Heading2"/>
        <w:rPr>
          <w:rFonts w:ascii="仿宋" w:eastAsia="仿宋" w:hAnsi="仿宋" w:cs="仿宋" w:hint="eastAsia"/>
          <w:lang w:eastAsia="zh-CN"/>
        </w:rPr>
      </w:pPr>
      <w:bookmarkStart w:id="10" w:name="_Toc1984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氮肥项目高度重视文档的质量和准确性，以支持氮肥项目的各项活动和决策。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文档的编制始于氮肥项目计划的初期，我们制定了详细的文档编制计划，明确了每个文档的内容、格式和编写责任人。在氮肥项目启动阶段，我们首先编制了氮肥项目章程，明确定义了氮肥项目的目标、范围、风险等关键要素。随后，氮肥项目团队根据计划陆续编制了需求文档、设计文档、测试文档等各类文档，确保氮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肥项目管理中的重要环节，旨在确保氮肥项目文档符合质量标准和氮肥项目需求。在氮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除了内部审查，我们还进行了外部审查，邀请氮肥项目相关利益方和专业领域的专家对文档进行独立审查。这有助于获取更全面、客观的反馈，确保氮肥项目文档不仅符合内部标准，也满足外部需求。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氮肥项目在文档编制与审查方面建立了严格的管理机制，通过规范的流程和多维度的审查，确保氮肥项目文档的质量、准确性和可靠性，为氮肥项目的顺利推进提供了有力支持。</w:t>
      </w:r>
    </w:p>
    <w:p>
      <w:pPr>
        <w:pStyle w:val="Heading2"/>
        <w:ind w:firstLine="560" w:firstLineChars="200"/>
        <w:rPr>
          <w:rFonts w:ascii="仿宋" w:eastAsia="仿宋" w:hAnsi="仿宋" w:cs="仿宋" w:hint="eastAsia"/>
          <w:sz w:val="28"/>
          <w:lang w:eastAsia="zh-CN"/>
        </w:rPr>
      </w:pPr>
      <w:bookmarkStart w:id="11" w:name="_Toc323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我们通过多渠道发布文档，包括电子邮件、氮肥项目管理平台、内部网站等，以满足不同团队成员的偏好和需求。多渠道发布确保了信息的全面覆盖。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240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文档存档与归档是氮肥项目生命周期中一个至关重要的环节，直接关系到氮肥项目信息的长期保存和历史记录的完整性。在氮肥项目中，我们实施了一系列有效的文档存档与归档管理策略：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383"/>
      <w:r>
        <w:rPr>
          <w:rFonts w:ascii="仿宋" w:eastAsia="仿宋" w:hAnsi="仿宋" w:cs="仿宋" w:hint="eastAsia"/>
          <w:sz w:val="28"/>
          <w:lang w:eastAsia="zh-CN"/>
        </w:rPr>
        <w:t>四、氮肥项目概论</w:t>
      </w:r>
      <w:bookmarkEnd w:id="13"/>
    </w:p>
    <w:p>
      <w:pPr>
        <w:pStyle w:val="Heading2"/>
        <w:rPr>
          <w:rFonts w:ascii="仿宋" w:eastAsia="仿宋" w:hAnsi="仿宋" w:cs="仿宋" w:hint="eastAsia"/>
          <w:lang w:eastAsia="zh-CN"/>
        </w:rPr>
      </w:pPr>
      <w:bookmarkStart w:id="14" w:name="_Toc991"/>
      <w:r>
        <w:rPr>
          <w:rFonts w:ascii="仿宋" w:eastAsia="仿宋" w:hAnsi="仿宋" w:cs="仿宋" w:hint="eastAsia"/>
          <w:lang w:eastAsia="zh-CN"/>
        </w:rPr>
        <w:t>(一)、氮肥项目概况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起源追溯至对市场的深入洞察。市场的不断演变与变革为氮肥项目提供了难得的机遇。当前市场存在的需求缺口和变革的大环境共同构成了氮肥项目的背景。这个氮肥项目旨在充分利用市场机遇，填补行业中尚未满足的需求，为客户提供全新的解决方案。市场的变革和需求的增长使得这个氮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氮肥项目名称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氮肥项目正式命名为氮肥。这个名称不仅仅是一个标识，更代表了氮肥项目的核心理念和愿景。它蕴含着氮肥项目所要解决问题的关键字，具有强烈的表达和辨识度，为氮肥项目树立了鲜明的品牌形象。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核心目标是提供一种全新、高效的解决方案，满足客户日益增长的需求。氮肥项目追求的不仅仅是满足市场需求，更是在市场中获得卓越的竞争优势。通过不断提升产品或服务的质量和创新水平，氮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全面涵盖了产品研发、制造、市场推广和售后服务，确保从产品设计到最终用户体验的全方位关注。这一全面的氮肥项目范围是为了确保氮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氮肥项目计划在未来18个月内完成，包括研发、测试、市场试点和正式推出等不同阶段。这个时间表的合理设计是为了确保氮肥项目各个阶段的顺利推进，以便按时交付高质量的成果。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氮肥项目总预算估算为XX百万美元，主要分配在研发、市场推广、人员培训和运营等方面。这一充足的预算为氮肥项目提供了充足的资源，确保氮肥项目在各个方面都能取得优异的表现。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氮肥项目风险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氮肥项目可能面临的风险包括市场接受度低、技术难题、竞争激烈等。氮肥项目团队已经制定了相应的风险应对计划，通过前瞻性的风险管理，确保氮肥项目在面对不确定性时能够迅速做出应对。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氮肥项目汇聚了一支经验丰富、多领域专业素养的核心团队，确保氮肥项目在各个方面都能拥有高水平的执行力。团队的协同作战是氮肥项目成功的关键因素之一。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氮肥项目的背景根植于市场对更高效、创新产品的渴望，同时也受到科技发展对行业格局的深刻改变的影响。这为氮肥项目提供了广阔的发展空间和市场需求。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截至目前，氮肥项目已完成市场调研和技术验证，取得了初步的成功。这为氮肥项目在未来的发展奠定了坚实的基础，为更远大的目标打下了坚实的基石。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028"/>
      <w:r>
        <w:rPr>
          <w:rFonts w:ascii="仿宋" w:eastAsia="仿宋" w:hAnsi="仿宋" w:cs="仿宋" w:hint="eastAsia"/>
          <w:sz w:val="28"/>
          <w:lang w:eastAsia="zh-CN"/>
        </w:rPr>
        <w:t>(二)、氮肥项目目标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keyword》氮肥项目首要业务目标是在市场中占据有利地位，实现产品/服务的成功推广和销售。通过不断提升产品质量、创新性，氮肥项目追求成为行业中的领导者，赢得更多客户的青睐。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在科技迅速发展的时代，氮肥项目着眼于技术创新。通过持续的研发和技术升级，氮肥项目旨在推出更具创新性的产品或服务，以满足市场对新鲜、先进解决方案的需求。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为了建立可持续的客户关系，氮肥项目设定了客户满意度目标。通过提供卓越的产品质量和优质的客户服务，氮肥项目追求赢得客户的信任和忠诚度，确保他们的满意度达到行业领先水平。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氮肥项目注重社会责任和可持续发展。通过实施环保、社会责任氮肥项目，氮肥项目致力于在经济发展的同时保护环境，促进社会公平，实现可持续经营。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氮肥项目的团队是实现目标的核心驱动力。因此，氮肥项目设定了团队发展目标，包括提升团队成员的专业技能、培养领导力，以及搭建协同高效的团队工作氛围。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075"/>
      <w:r>
        <w:rPr>
          <w:rFonts w:ascii="仿宋" w:eastAsia="仿宋" w:hAnsi="仿宋" w:cs="仿宋" w:hint="eastAsia"/>
          <w:sz w:val="28"/>
          <w:lang w:eastAsia="zh-CN"/>
        </w:rPr>
        <w:t>(三)、氮肥项目提出的理由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氮肥项目提出的理由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源于对市场机遇的深刻洞察。当前市场中存在的需求缺口和行业发展趋势表明，有巨大的商业机会等待被开发。通过准确捕捉市场机遇，氮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理念基于对技术创新的信仰。通过持续的研发和技术投入，氮肥项目有望推出更具创新性的产品或服务。在科技飞速发展的当下，氮肥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是为了增强企业的行业竞争力。通过提升产品或服务的质量和独特性，氮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响应了消费者需求的变化。随着社会和科技的不断发展，消费者对产品和服务的需求也在发生变化。通过深入了解并及时回应消费者的新需求，氮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氮肥项目的提出是企业战略发展规划的一部分。在面对日益激烈的市场竞争和不断变化的商业环境中，氮肥项目作为企业战略的一环，旨在为企业开辟新的增长领域，巩固企业在行业中的地位。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氮肥项目的提出不仅仅是基于商业考量，还注重社会责任。通过推出环保、社会责任等方面的氮肥项目，氮肥企业可以在社会中树立积极形象，为社会做出积极贡献，实现经济效益和社会效益的双赢。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氮肥项目的提出反映了对利益相关者期望的关注。包括客户、员工、投资者等利益相关者在企业发展中都有着各自的期望，氮肥项目力求在满足这些期望的同时，取得更大的共赢。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3304"/>
      <w:r>
        <w:rPr>
          <w:rFonts w:ascii="仿宋" w:eastAsia="仿宋" w:hAnsi="仿宋" w:cs="仿宋" w:hint="eastAsia"/>
          <w:sz w:val="28"/>
          <w:lang w:eastAsia="zh-CN"/>
        </w:rPr>
        <w:t>(四)、氮肥项目意义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首要意义在于提升企业的市场竞争力。通过持续的创新和对产品质量的高标准要求，氮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肥项目的推进将促使行业技术水平的提升。通过引入先进技术和创新性解决方案，氮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在社会层面，氮肥项目不仅创造了大量就业机会，提高了就业水平，还注重社会责任和环保。通过参与社会公益事业和推动环保氮肥项目，氮肥项目为社会贡献了一份力量，体现了企业对社会的积极回馈。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2562"/>
      <w:r>
        <w:rPr>
          <w:rFonts w:ascii="仿宋" w:eastAsia="仿宋" w:hAnsi="仿宋" w:cs="仿宋" w:hint="eastAsia"/>
          <w:sz w:val="28"/>
          <w:lang w:eastAsia="zh-CN"/>
        </w:rPr>
        <w:t>(五)、氮肥项目背景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https://d.book118.com/846035111031010043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A1BA9"/>
    <w:rsid w:val="4E1A1B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3511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2024-01-31T09:55:00Z</dcterms:created>
  <dcterms:modified xsi:type="dcterms:W3CDTF">2024-01-31T09:55:42Z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58260598D7F349C081838FBB4DBD24DA_11</vt:lpwstr>
  </property>
  <property fmtid="{D5CDD505-2E9C-101B-9397-08002B2CF9AE}" pid="3" name="KSOProductBuildVer">
    <vt:lpwstr>2052-12.1.0.16250</vt:lpwstr>
  </property>
</Properties>
</file>