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2"/>
        <w:ind w:left="1178"/>
        <w:rPr>
          <w:rFonts w:ascii="Times New Roman"/>
        </w:rPr>
      </w:pPr>
      <w:r>
        <w:rPr>
          <w:rFonts w:ascii="Times New Roman"/>
        </w:rPr>
        <w:t>ICS 03.080</w:t>
      </w:r>
    </w:p>
    <w:p>
      <w:pPr>
        <w:pStyle w:val="BodyText"/>
        <w:spacing w:before="71"/>
        <w:ind w:left="1178"/>
        <w:rPr>
          <w:rFonts w:ascii="Times New Roman"/>
        </w:rPr>
      </w:pPr>
      <w:r>
        <w:rPr>
          <w:rFonts w:ascii="Times New Roman"/>
        </w:rPr>
        <w:t>A 12</w:t>
      </w:r>
    </w:p>
    <w:p>
      <w:pPr>
        <w:pStyle w:val="Title"/>
      </w:pPr>
      <w:r>
        <w:rPr>
          <w:b w:val="0"/>
        </w:rPr>
        <w:br w:type="column"/>
      </w:r>
      <w:r>
        <w:rPr>
          <w:w w:val="130"/>
        </w:rPr>
        <w:t>DB4401</w:t>
      </w:r>
    </w:p>
    <w:p>
      <w:pPr>
        <w:spacing w:after="0"/>
        <w:sectPr>
          <w:type w:val="continuous"/>
          <w:pgSz w:w="11910" w:h="16840"/>
          <w:pgMar w:top="520" w:right="260" w:bottom="280" w:left="240" w:header="708" w:footer="708"/>
          <w:cols w:num="2" w:space="708" w:equalWidth="0">
            <w:col w:w="2228" w:space="3037"/>
            <w:col w:w="6145" w:space="0"/>
          </w:cols>
        </w:sectPr>
      </w:pPr>
    </w:p>
    <w:p>
      <w:pPr>
        <w:pStyle w:val="BodyText"/>
        <w:spacing w:before="10"/>
        <w:rPr>
          <w:rFonts w:ascii="Times New Roman"/>
          <w:b/>
          <w:sz w:val="19"/>
        </w:rPr>
      </w:pPr>
    </w:p>
    <w:p>
      <w:pPr>
        <w:tabs>
          <w:tab w:val="left" w:pos="2719"/>
          <w:tab w:val="left" w:pos="4257"/>
          <w:tab w:val="left" w:pos="5798"/>
          <w:tab w:val="left" w:pos="7336"/>
          <w:tab w:val="left" w:pos="8877"/>
          <w:tab w:val="left" w:pos="10415"/>
        </w:tabs>
        <w:spacing w:before="32"/>
        <w:ind w:left="1178" w:right="0" w:firstLine="0"/>
        <w:jc w:val="left"/>
        <w:rPr>
          <w:rFonts w:ascii="黑体" w:eastAsia="黑体" w:hint="eastAsia"/>
          <w:sz w:val="48"/>
        </w:rPr>
      </w:pPr>
      <w:r>
        <w:rPr>
          <w:rFonts w:ascii="黑体" w:eastAsia="黑体" w:hint="eastAsia"/>
          <w:sz w:val="48"/>
        </w:rPr>
        <w:t>广</w:t>
        <w:tab/>
        <w:t>州</w:t>
        <w:tab/>
        <w:t>市</w:t>
        <w:tab/>
        <w:t>地</w:t>
        <w:tab/>
        <w:t>方</w:t>
        <w:tab/>
        <w:t>标</w:t>
        <w:tab/>
        <w:t>准</w:t>
      </w:r>
    </w:p>
    <w:p>
      <w:pPr>
        <w:pStyle w:val="BodyText"/>
        <w:spacing w:before="8"/>
        <w:rPr>
          <w:rFonts w:ascii="黑体"/>
          <w:sz w:val="18"/>
        </w:rPr>
      </w:pPr>
    </w:p>
    <w:p>
      <w:pPr>
        <w:spacing w:before="62"/>
        <w:ind w:left="0" w:right="555" w:firstLine="0"/>
        <w:jc w:val="right"/>
        <w:rPr>
          <w:rFonts w:ascii="黑体"/>
          <w:sz w:val="28"/>
        </w:rPr>
      </w:pPr>
      <w:r>
        <w:rPr>
          <w:rFonts w:ascii="黑体"/>
          <w:sz w:val="28"/>
        </w:rPr>
        <w:t>DB4401/T</w:t>
      </w:r>
      <w:r>
        <w:rPr>
          <w:rFonts w:ascii="黑体"/>
          <w:spacing w:val="-5"/>
          <w:sz w:val="28"/>
        </w:rPr>
        <w:t xml:space="preserve"> </w:t>
      </w:r>
      <w:r>
        <w:rPr>
          <w:rFonts w:ascii="黑体"/>
          <w:sz w:val="28"/>
        </w:rPr>
        <w:t>143-2022</w:t>
      </w:r>
    </w:p>
    <w:p>
      <w:pPr>
        <w:pStyle w:val="BodyText"/>
        <w:rPr>
          <w:rFonts w:ascii="黑体"/>
          <w:sz w:val="20"/>
        </w:rPr>
      </w:pPr>
    </w:p>
    <w:p>
      <w:pPr>
        <w:pStyle w:val="BodyText"/>
        <w:spacing w:before="4"/>
        <w:rPr>
          <w:rFonts w:ascii="黑体"/>
          <w:sz w:val="23"/>
        </w:rPr>
      </w:pPr>
      <w:r>
        <w:pict>
          <v:rect id="_x0000_s1025" style="width:482pt;height:1pt;margin-top:16.9pt;margin-left:70.15pt;mso-position-horizontal-relative:page;mso-wrap-distance-left:0;mso-wrap-distance-right:0;position:absolute;z-index:-251657216" filled="t" fillcolor="black" stroked="f">
            <v:fill type="solid"/>
            <w10:wrap type="topAndBottom"/>
          </v:rect>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4"/>
        <w:rPr>
          <w:rFonts w:ascii="黑体"/>
          <w:sz w:val="33"/>
        </w:rPr>
      </w:pPr>
    </w:p>
    <w:p>
      <w:pPr>
        <w:spacing w:before="1"/>
        <w:ind w:left="348" w:right="0" w:firstLine="0"/>
        <w:jc w:val="center"/>
        <w:rPr>
          <w:rFonts w:ascii="黑体" w:eastAsia="黑体" w:hint="eastAsia"/>
          <w:sz w:val="52"/>
        </w:rPr>
      </w:pPr>
      <w:r>
        <w:rPr>
          <w:rFonts w:ascii="黑体" w:eastAsia="黑体" w:hint="eastAsia"/>
          <w:sz w:val="52"/>
        </w:rPr>
        <w:t>养老机构护理等级评定规范</w:t>
      </w:r>
    </w:p>
    <w:p>
      <w:pPr>
        <w:spacing w:before="158"/>
        <w:ind w:left="368" w:right="0" w:firstLine="0"/>
        <w:jc w:val="center"/>
        <w:rPr>
          <w:rFonts w:ascii="Times New Roman"/>
          <w:sz w:val="28"/>
        </w:rPr>
      </w:pPr>
      <w:r>
        <w:pict>
          <v:group id="_x0000_s1026" style="width:560pt;height:384pt;margin-top:64.63pt;margin-left:17pt;mso-position-horizontal-relative:page;position:absolute;z-index:251658240" coordorigin="340,1293" coordsize="11200,7680">
            <v:rect id="_x0000_s1027" style="width:9640;height:20;left:1433;position:absolute;top:7737" filled="t" fillcolor="black" stroked="f">
              <v:fill typ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1200;height:7680;left:340;position:absolute;top:1292" stroked="f">
              <v:imagedata r:id="rId4" o:title=""/>
            </v:shape>
          </v:group>
        </w:pict>
      </w:r>
      <w:r>
        <w:rPr>
          <w:rFonts w:ascii="Times New Roman"/>
          <w:color w:val="0D0508"/>
          <w:sz w:val="28"/>
        </w:rPr>
        <w:t>Nursing care grade evaluation specification for senior care organization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6"/>
        </w:rPr>
      </w:pPr>
      <w:r>
        <w:pict>
          <v:group id="_x0000_s1029" style="width:482.95pt;height:57.75pt;margin-top:16.95pt;margin-left:70.92pt;mso-position-horizontal-relative:page;mso-wrap-distance-left:0;mso-wrap-distance-right:0;position:absolute;z-index:-251656192" coordorigin="1418,339" coordsize="9659,1155">
            <v:shapetype id="_x0000_t202" coordsize="21600,21600" o:spt="202" path="m,l,21600r21600,l21600,xe">
              <v:stroke joinstyle="miter"/>
              <v:path gradientshapeok="t" o:connecttype="rect"/>
            </v:shapetype>
            <v:shape id="_x0000_s1030" type="#_x0000_t202" style="width:2051;height:281;left:1418;position:absolute;top:339"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2022-01-21</w:t>
                    </w:r>
                    <w:r>
                      <w:rPr>
                        <w:rFonts w:ascii="黑体" w:eastAsia="黑体" w:hint="eastAsia"/>
                        <w:spacing w:val="-25"/>
                        <w:sz w:val="28"/>
                      </w:rPr>
                      <w:t xml:space="preserve"> 发布</w:t>
                    </w:r>
                  </w:p>
                </w:txbxContent>
              </v:textbox>
            </v:shape>
            <v:shape id="_x0000_s1031" type="#_x0000_t202" style="width:2051;height:281;left:9026;position:absolute;top:339"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2022-03-01</w:t>
                    </w:r>
                    <w:r>
                      <w:rPr>
                        <w:rFonts w:ascii="黑体" w:eastAsia="黑体" w:hint="eastAsia"/>
                        <w:spacing w:val="-25"/>
                        <w:sz w:val="28"/>
                      </w:rPr>
                      <w:t xml:space="preserve"> 实施</w:t>
                    </w:r>
                  </w:p>
                </w:txbxContent>
              </v:textbox>
            </v:shape>
            <v:shape id="_x0000_s1032" type="#_x0000_t202" style="width:4143;height:281;left:3556;position:absolute;top:121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w w:val="135"/>
                        <w:sz w:val="28"/>
                      </w:rPr>
                      <w:t>广州市市场监督管理局</w:t>
                    </w:r>
                  </w:p>
                </w:txbxContent>
              </v:textbox>
            </v:shape>
            <v:shape id="_x0000_s1033" type="#_x0000_t202" style="width:625;height:281;left:8270;position:absolute;top:1181"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发布</w:t>
                    </w:r>
                  </w:p>
                </w:txbxContent>
              </v:textbox>
            </v:shape>
            <w10:wrap type="topAndBottom"/>
          </v:group>
        </w:pict>
      </w:r>
    </w:p>
    <w:p>
      <w:pPr>
        <w:spacing w:after="0"/>
        <w:rPr>
          <w:rFonts w:ascii="Times New Roman"/>
          <w:sz w:val="26"/>
        </w:rPr>
        <w:sectPr>
          <w:type w:val="continuous"/>
          <w:pgSz w:w="11910" w:h="16840"/>
          <w:pgMar w:top="520" w:right="260" w:bottom="280" w:left="240" w:header="708" w:footer="708"/>
          <w:pgNumType w:start="2"/>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rPr>
      </w:pPr>
    </w:p>
    <w:p>
      <w:pPr>
        <w:pStyle w:val="BodyText"/>
        <w:ind w:left="2860"/>
        <w:rPr>
          <w:rFonts w:ascii="Times New Roman"/>
          <w:sz w:val="20"/>
        </w:rPr>
      </w:pPr>
      <w:bookmarkStart w:id="0" w:name="空白页面"/>
      <w:bookmarkEnd w:id="0"/>
      <w:r>
        <w:rPr>
          <w:rFonts w:ascii="Times New Roman"/>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Times New Roman"/>
          <w:sz w:val="20"/>
        </w:rPr>
        <w:sectPr>
          <w:pgSz w:w="11910" w:h="16840"/>
          <w:pgMar w:top="1580" w:right="260" w:bottom="280" w:left="240" w:header="708" w:footer="708"/>
          <w:pgNumType w:start="3"/>
          <w:cols w:space="708"/>
        </w:sectPr>
      </w:pPr>
    </w:p>
    <w:p>
      <w:pPr>
        <w:pStyle w:val="BodyText"/>
        <w:spacing w:before="59"/>
        <w:ind w:right="872"/>
        <w:jc w:val="right"/>
        <w:rPr>
          <w:rFonts w:ascii="黑体" w:hAnsi="黑体"/>
        </w:rPr>
      </w:pPr>
      <w:r>
        <w:rPr>
          <w:rFonts w:ascii="黑体" w:hAnsi="黑体"/>
        </w:rPr>
        <w:t>DB4401/T 143</w:t>
      </w:r>
      <w:r>
        <w:rPr>
          <w:rFonts w:ascii="Times New Roman" w:hAnsi="Times New Roman"/>
        </w:rPr>
        <w:t>—</w:t>
      </w:r>
      <w:r>
        <w:rPr>
          <w:rFonts w:ascii="黑体" w:hAnsi="黑体"/>
        </w:rPr>
        <w:t>2022</w:t>
      </w:r>
    </w:p>
    <w:p>
      <w:pPr>
        <w:pStyle w:val="BodyText"/>
        <w:rPr>
          <w:rFonts w:ascii="黑体"/>
          <w:sz w:val="20"/>
        </w:rPr>
      </w:pPr>
    </w:p>
    <w:p>
      <w:pPr>
        <w:pStyle w:val="BodyText"/>
        <w:rPr>
          <w:rFonts w:ascii="黑体"/>
          <w:sz w:val="20"/>
        </w:rPr>
      </w:pPr>
    </w:p>
    <w:p>
      <w:pPr>
        <w:pStyle w:val="BodyText"/>
        <w:spacing w:before="10"/>
        <w:rPr>
          <w:rFonts w:ascii="黑体"/>
          <w:sz w:val="23"/>
        </w:rPr>
      </w:pPr>
    </w:p>
    <w:p>
      <w:pPr>
        <w:pStyle w:val="Heading1"/>
        <w:tabs>
          <w:tab w:val="left" w:pos="1262"/>
        </w:tabs>
      </w:pPr>
      <w:bookmarkStart w:id="1" w:name="目  次"/>
      <w:bookmarkEnd w:id="1"/>
      <w:r>
        <w:t>目</w:t>
        <w:tab/>
        <w:t>次</w:t>
      </w:r>
    </w:p>
    <w:p>
      <w:pPr>
        <w:pStyle w:val="BodyText"/>
        <w:rPr>
          <w:rFonts w:ascii="黑体"/>
          <w:sz w:val="32"/>
        </w:rPr>
      </w:pPr>
    </w:p>
    <w:p>
      <w:pPr>
        <w:pStyle w:val="BodyText"/>
        <w:rPr>
          <w:rFonts w:ascii="黑体"/>
          <w:sz w:val="32"/>
        </w:rPr>
      </w:pPr>
    </w:p>
    <w:p>
      <w:pPr>
        <w:pStyle w:val="BodyText"/>
        <w:tabs>
          <w:tab w:val="left" w:leader="dot" w:pos="10322"/>
        </w:tabs>
        <w:spacing w:before="255"/>
        <w:ind w:left="1178"/>
      </w:pPr>
      <w:r>
        <w:t>前言</w:t>
      </w:r>
      <w:r>
        <w:rPr>
          <w:rFonts w:ascii="Times New Roman" w:eastAsia="Times New Roman" w:hAnsi="Times New Roman"/>
        </w:rPr>
        <w:tab/>
      </w:r>
      <w:r>
        <w:t>Ⅱ</w:t>
      </w:r>
    </w:p>
    <w:p>
      <w:pPr>
        <w:pStyle w:val="ListParagraph"/>
        <w:numPr>
          <w:ilvl w:val="0"/>
          <w:numId w:val="13"/>
        </w:numPr>
        <w:tabs>
          <w:tab w:val="left" w:pos="1493"/>
          <w:tab w:val="right" w:leader="dot" w:pos="10532"/>
        </w:tabs>
        <w:spacing w:before="122" w:after="0" w:line="240" w:lineRule="auto"/>
        <w:ind w:left="1492" w:right="0" w:hanging="315"/>
        <w:jc w:val="left"/>
        <w:rPr>
          <w:sz w:val="20"/>
        </w:rPr>
      </w:pPr>
      <w:r>
        <w:rPr>
          <w:sz w:val="21"/>
        </w:rPr>
        <w:t>范围</w:t>
      </w:r>
      <w:r>
        <w:rPr>
          <w:rFonts w:ascii="Times New Roman" w:eastAsia="Times New Roman"/>
          <w:sz w:val="21"/>
        </w:rPr>
        <w:tab/>
      </w:r>
      <w:r>
        <w:rPr>
          <w:sz w:val="20"/>
        </w:rPr>
        <w:t>1</w:t>
      </w:r>
    </w:p>
    <w:p>
      <w:pPr>
        <w:pStyle w:val="ListParagraph"/>
        <w:numPr>
          <w:ilvl w:val="0"/>
          <w:numId w:val="13"/>
        </w:numPr>
        <w:tabs>
          <w:tab w:val="left" w:pos="1493"/>
          <w:tab w:val="right" w:leader="dot" w:pos="10532"/>
        </w:tabs>
        <w:spacing w:before="123" w:after="0" w:line="240" w:lineRule="auto"/>
        <w:ind w:left="1492" w:right="0" w:hanging="315"/>
        <w:jc w:val="left"/>
        <w:rPr>
          <w:sz w:val="20"/>
        </w:rPr>
      </w:pPr>
      <w:r>
        <w:rPr>
          <w:sz w:val="21"/>
        </w:rPr>
        <w:t>规范性引用文件</w:t>
      </w:r>
      <w:r>
        <w:rPr>
          <w:rFonts w:ascii="Times New Roman" w:eastAsia="Times New Roman"/>
          <w:sz w:val="21"/>
        </w:rPr>
        <w:tab/>
      </w:r>
      <w:r>
        <w:rPr>
          <w:sz w:val="20"/>
        </w:rPr>
        <w:t>1</w:t>
      </w:r>
    </w:p>
    <w:p>
      <w:pPr>
        <w:pStyle w:val="ListParagraph"/>
        <w:numPr>
          <w:ilvl w:val="0"/>
          <w:numId w:val="13"/>
        </w:numPr>
        <w:tabs>
          <w:tab w:val="left" w:pos="1493"/>
          <w:tab w:val="right" w:leader="dot" w:pos="10532"/>
        </w:tabs>
        <w:spacing w:before="119" w:after="0" w:line="240" w:lineRule="auto"/>
        <w:ind w:left="1492" w:right="0" w:hanging="315"/>
        <w:jc w:val="left"/>
        <w:rPr>
          <w:sz w:val="20"/>
        </w:rPr>
      </w:pPr>
      <w:r>
        <w:rPr>
          <w:sz w:val="21"/>
        </w:rPr>
        <w:t>术语和定义</w:t>
      </w:r>
      <w:r>
        <w:rPr>
          <w:rFonts w:ascii="Times New Roman" w:eastAsia="Times New Roman"/>
          <w:sz w:val="21"/>
        </w:rPr>
        <w:tab/>
      </w:r>
      <w:r>
        <w:rPr>
          <w:sz w:val="20"/>
        </w:rPr>
        <w:t>1</w:t>
      </w:r>
    </w:p>
    <w:p>
      <w:pPr>
        <w:pStyle w:val="ListParagraph"/>
        <w:numPr>
          <w:ilvl w:val="0"/>
          <w:numId w:val="13"/>
        </w:numPr>
        <w:tabs>
          <w:tab w:val="left" w:pos="1493"/>
          <w:tab w:val="right" w:leader="dot" w:pos="10532"/>
        </w:tabs>
        <w:spacing w:before="120" w:after="0" w:line="240" w:lineRule="auto"/>
        <w:ind w:left="1492" w:right="0" w:hanging="315"/>
        <w:jc w:val="left"/>
        <w:rPr>
          <w:sz w:val="21"/>
        </w:rPr>
      </w:pPr>
      <w:r>
        <w:rPr>
          <w:sz w:val="21"/>
        </w:rPr>
        <w:t>总则</w:t>
      </w:r>
      <w:r>
        <w:rPr>
          <w:rFonts w:ascii="Times New Roman" w:eastAsia="Times New Roman"/>
          <w:sz w:val="21"/>
        </w:rPr>
        <w:tab/>
      </w:r>
      <w:r>
        <w:rPr>
          <w:sz w:val="21"/>
        </w:rPr>
        <w:t>2</w:t>
      </w:r>
    </w:p>
    <w:p>
      <w:pPr>
        <w:pStyle w:val="ListParagraph"/>
        <w:numPr>
          <w:ilvl w:val="0"/>
          <w:numId w:val="13"/>
        </w:numPr>
        <w:tabs>
          <w:tab w:val="left" w:pos="1493"/>
          <w:tab w:val="right" w:leader="dot" w:pos="10532"/>
        </w:tabs>
        <w:spacing w:before="122" w:after="0" w:line="240" w:lineRule="auto"/>
        <w:ind w:left="1492" w:right="0" w:hanging="315"/>
        <w:jc w:val="left"/>
        <w:rPr>
          <w:sz w:val="20"/>
        </w:rPr>
      </w:pPr>
      <w:r>
        <w:rPr>
          <w:sz w:val="21"/>
        </w:rPr>
        <w:t>评估指标</w:t>
      </w:r>
      <w:r>
        <w:rPr>
          <w:rFonts w:ascii="Times New Roman" w:eastAsia="Times New Roman"/>
          <w:sz w:val="21"/>
        </w:rPr>
        <w:tab/>
      </w:r>
      <w:r>
        <w:rPr>
          <w:sz w:val="20"/>
        </w:rPr>
        <w:t>2</w:t>
      </w:r>
    </w:p>
    <w:p>
      <w:pPr>
        <w:pStyle w:val="ListParagraph"/>
        <w:numPr>
          <w:ilvl w:val="1"/>
          <w:numId w:val="13"/>
        </w:numPr>
        <w:tabs>
          <w:tab w:val="left" w:pos="1904"/>
          <w:tab w:val="right" w:leader="dot" w:pos="10532"/>
        </w:tabs>
        <w:spacing w:before="122" w:after="0" w:line="240" w:lineRule="auto"/>
        <w:ind w:left="1903" w:right="0" w:hanging="527"/>
        <w:jc w:val="left"/>
        <w:rPr>
          <w:sz w:val="20"/>
        </w:rPr>
      </w:pPr>
      <w:r>
        <w:rPr>
          <w:sz w:val="21"/>
        </w:rPr>
        <w:t>指标构成</w:t>
      </w:r>
      <w:r>
        <w:rPr>
          <w:rFonts w:ascii="Times New Roman" w:eastAsia="Times New Roman"/>
          <w:sz w:val="21"/>
        </w:rPr>
        <w:tab/>
      </w:r>
      <w:r>
        <w:rPr>
          <w:sz w:val="20"/>
        </w:rPr>
        <w:t>2</w:t>
      </w:r>
    </w:p>
    <w:p>
      <w:pPr>
        <w:pStyle w:val="ListParagraph"/>
        <w:numPr>
          <w:ilvl w:val="1"/>
          <w:numId w:val="13"/>
        </w:numPr>
        <w:tabs>
          <w:tab w:val="left" w:pos="1904"/>
          <w:tab w:val="right" w:leader="dot" w:pos="10532"/>
        </w:tabs>
        <w:spacing w:before="43" w:after="0" w:line="240" w:lineRule="auto"/>
        <w:ind w:left="1903" w:right="0" w:hanging="527"/>
        <w:jc w:val="left"/>
        <w:rPr>
          <w:sz w:val="20"/>
        </w:rPr>
      </w:pPr>
      <w:r>
        <w:rPr>
          <w:sz w:val="21"/>
        </w:rPr>
        <w:t>评估标准</w:t>
      </w:r>
      <w:r>
        <w:rPr>
          <w:rFonts w:ascii="Times New Roman" w:eastAsia="Times New Roman"/>
          <w:sz w:val="21"/>
        </w:rPr>
        <w:tab/>
      </w:r>
      <w:r>
        <w:rPr>
          <w:sz w:val="20"/>
        </w:rPr>
        <w:t>2</w:t>
      </w:r>
    </w:p>
    <w:p>
      <w:pPr>
        <w:pStyle w:val="ListParagraph"/>
        <w:numPr>
          <w:ilvl w:val="0"/>
          <w:numId w:val="13"/>
        </w:numPr>
        <w:tabs>
          <w:tab w:val="left" w:pos="1493"/>
          <w:tab w:val="right" w:leader="dot" w:pos="10532"/>
        </w:tabs>
        <w:spacing w:before="120" w:after="0" w:line="240" w:lineRule="auto"/>
        <w:ind w:left="1492" w:right="0" w:hanging="315"/>
        <w:jc w:val="left"/>
        <w:rPr>
          <w:sz w:val="20"/>
        </w:rPr>
      </w:pPr>
      <w:r>
        <w:rPr>
          <w:sz w:val="21"/>
        </w:rPr>
        <w:t>评估要求及实施</w:t>
      </w:r>
      <w:r>
        <w:rPr>
          <w:rFonts w:ascii="Times New Roman" w:eastAsia="Times New Roman"/>
          <w:sz w:val="21"/>
        </w:rPr>
        <w:tab/>
      </w:r>
      <w:r>
        <w:rPr>
          <w:sz w:val="20"/>
        </w:rPr>
        <w:t>3</w:t>
      </w:r>
    </w:p>
    <w:p>
      <w:pPr>
        <w:pStyle w:val="ListParagraph"/>
        <w:numPr>
          <w:ilvl w:val="1"/>
          <w:numId w:val="13"/>
        </w:numPr>
        <w:tabs>
          <w:tab w:val="left" w:pos="1904"/>
          <w:tab w:val="right" w:leader="dot" w:pos="10532"/>
        </w:tabs>
        <w:spacing w:before="122" w:after="0" w:line="240" w:lineRule="auto"/>
        <w:ind w:left="1903" w:right="0" w:hanging="527"/>
        <w:jc w:val="left"/>
        <w:rPr>
          <w:sz w:val="20"/>
        </w:rPr>
      </w:pPr>
      <w:r>
        <w:rPr>
          <w:sz w:val="21"/>
        </w:rPr>
        <w:t>评估要求</w:t>
      </w:r>
      <w:r>
        <w:rPr>
          <w:rFonts w:ascii="Times New Roman" w:eastAsia="Times New Roman"/>
          <w:sz w:val="21"/>
        </w:rPr>
        <w:tab/>
      </w:r>
      <w:r>
        <w:rPr>
          <w:sz w:val="20"/>
        </w:rPr>
        <w:t>3</w:t>
      </w:r>
    </w:p>
    <w:p>
      <w:pPr>
        <w:pStyle w:val="ListParagraph"/>
        <w:numPr>
          <w:ilvl w:val="1"/>
          <w:numId w:val="13"/>
        </w:numPr>
        <w:tabs>
          <w:tab w:val="left" w:pos="1904"/>
          <w:tab w:val="right" w:leader="dot" w:pos="10532"/>
        </w:tabs>
        <w:spacing w:before="43" w:after="0" w:line="240" w:lineRule="auto"/>
        <w:ind w:left="1903" w:right="0" w:hanging="527"/>
        <w:jc w:val="left"/>
        <w:rPr>
          <w:sz w:val="20"/>
        </w:rPr>
      </w:pPr>
      <w:r>
        <w:pict>
          <v:group id="_x0000_s1034" style="width:468.75pt;height:384pt;margin-top:22.06pt;margin-left:70.92pt;mso-position-horizontal-relative:page;mso-wrap-distance-left:0;mso-wrap-distance-right:0;position:absolute;z-index:-251654144" coordorigin="1418,441" coordsize="9375,7680">
            <v:shape id="_x0000_s1035" type="#_x0000_t202" style="width:9375;height:2961;left:1418;position:absolute;top:441" filled="f" stroked="f">
              <v:textbox inset="0,0,0,0">
                <w:txbxContent>
                  <w:p>
                    <w:pPr>
                      <w:numPr>
                        <w:ilvl w:val="0"/>
                        <w:numId w:val="12"/>
                      </w:numPr>
                      <w:tabs>
                        <w:tab w:val="left" w:pos="315"/>
                        <w:tab w:val="right" w:leader="dot" w:pos="9353"/>
                      </w:tabs>
                      <w:spacing w:before="0" w:line="260" w:lineRule="exact"/>
                      <w:ind w:left="314" w:right="0" w:hanging="315"/>
                      <w:jc w:val="left"/>
                      <w:rPr>
                        <w:sz w:val="20"/>
                      </w:rPr>
                    </w:pPr>
                    <w:r>
                      <w:rPr>
                        <w:sz w:val="21"/>
                      </w:rPr>
                      <w:t>评定等级划分与确定</w:t>
                    </w:r>
                    <w:r>
                      <w:rPr>
                        <w:rFonts w:ascii="Times New Roman" w:eastAsia="Times New Roman"/>
                        <w:sz w:val="21"/>
                      </w:rPr>
                      <w:tab/>
                    </w:r>
                    <w:r>
                      <w:rPr>
                        <w:sz w:val="20"/>
                      </w:rPr>
                      <w:t>3</w:t>
                    </w:r>
                  </w:p>
                  <w:p>
                    <w:pPr>
                      <w:numPr>
                        <w:ilvl w:val="0"/>
                        <w:numId w:val="12"/>
                      </w:numPr>
                      <w:tabs>
                        <w:tab w:val="left" w:pos="315"/>
                        <w:tab w:val="right" w:leader="dot" w:pos="9354"/>
                      </w:tabs>
                      <w:spacing w:before="119"/>
                      <w:ind w:left="314" w:right="0" w:hanging="315"/>
                      <w:jc w:val="left"/>
                      <w:rPr>
                        <w:sz w:val="21"/>
                      </w:rPr>
                    </w:pPr>
                    <w:r>
                      <w:rPr>
                        <w:sz w:val="21"/>
                      </w:rPr>
                      <w:t>评估质量监督与改进</w:t>
                    </w:r>
                    <w:r>
                      <w:rPr>
                        <w:rFonts w:ascii="Times New Roman" w:eastAsia="Times New Roman"/>
                        <w:sz w:val="21"/>
                      </w:rPr>
                      <w:tab/>
                    </w:r>
                    <w:r>
                      <w:rPr>
                        <w:sz w:val="21"/>
                      </w:rPr>
                      <w:t>4</w:t>
                    </w:r>
                  </w:p>
                  <w:p>
                    <w:pPr>
                      <w:tabs>
                        <w:tab w:val="right" w:leader="dot" w:pos="9353"/>
                      </w:tabs>
                      <w:spacing w:before="123"/>
                      <w:ind w:left="0" w:right="0" w:firstLine="0"/>
                      <w:jc w:val="left"/>
                      <w:rPr>
                        <w:sz w:val="20"/>
                      </w:rPr>
                    </w:pPr>
                    <w:r>
                      <w:rPr>
                        <w:sz w:val="21"/>
                      </w:rPr>
                      <w:t>附录</w:t>
                    </w:r>
                    <w:r>
                      <w:rPr>
                        <w:spacing w:val="-54"/>
                        <w:sz w:val="21"/>
                      </w:rPr>
                      <w:t xml:space="preserve"> </w:t>
                    </w:r>
                    <w:r>
                      <w:rPr>
                        <w:sz w:val="21"/>
                      </w:rPr>
                      <w:t xml:space="preserve">A（规范性） </w:t>
                    </w:r>
                    <w:r>
                      <w:rPr>
                        <w:spacing w:val="1"/>
                        <w:sz w:val="21"/>
                      </w:rPr>
                      <w:t xml:space="preserve"> </w:t>
                    </w:r>
                    <w:r>
                      <w:rPr>
                        <w:sz w:val="21"/>
                      </w:rPr>
                      <w:t>日常生活活动能力评估表</w:t>
                    </w:r>
                    <w:r>
                      <w:rPr>
                        <w:rFonts w:ascii="Times New Roman" w:eastAsia="Times New Roman"/>
                        <w:sz w:val="21"/>
                      </w:rPr>
                      <w:tab/>
                    </w:r>
                    <w:r>
                      <w:rPr>
                        <w:sz w:val="20"/>
                      </w:rPr>
                      <w:t>5</w:t>
                    </w:r>
                  </w:p>
                  <w:p>
                    <w:pPr>
                      <w:tabs>
                        <w:tab w:val="right" w:leader="dot" w:pos="9353"/>
                      </w:tabs>
                      <w:spacing w:before="122"/>
                      <w:ind w:left="0" w:right="0" w:firstLine="0"/>
                      <w:jc w:val="left"/>
                      <w:rPr>
                        <w:sz w:val="20"/>
                      </w:rPr>
                    </w:pPr>
                    <w:r>
                      <w:rPr>
                        <w:sz w:val="21"/>
                      </w:rPr>
                      <w:t>附录</w:t>
                    </w:r>
                    <w:r>
                      <w:rPr>
                        <w:spacing w:val="-54"/>
                        <w:sz w:val="21"/>
                      </w:rPr>
                      <w:t xml:space="preserve"> </w:t>
                    </w:r>
                    <w:r>
                      <w:rPr>
                        <w:sz w:val="21"/>
                      </w:rPr>
                      <w:t xml:space="preserve">B（规范性） </w:t>
                    </w:r>
                    <w:r>
                      <w:rPr>
                        <w:spacing w:val="1"/>
                        <w:sz w:val="21"/>
                      </w:rPr>
                      <w:t xml:space="preserve"> </w:t>
                    </w:r>
                    <w:r>
                      <w:rPr>
                        <w:sz w:val="21"/>
                      </w:rPr>
                      <w:t>医疗护理难度评估表</w:t>
                    </w:r>
                    <w:r>
                      <w:rPr>
                        <w:rFonts w:ascii="Times New Roman" w:eastAsia="Times New Roman"/>
                        <w:sz w:val="21"/>
                      </w:rPr>
                      <w:tab/>
                    </w:r>
                    <w:r>
                      <w:rPr>
                        <w:sz w:val="20"/>
                      </w:rPr>
                      <w:t>7</w:t>
                    </w:r>
                  </w:p>
                  <w:p>
                    <w:pPr>
                      <w:tabs>
                        <w:tab w:val="right" w:leader="dot" w:pos="9353"/>
                      </w:tabs>
                      <w:spacing w:before="119"/>
                      <w:ind w:left="0" w:right="0" w:firstLine="0"/>
                      <w:jc w:val="left"/>
                      <w:rPr>
                        <w:sz w:val="20"/>
                      </w:rPr>
                    </w:pPr>
                    <w:r>
                      <w:rPr>
                        <w:sz w:val="21"/>
                      </w:rPr>
                      <w:t>附录</w:t>
                    </w:r>
                    <w:r>
                      <w:rPr>
                        <w:spacing w:val="-54"/>
                        <w:sz w:val="21"/>
                      </w:rPr>
                      <w:t xml:space="preserve"> </w:t>
                    </w:r>
                    <w:r>
                      <w:rPr>
                        <w:sz w:val="21"/>
                      </w:rPr>
                      <w:t xml:space="preserve">C（规范性） </w:t>
                    </w:r>
                    <w:r>
                      <w:rPr>
                        <w:spacing w:val="1"/>
                        <w:sz w:val="21"/>
                      </w:rPr>
                      <w:t xml:space="preserve"> </w:t>
                    </w:r>
                    <w:r>
                      <w:rPr>
                        <w:sz w:val="21"/>
                      </w:rPr>
                      <w:t>护理风险评估表</w:t>
                    </w:r>
                    <w:r>
                      <w:rPr>
                        <w:rFonts w:ascii="Times New Roman" w:eastAsia="Times New Roman"/>
                        <w:sz w:val="21"/>
                      </w:rPr>
                      <w:tab/>
                    </w:r>
                    <w:r>
                      <w:rPr>
                        <w:sz w:val="20"/>
                      </w:rPr>
                      <w:t>8</w:t>
                    </w:r>
                  </w:p>
                  <w:p>
                    <w:pPr>
                      <w:tabs>
                        <w:tab w:val="right" w:leader="dot" w:pos="9353"/>
                      </w:tabs>
                      <w:spacing w:before="123"/>
                      <w:ind w:left="0" w:right="0" w:firstLine="0"/>
                      <w:jc w:val="left"/>
                      <w:rPr>
                        <w:sz w:val="20"/>
                      </w:rPr>
                    </w:pPr>
                    <w:r>
                      <w:rPr>
                        <w:sz w:val="21"/>
                      </w:rPr>
                      <w:t>附录</w:t>
                    </w:r>
                    <w:r>
                      <w:rPr>
                        <w:spacing w:val="-54"/>
                        <w:sz w:val="21"/>
                      </w:rPr>
                      <w:t xml:space="preserve"> </w:t>
                    </w:r>
                    <w:r>
                      <w:rPr>
                        <w:sz w:val="21"/>
                      </w:rPr>
                      <w:t>D</w:t>
                    </w:r>
                    <w:r>
                      <w:rPr>
                        <w:spacing w:val="1"/>
                        <w:sz w:val="21"/>
                      </w:rPr>
                      <w:t xml:space="preserve"> </w:t>
                    </w:r>
                    <w:r>
                      <w:rPr>
                        <w:sz w:val="21"/>
                      </w:rPr>
                      <w:t xml:space="preserve">(规范性） </w:t>
                    </w:r>
                    <w:r>
                      <w:rPr>
                        <w:spacing w:val="1"/>
                        <w:sz w:val="21"/>
                      </w:rPr>
                      <w:t xml:space="preserve"> </w:t>
                    </w:r>
                    <w:r>
                      <w:rPr>
                        <w:sz w:val="21"/>
                      </w:rPr>
                      <w:t>护理等级评定基本信息表</w:t>
                    </w:r>
                    <w:r>
                      <w:rPr>
                        <w:rFonts w:ascii="Times New Roman" w:eastAsia="Times New Roman"/>
                        <w:sz w:val="21"/>
                      </w:rPr>
                      <w:tab/>
                    </w:r>
                    <w:r>
                      <w:rPr>
                        <w:sz w:val="20"/>
                      </w:rPr>
                      <w:t>13</w:t>
                    </w:r>
                  </w:p>
                  <w:p>
                    <w:pPr>
                      <w:tabs>
                        <w:tab w:val="right" w:leader="dot" w:pos="9353"/>
                      </w:tabs>
                      <w:spacing w:before="119"/>
                      <w:ind w:left="0" w:right="0" w:firstLine="0"/>
                      <w:jc w:val="left"/>
                      <w:rPr>
                        <w:sz w:val="20"/>
                      </w:rPr>
                    </w:pPr>
                    <w:r>
                      <w:rPr>
                        <w:sz w:val="21"/>
                      </w:rPr>
                      <w:t>附录</w:t>
                    </w:r>
                    <w:r>
                      <w:rPr>
                        <w:spacing w:val="-54"/>
                        <w:sz w:val="21"/>
                      </w:rPr>
                      <w:t xml:space="preserve"> </w:t>
                    </w:r>
                    <w:r>
                      <w:rPr>
                        <w:sz w:val="21"/>
                      </w:rPr>
                      <w:t xml:space="preserve">E（规范性） </w:t>
                    </w:r>
                    <w:r>
                      <w:rPr>
                        <w:spacing w:val="1"/>
                        <w:sz w:val="21"/>
                      </w:rPr>
                      <w:t xml:space="preserve"> </w:t>
                    </w:r>
                    <w:r>
                      <w:rPr>
                        <w:sz w:val="21"/>
                      </w:rPr>
                      <w:t>养老机构护理等级评定报告</w:t>
                    </w:r>
                    <w:r>
                      <w:rPr>
                        <w:rFonts w:ascii="Times New Roman" w:eastAsia="Times New Roman"/>
                        <w:sz w:val="21"/>
                      </w:rPr>
                      <w:tab/>
                    </w:r>
                    <w:r>
                      <w:rPr>
                        <w:sz w:val="20"/>
                      </w:rPr>
                      <w:t>14</w:t>
                    </w:r>
                  </w:p>
                  <w:p>
                    <w:pPr>
                      <w:tabs>
                        <w:tab w:val="right" w:leader="dot" w:pos="9354"/>
                      </w:tabs>
                      <w:spacing w:before="120" w:line="241" w:lineRule="exact"/>
                      <w:ind w:left="0" w:right="0" w:firstLine="0"/>
                      <w:jc w:val="left"/>
                      <w:rPr>
                        <w:sz w:val="21"/>
                      </w:rPr>
                    </w:pPr>
                    <w:r>
                      <w:rPr>
                        <w:sz w:val="21"/>
                      </w:rPr>
                      <w:t>参考文献</w:t>
                    </w:r>
                    <w:r>
                      <w:rPr>
                        <w:rFonts w:ascii="Times New Roman" w:eastAsia="Times New Roman"/>
                        <w:sz w:val="21"/>
                      </w:rPr>
                      <w:tab/>
                    </w:r>
                    <w:r>
                      <w:rPr>
                        <w:sz w:val="21"/>
                      </w:rPr>
                      <w:t>15</w:t>
                    </w:r>
                  </w:p>
                </w:txbxContent>
              </v:textbox>
            </v:shape>
            <v:shape id="_x0000_s1036" type="#_x0000_t202" style="width:80;height:200;left:10504;position:absolute;top:7921" filled="f" stroked="f">
              <v:textbox inset="0,0,0,0">
                <w:txbxContent>
                  <w:p>
                    <w:pPr>
                      <w:spacing w:before="0" w:line="199" w:lineRule="exact"/>
                      <w:ind w:left="0" w:right="0" w:firstLine="0"/>
                      <w:jc w:val="left"/>
                      <w:rPr>
                        <w:rFonts w:ascii="Times New Roman"/>
                        <w:sz w:val="18"/>
                      </w:rPr>
                    </w:pPr>
                    <w:r>
                      <w:rPr>
                        <w:rFonts w:ascii="Times New Roman"/>
                        <w:sz w:val="18"/>
                      </w:rPr>
                      <w:t>I</w:t>
                    </w:r>
                  </w:p>
                </w:txbxContent>
              </v:textbox>
            </v:shape>
            <w10:wrap type="topAndBottom"/>
          </v:group>
        </w:pict>
      </w:r>
      <w:r>
        <w:drawing>
          <wp:anchor distT="0" distB="0" distL="0" distR="0" simplePos="0" relativeHeight="251661312" behindDoc="0" locked="0" layoutInCell="1" allowOverlap="1">
            <wp:simplePos x="0" y="0"/>
            <wp:positionH relativeFrom="page">
              <wp:posOffset>215900</wp:posOffset>
            </wp:positionH>
            <wp:positionV relativeFrom="paragraph">
              <wp:posOffset>325005</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z w:val="21"/>
        </w:rPr>
        <w:t>评估实施</w:t>
      </w:r>
      <w:r>
        <w:rPr>
          <w:rFonts w:ascii="Times New Roman" w:eastAsia="Times New Roman"/>
          <w:sz w:val="21"/>
        </w:rPr>
        <w:tab/>
      </w:r>
      <w:r>
        <w:rPr>
          <w:sz w:val="20"/>
        </w:rPr>
        <w:t>3</w:t>
      </w:r>
    </w:p>
    <w:p>
      <w:pPr>
        <w:spacing w:after="0" w:line="240" w:lineRule="auto"/>
        <w:jc w:val="left"/>
        <w:rPr>
          <w:sz w:val="20"/>
        </w:rPr>
        <w:sectPr>
          <w:pgSz w:w="11910" w:h="16840"/>
          <w:pgMar w:top="1340" w:right="260" w:bottom="280" w:left="240" w:header="708" w:footer="708"/>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5"/>
          <w:cols w:space="708"/>
        </w:sectPr>
      </w:pPr>
    </w:p>
    <w:p>
      <w:pPr>
        <w:pStyle w:val="BodyText"/>
        <w:spacing w:before="59"/>
        <w:ind w:left="1538"/>
        <w:rPr>
          <w:rFonts w:ascii="黑体" w:hAnsi="黑体"/>
        </w:rPr>
      </w:pPr>
      <w:r>
        <w:drawing>
          <wp:anchor distT="0" distB="0" distL="0" distR="0" simplePos="0" relativeHeight="251663360" behindDoc="0" locked="0" layoutInCell="1" allowOverlap="1">
            <wp:simplePos x="0" y="0"/>
            <wp:positionH relativeFrom="page">
              <wp:posOffset>215900</wp:posOffset>
            </wp:positionH>
            <wp:positionV relativeFrom="page">
              <wp:posOffset>5244465</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hAnsi="黑体"/>
        </w:rPr>
        <w:t>DB4401/T 143—2022</w:t>
      </w:r>
    </w:p>
    <w:p>
      <w:pPr>
        <w:pStyle w:val="BodyText"/>
        <w:rPr>
          <w:rFonts w:ascii="黑体"/>
          <w:sz w:val="20"/>
        </w:rPr>
      </w:pPr>
    </w:p>
    <w:p>
      <w:pPr>
        <w:pStyle w:val="BodyText"/>
        <w:rPr>
          <w:rFonts w:ascii="黑体"/>
          <w:sz w:val="20"/>
        </w:rPr>
      </w:pPr>
    </w:p>
    <w:p>
      <w:pPr>
        <w:pStyle w:val="BodyText"/>
        <w:spacing w:before="7"/>
        <w:rPr>
          <w:rFonts w:ascii="黑体"/>
          <w:sz w:val="29"/>
        </w:rPr>
      </w:pPr>
    </w:p>
    <w:p>
      <w:pPr>
        <w:pStyle w:val="Heading1"/>
        <w:tabs>
          <w:tab w:val="left" w:pos="1262"/>
        </w:tabs>
        <w:spacing w:before="55"/>
      </w:pPr>
      <w:bookmarkStart w:id="2" w:name="前    言"/>
      <w:bookmarkEnd w:id="2"/>
      <w:r>
        <w:t>前</w:t>
        <w:tab/>
        <w:t>言</w:t>
      </w:r>
    </w:p>
    <w:p>
      <w:pPr>
        <w:pStyle w:val="BodyText"/>
        <w:rPr>
          <w:rFonts w:ascii="黑体"/>
          <w:sz w:val="32"/>
        </w:rPr>
      </w:pPr>
    </w:p>
    <w:p>
      <w:pPr>
        <w:pStyle w:val="BodyText"/>
        <w:spacing w:before="276" w:line="278" w:lineRule="auto"/>
        <w:ind w:left="1598" w:right="769"/>
      </w:pPr>
      <w:r>
        <w:t>本文件按GB/T</w:t>
      </w:r>
      <w:r>
        <w:rPr>
          <w:spacing w:val="-63"/>
        </w:rPr>
        <w:t xml:space="preserve"> </w:t>
      </w:r>
      <w:r>
        <w:rPr>
          <w:spacing w:val="-6"/>
        </w:rPr>
        <w:t>1.1—2020</w:t>
      </w:r>
      <w:r>
        <w:rPr>
          <w:spacing w:val="-2"/>
        </w:rPr>
        <w:t>《标准化工作导则 第</w:t>
      </w:r>
      <w:r>
        <w:t>1</w:t>
      </w:r>
      <w:r>
        <w:rPr>
          <w:spacing w:val="-11"/>
        </w:rPr>
        <w:t>部分：标准化文件的结构和起草规则》的规定起草。本文件由广州市民政局提出并归口。</w:t>
      </w:r>
    </w:p>
    <w:p>
      <w:pPr>
        <w:pStyle w:val="BodyText"/>
        <w:spacing w:line="278" w:lineRule="auto"/>
        <w:ind w:left="1178" w:right="873" w:firstLine="420"/>
      </w:pPr>
      <w:r>
        <w:rPr>
          <w:spacing w:val="-7"/>
          <w:w w:val="95"/>
        </w:rPr>
        <w:t xml:space="preserve">本文件主要起草单位：广州市老人院、广州市华南医养融合研究院、广州市社会福利与养老服务协   </w:t>
      </w:r>
      <w:r>
        <w:rPr>
          <w:spacing w:val="-7"/>
        </w:rPr>
        <w:t>会、广东省护士协会、南方医科大学护理学院、华邦美好家园养老集团有限公司。</w:t>
      </w:r>
    </w:p>
    <w:p>
      <w:pPr>
        <w:pStyle w:val="BodyText"/>
        <w:spacing w:line="278" w:lineRule="auto"/>
        <w:ind w:left="1178" w:right="868" w:firstLine="420"/>
      </w:pPr>
      <w:r>
        <w:rPr>
          <w:spacing w:val="-9"/>
          <w:w w:val="95"/>
        </w:rPr>
        <w:t xml:space="preserve">本文件主要起草人：李秀环、廖淑莉、谢喜艳、李海员、高新侠、李晓琴、潘淑芬、王细文、周爱   </w:t>
      </w:r>
      <w:r>
        <w:rPr>
          <w:spacing w:val="-8"/>
        </w:rPr>
        <w:t>平、刘雪琴、王 宁、王章安、赖敏贞、马一群、沙吉祥、钟玉群。</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2"/>
        </w:rPr>
      </w:pPr>
      <w:r>
        <w:pict>
          <v:shape id="_x0000_s1037" type="#_x0000_t202" style="width:7.85pt;height:11.6pt;margin-top:16.49pt;margin-left:70.92pt;mso-position-horizontal-relative:page;mso-wrap-distance-left:0;mso-wrap-distance-right:0;position:absolute;z-index:-251652096" filled="f" stroked="f">
            <v:textbox inset="0,0,0,0">
              <w:txbxContent>
                <w:p>
                  <w:pPr>
                    <w:pStyle w:val="BodyText"/>
                    <w:spacing w:line="231" w:lineRule="exact"/>
                    <w:rPr>
                      <w:rFonts w:ascii="Times New Roman"/>
                    </w:rPr>
                  </w:pPr>
                  <w:r>
                    <w:rPr>
                      <w:rFonts w:ascii="Times New Roman"/>
                    </w:rPr>
                    <w:t>II</w:t>
                  </w:r>
                </w:p>
              </w:txbxContent>
            </v:textbox>
            <w10:wrap type="topAndBottom"/>
          </v:shape>
        </w:pict>
      </w:r>
    </w:p>
    <w:p>
      <w:pPr>
        <w:spacing w:after="0"/>
        <w:rPr>
          <w:sz w:val="22"/>
        </w:rPr>
        <w:sectPr>
          <w:pgSz w:w="11910" w:h="16840"/>
          <w:pgMar w:top="1340" w:right="260" w:bottom="280" w:left="240" w:header="708" w:footer="708"/>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7"/>
          <w:cols w:space="708"/>
        </w:sectPr>
      </w:pPr>
    </w:p>
    <w:p>
      <w:pPr>
        <w:pStyle w:val="BodyText"/>
        <w:spacing w:before="9"/>
        <w:rPr>
          <w:sz w:val="19"/>
        </w:rPr>
      </w:pPr>
    </w:p>
    <w:p>
      <w:pPr>
        <w:pStyle w:val="Heading1"/>
        <w:ind w:left="304"/>
      </w:pPr>
      <w:bookmarkStart w:id="3" w:name="养老机构护理等级评定规范"/>
      <w:bookmarkEnd w:id="3"/>
      <w:r>
        <w:t>养老机构护理等级评定规范</w:t>
      </w:r>
    </w:p>
    <w:p>
      <w:pPr>
        <w:pStyle w:val="BodyText"/>
        <w:rPr>
          <w:rFonts w:ascii="黑体"/>
          <w:sz w:val="20"/>
        </w:rPr>
      </w:pPr>
    </w:p>
    <w:p>
      <w:pPr>
        <w:pStyle w:val="BodyText"/>
        <w:rPr>
          <w:rFonts w:ascii="黑体"/>
          <w:sz w:val="20"/>
        </w:rPr>
      </w:pPr>
    </w:p>
    <w:p>
      <w:pPr>
        <w:pStyle w:val="BodyText"/>
        <w:spacing w:before="8"/>
        <w:rPr>
          <w:rFonts w:ascii="黑体"/>
          <w:sz w:val="18"/>
        </w:rPr>
      </w:pPr>
    </w:p>
    <w:p>
      <w:pPr>
        <w:pStyle w:val="ListParagraph"/>
        <w:numPr>
          <w:ilvl w:val="0"/>
          <w:numId w:val="14"/>
        </w:numPr>
        <w:tabs>
          <w:tab w:val="left" w:pos="1493"/>
        </w:tabs>
        <w:spacing w:before="0" w:after="0" w:line="240" w:lineRule="auto"/>
        <w:ind w:left="1492" w:right="0" w:hanging="315"/>
        <w:jc w:val="left"/>
        <w:rPr>
          <w:rFonts w:ascii="黑体" w:eastAsia="黑体" w:hint="eastAsia"/>
          <w:sz w:val="21"/>
        </w:rPr>
      </w:pPr>
      <w:bookmarkStart w:id="4" w:name="1　范围"/>
      <w:bookmarkEnd w:id="4"/>
      <w:r>
        <w:rPr>
          <w:rFonts w:ascii="黑体" w:eastAsia="黑体" w:hint="eastAsia"/>
          <w:sz w:val="21"/>
        </w:rPr>
        <w:t>范围</w:t>
      </w:r>
    </w:p>
    <w:p>
      <w:pPr>
        <w:pStyle w:val="BodyText"/>
        <w:spacing w:before="9"/>
        <w:rPr>
          <w:rFonts w:ascii="黑体"/>
          <w:sz w:val="27"/>
        </w:rPr>
      </w:pPr>
    </w:p>
    <w:p>
      <w:pPr>
        <w:pStyle w:val="BodyText"/>
        <w:spacing w:line="278" w:lineRule="auto"/>
        <w:ind w:left="1178" w:right="871" w:firstLine="420"/>
      </w:pPr>
      <w:r>
        <w:rPr>
          <w:spacing w:val="-4"/>
          <w:w w:val="95"/>
        </w:rPr>
        <w:t xml:space="preserve">本文件规定了广州市养老机构老年人护理等级评定的术语和定义、总则、评估指标、评估要求及实   </w:t>
      </w:r>
      <w:r>
        <w:rPr>
          <w:spacing w:val="-4"/>
        </w:rPr>
        <w:t>施、评定等级划分与确定、评估质量监督和改进。</w:t>
      </w:r>
    </w:p>
    <w:p>
      <w:pPr>
        <w:pStyle w:val="BodyText"/>
        <w:spacing w:line="269" w:lineRule="exact"/>
        <w:ind w:left="1598"/>
      </w:pPr>
      <w:r>
        <w:t>本文件适用于广州市行政区域内各类养老机构的护理等级评定。</w:t>
      </w:r>
    </w:p>
    <w:p>
      <w:pPr>
        <w:pStyle w:val="BodyText"/>
        <w:spacing w:before="9"/>
        <w:rPr>
          <w:sz w:val="27"/>
        </w:rPr>
      </w:pPr>
    </w:p>
    <w:p>
      <w:pPr>
        <w:pStyle w:val="ListParagraph"/>
        <w:numPr>
          <w:ilvl w:val="0"/>
          <w:numId w:val="14"/>
        </w:numPr>
        <w:tabs>
          <w:tab w:val="left" w:pos="1493"/>
        </w:tabs>
        <w:spacing w:before="0" w:after="0" w:line="240" w:lineRule="auto"/>
        <w:ind w:left="1492" w:right="0" w:hanging="315"/>
        <w:jc w:val="left"/>
        <w:rPr>
          <w:rFonts w:ascii="黑体" w:eastAsia="黑体" w:hint="eastAsia"/>
          <w:sz w:val="21"/>
        </w:rPr>
      </w:pPr>
      <w:bookmarkStart w:id="5" w:name="2　规范性引用文件"/>
      <w:bookmarkEnd w:id="5"/>
      <w:r>
        <w:rPr>
          <w:rFonts w:ascii="黑体" w:eastAsia="黑体" w:hint="eastAsia"/>
          <w:sz w:val="21"/>
        </w:rPr>
        <w:t>规范性引用文件</w:t>
      </w:r>
    </w:p>
    <w:p>
      <w:pPr>
        <w:pStyle w:val="BodyText"/>
        <w:spacing w:before="9"/>
        <w:rPr>
          <w:rFonts w:ascii="黑体"/>
          <w:sz w:val="27"/>
        </w:rPr>
      </w:pPr>
    </w:p>
    <w:p>
      <w:pPr>
        <w:pStyle w:val="BodyText"/>
        <w:ind w:left="1598"/>
      </w:pPr>
      <w:r>
        <w:t>本文件没有规范性引用文件。</w:t>
      </w:r>
    </w:p>
    <w:p>
      <w:pPr>
        <w:pStyle w:val="BodyText"/>
        <w:spacing w:before="9"/>
        <w:rPr>
          <w:sz w:val="27"/>
        </w:rPr>
      </w:pPr>
    </w:p>
    <w:p>
      <w:pPr>
        <w:pStyle w:val="ListParagraph"/>
        <w:numPr>
          <w:ilvl w:val="0"/>
          <w:numId w:val="14"/>
        </w:numPr>
        <w:tabs>
          <w:tab w:val="left" w:pos="1493"/>
        </w:tabs>
        <w:spacing w:before="0" w:after="0" w:line="240" w:lineRule="auto"/>
        <w:ind w:left="1492" w:right="0" w:hanging="315"/>
        <w:jc w:val="left"/>
        <w:rPr>
          <w:rFonts w:ascii="黑体" w:eastAsia="黑体" w:hint="eastAsia"/>
          <w:sz w:val="21"/>
        </w:rPr>
      </w:pPr>
      <w:bookmarkStart w:id="6" w:name="3　术语和定义"/>
      <w:bookmarkEnd w:id="6"/>
      <w:r>
        <w:rPr>
          <w:rFonts w:ascii="黑体" w:eastAsia="黑体" w:hint="eastAsia"/>
          <w:sz w:val="21"/>
        </w:rPr>
        <w:t>术语和定义</w:t>
      </w:r>
    </w:p>
    <w:p>
      <w:pPr>
        <w:pStyle w:val="BodyText"/>
        <w:spacing w:before="9"/>
        <w:rPr>
          <w:rFonts w:ascii="黑体"/>
          <w:sz w:val="27"/>
        </w:rPr>
      </w:pPr>
    </w:p>
    <w:p>
      <w:pPr>
        <w:pStyle w:val="BodyText"/>
        <w:ind w:left="1598"/>
      </w:pPr>
      <w:r>
        <w:t>下列术语和定义适用于本文件。</w:t>
      </w:r>
    </w:p>
    <w:p>
      <w:pPr>
        <w:pStyle w:val="BodyText"/>
        <w:spacing w:before="161"/>
        <w:ind w:left="1178"/>
        <w:rPr>
          <w:rFonts w:ascii="黑体"/>
        </w:rPr>
      </w:pPr>
      <w:r>
        <w:rPr>
          <w:rFonts w:ascii="黑体"/>
        </w:rPr>
        <w:t>3.1</w:t>
      </w:r>
    </w:p>
    <w:p>
      <w:pPr>
        <w:spacing w:before="165"/>
        <w:ind w:left="1574" w:right="0" w:firstLine="0"/>
        <w:jc w:val="left"/>
        <w:rPr>
          <w:rFonts w:ascii="Times New Roman" w:eastAsia="Times New Roman"/>
          <w:b/>
          <w:sz w:val="21"/>
        </w:rPr>
      </w:pPr>
      <w:r>
        <w:drawing>
          <wp:anchor distT="0" distB="0" distL="0" distR="0" simplePos="0" relativeHeight="251665408" behindDoc="0" locked="0" layoutInCell="1" allowOverlap="1">
            <wp:simplePos x="0" y="0"/>
            <wp:positionH relativeFrom="page">
              <wp:posOffset>215900</wp:posOffset>
            </wp:positionH>
            <wp:positionV relativeFrom="paragraph">
              <wp:posOffset>428383</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eastAsia="黑体" w:hint="eastAsia"/>
          <w:sz w:val="21"/>
        </w:rPr>
        <w:t xml:space="preserve">护理等级评定 </w:t>
      </w:r>
      <w:r>
        <w:rPr>
          <w:rFonts w:ascii="Times New Roman" w:eastAsia="Times New Roman"/>
          <w:b/>
          <w:sz w:val="21"/>
        </w:rPr>
        <w:t>nursing care grade evaluation</w:t>
      </w:r>
    </w:p>
    <w:p>
      <w:pPr>
        <w:pStyle w:val="BodyText"/>
        <w:spacing w:before="6"/>
        <w:rPr>
          <w:rFonts w:ascii="Times New Roman"/>
          <w:b/>
          <w:sz w:val="16"/>
        </w:rPr>
      </w:pPr>
      <w:r>
        <w:pict>
          <v:group id="_x0000_s1038" style="width:468.8pt;height:388.65pt;margin-top:11.45pt;margin-left:70.92pt;mso-position-horizontal-relative:page;mso-wrap-distance-left:0;mso-wrap-distance-right:0;position:absolute;z-index:-251650048" coordorigin="1418,229" coordsize="9376,7773">
            <v:shape id="_x0000_s1039" type="#_x0000_t202" style="width:9376;height:2271;left:1418;position:absolute;top:228" filled="f" stroked="f">
              <v:textbox inset="0,0,0,0">
                <w:txbxContent>
                  <w:p>
                    <w:pPr>
                      <w:spacing w:before="0" w:line="239" w:lineRule="exact"/>
                      <w:ind w:left="420" w:right="0" w:firstLine="0"/>
                      <w:jc w:val="left"/>
                      <w:rPr>
                        <w:sz w:val="21"/>
                      </w:rPr>
                    </w:pPr>
                    <w:r>
                      <w:rPr>
                        <w:spacing w:val="-5"/>
                        <w:sz w:val="21"/>
                      </w:rPr>
                      <w:t>通过对入住养老机构老年人的日常生活活动能力、医疗护理难度及护理风险等开展综合评估，并根</w:t>
                    </w:r>
                  </w:p>
                  <w:p>
                    <w:pPr>
                      <w:spacing w:before="43"/>
                      <w:ind w:left="0" w:right="0" w:firstLine="0"/>
                      <w:jc w:val="left"/>
                      <w:rPr>
                        <w:sz w:val="21"/>
                      </w:rPr>
                    </w:pPr>
                    <w:r>
                      <w:rPr>
                        <w:sz w:val="21"/>
                      </w:rPr>
                      <w:t>据评估结果判断其需要的照护程度和服务内容而确定护理等级的过程。</w:t>
                    </w:r>
                  </w:p>
                  <w:p>
                    <w:pPr>
                      <w:spacing w:before="160"/>
                      <w:ind w:left="0" w:right="0" w:firstLine="0"/>
                      <w:jc w:val="left"/>
                      <w:rPr>
                        <w:rFonts w:ascii="黑体"/>
                        <w:sz w:val="21"/>
                      </w:rPr>
                    </w:pPr>
                    <w:r>
                      <w:rPr>
                        <w:rFonts w:ascii="黑体"/>
                        <w:sz w:val="21"/>
                      </w:rPr>
                      <w:t>3.2</w:t>
                    </w:r>
                  </w:p>
                  <w:p>
                    <w:pPr>
                      <w:spacing w:before="165"/>
                      <w:ind w:left="395" w:right="0" w:firstLine="0"/>
                      <w:jc w:val="left"/>
                      <w:rPr>
                        <w:rFonts w:ascii="Times New Roman" w:eastAsia="Times New Roman"/>
                        <w:b/>
                        <w:sz w:val="21"/>
                      </w:rPr>
                    </w:pPr>
                    <w:r>
                      <w:rPr>
                        <w:rFonts w:ascii="黑体" w:eastAsia="黑体" w:hint="eastAsia"/>
                        <w:sz w:val="21"/>
                      </w:rPr>
                      <w:t xml:space="preserve">日常生活活动能力 </w:t>
                    </w:r>
                    <w:r>
                      <w:rPr>
                        <w:rFonts w:ascii="Times New Roman" w:eastAsia="Times New Roman"/>
                        <w:b/>
                        <w:sz w:val="21"/>
                      </w:rPr>
                      <w:t>activities of daily living</w:t>
                    </w:r>
                  </w:p>
                  <w:p>
                    <w:pPr>
                      <w:spacing w:before="146" w:line="360" w:lineRule="atLeast"/>
                      <w:ind w:left="0" w:right="135" w:firstLine="420"/>
                      <w:jc w:val="left"/>
                      <w:rPr>
                        <w:sz w:val="21"/>
                      </w:rPr>
                    </w:pPr>
                    <w:r>
                      <w:rPr>
                        <w:w w:val="95"/>
                        <w:sz w:val="21"/>
                      </w:rPr>
                      <w:t>个体为独立生活而每天必须反复进行的、最基本的、具有共同性的身体动作群，即完成进食、洗   澡、修饰、穿衣、大便控制、小便控制、如厕、床椅转移、平地行走、上下楼梯等日常活动的能力。</w:t>
                    </w:r>
                  </w:p>
                </w:txbxContent>
              </v:textbox>
            </v:shape>
            <v:shape id="_x0000_s1040" type="#_x0000_t202" style="width:9374;height:4172;left:1418;position:absolute;top:3022" filled="f" stroked="f">
              <v:textbox inset="0,0,0,0">
                <w:txbxContent>
                  <w:p>
                    <w:pPr>
                      <w:spacing w:before="0" w:line="239" w:lineRule="exact"/>
                      <w:ind w:left="0" w:right="0" w:firstLine="0"/>
                      <w:jc w:val="left"/>
                      <w:rPr>
                        <w:rFonts w:ascii="黑体"/>
                        <w:sz w:val="21"/>
                      </w:rPr>
                    </w:pPr>
                    <w:r>
                      <w:rPr>
                        <w:rFonts w:ascii="黑体"/>
                        <w:sz w:val="21"/>
                      </w:rPr>
                      <w:t>3.3</w:t>
                    </w:r>
                  </w:p>
                  <w:p>
                    <w:pPr>
                      <w:spacing w:before="165"/>
                      <w:ind w:left="420" w:right="0" w:firstLine="0"/>
                      <w:jc w:val="left"/>
                      <w:rPr>
                        <w:rFonts w:ascii="Times New Roman" w:eastAsia="Times New Roman"/>
                        <w:b/>
                        <w:sz w:val="21"/>
                      </w:rPr>
                    </w:pPr>
                    <w:r>
                      <w:rPr>
                        <w:rFonts w:ascii="黑体" w:eastAsia="黑体" w:hint="eastAsia"/>
                        <w:sz w:val="21"/>
                      </w:rPr>
                      <w:t xml:space="preserve">医疗护理难度 </w:t>
                    </w:r>
                    <w:r>
                      <w:rPr>
                        <w:rFonts w:ascii="Times New Roman" w:eastAsia="Times New Roman"/>
                        <w:b/>
                        <w:sz w:val="21"/>
                      </w:rPr>
                      <w:t>medical care difficult</w:t>
                    </w:r>
                  </w:p>
                  <w:p>
                    <w:pPr>
                      <w:spacing w:before="180"/>
                      <w:ind w:left="420" w:right="0" w:firstLine="0"/>
                      <w:jc w:val="left"/>
                      <w:rPr>
                        <w:sz w:val="21"/>
                      </w:rPr>
                    </w:pPr>
                    <w:r>
                      <w:rPr>
                        <w:spacing w:val="-6"/>
                        <w:sz w:val="21"/>
                      </w:rPr>
                      <w:t>在医疗护理工作中，为了老年人的健康而采取的一系列护理手段、技能和方法的困难、复杂程度。</w:t>
                    </w:r>
                  </w:p>
                  <w:p>
                    <w:pPr>
                      <w:spacing w:before="180"/>
                      <w:ind w:left="0" w:right="0" w:firstLine="0"/>
                      <w:jc w:val="left"/>
                      <w:rPr>
                        <w:rFonts w:ascii="黑体"/>
                        <w:sz w:val="21"/>
                      </w:rPr>
                    </w:pPr>
                    <w:r>
                      <w:rPr>
                        <w:rFonts w:ascii="黑体"/>
                        <w:sz w:val="21"/>
                      </w:rPr>
                      <w:t>3.4</w:t>
                    </w:r>
                  </w:p>
                  <w:p>
                    <w:pPr>
                      <w:spacing w:before="6" w:line="240" w:lineRule="auto"/>
                      <w:rPr>
                        <w:rFonts w:ascii="黑体"/>
                        <w:sz w:val="15"/>
                      </w:rPr>
                    </w:pPr>
                  </w:p>
                  <w:p>
                    <w:pPr>
                      <w:spacing w:before="0"/>
                      <w:ind w:left="420" w:right="0" w:firstLine="0"/>
                      <w:jc w:val="left"/>
                      <w:rPr>
                        <w:rFonts w:ascii="Times New Roman" w:eastAsia="Times New Roman"/>
                        <w:b/>
                        <w:sz w:val="21"/>
                      </w:rPr>
                    </w:pPr>
                    <w:r>
                      <w:rPr>
                        <w:rFonts w:ascii="黑体" w:eastAsia="黑体" w:hint="eastAsia"/>
                        <w:sz w:val="21"/>
                      </w:rPr>
                      <w:t xml:space="preserve">护理风险 </w:t>
                    </w:r>
                    <w:r>
                      <w:rPr>
                        <w:rFonts w:ascii="Times New Roman" w:eastAsia="Times New Roman"/>
                        <w:b/>
                        <w:sz w:val="21"/>
                      </w:rPr>
                      <w:t>nursing risk</w:t>
                    </w:r>
                  </w:p>
                  <w:p>
                    <w:pPr>
                      <w:spacing w:before="4" w:line="240" w:lineRule="auto"/>
                      <w:rPr>
                        <w:rFonts w:ascii="Times New Roman"/>
                        <w:b/>
                        <w:sz w:val="17"/>
                      </w:rPr>
                    </w:pPr>
                  </w:p>
                  <w:p>
                    <w:pPr>
                      <w:spacing w:before="0" w:line="278" w:lineRule="auto"/>
                      <w:ind w:left="0" w:right="18" w:firstLine="398"/>
                      <w:jc w:val="left"/>
                      <w:rPr>
                        <w:sz w:val="21"/>
                      </w:rPr>
                    </w:pPr>
                    <w:r>
                      <w:rPr>
                        <w:spacing w:val="-5"/>
                        <w:w w:val="95"/>
                        <w:sz w:val="21"/>
                      </w:rPr>
                      <w:t xml:space="preserve">存在于护理活动中的不确定性危害因素，包括直接或间接导致老年人伤害、伤残和死亡事件的不确   </w:t>
                    </w:r>
                    <w:r>
                      <w:rPr>
                        <w:spacing w:val="-5"/>
                        <w:sz w:val="21"/>
                      </w:rPr>
                      <w:t>定性或可能发生的一切不安全事件。</w:t>
                    </w:r>
                  </w:p>
                  <w:p>
                    <w:pPr>
                      <w:spacing w:before="155"/>
                      <w:ind w:left="0" w:right="0" w:firstLine="0"/>
                      <w:jc w:val="left"/>
                      <w:rPr>
                        <w:rFonts w:ascii="黑体"/>
                        <w:sz w:val="21"/>
                      </w:rPr>
                    </w:pPr>
                    <w:r>
                      <w:rPr>
                        <w:rFonts w:ascii="黑体"/>
                        <w:sz w:val="21"/>
                      </w:rPr>
                      <w:t>3.5</w:t>
                    </w:r>
                  </w:p>
                  <w:p>
                    <w:pPr>
                      <w:spacing w:before="7" w:line="240" w:lineRule="auto"/>
                      <w:rPr>
                        <w:rFonts w:ascii="黑体"/>
                        <w:sz w:val="15"/>
                      </w:rPr>
                    </w:pPr>
                  </w:p>
                  <w:p>
                    <w:pPr>
                      <w:spacing w:before="0"/>
                      <w:ind w:left="396" w:right="0" w:firstLine="0"/>
                      <w:jc w:val="left"/>
                      <w:rPr>
                        <w:rFonts w:ascii="Times New Roman" w:eastAsia="Times New Roman"/>
                        <w:b/>
                        <w:sz w:val="21"/>
                      </w:rPr>
                    </w:pPr>
                    <w:r>
                      <w:rPr>
                        <w:rFonts w:ascii="黑体" w:eastAsia="黑体" w:hint="eastAsia"/>
                        <w:sz w:val="21"/>
                      </w:rPr>
                      <w:t xml:space="preserve">首次评定 </w:t>
                    </w:r>
                    <w:r>
                      <w:rPr>
                        <w:rFonts w:ascii="Times New Roman" w:eastAsia="Times New Roman"/>
                        <w:b/>
                        <w:sz w:val="21"/>
                      </w:rPr>
                      <w:t>initial assessment</w:t>
                    </w:r>
                  </w:p>
                  <w:p>
                    <w:pPr>
                      <w:spacing w:before="178" w:line="239" w:lineRule="exact"/>
                      <w:ind w:left="420" w:right="0" w:firstLine="0"/>
                      <w:jc w:val="left"/>
                      <w:rPr>
                        <w:sz w:val="21"/>
                      </w:rPr>
                    </w:pPr>
                    <w:r>
                      <w:rPr>
                        <w:sz w:val="21"/>
                      </w:rPr>
                      <w:t>对入住养老机构的老年人进行的首次护理等级评定。</w:t>
                    </w:r>
                  </w:p>
                </w:txbxContent>
              </v:textbox>
            </v:shape>
            <v:shape id="_x0000_s1041" type="#_x0000_t202" style="width:125;height:232;left:10668;position:absolute;top:7770" filled="f" stroked="f">
              <v:textbox inset="0,0,0,0">
                <w:txbxContent>
                  <w:p>
                    <w:pPr>
                      <w:spacing w:before="0" w:line="231" w:lineRule="exact"/>
                      <w:ind w:left="0" w:right="0" w:firstLine="0"/>
                      <w:jc w:val="left"/>
                      <w:rPr>
                        <w:rFonts w:ascii="Times New Roman"/>
                        <w:sz w:val="21"/>
                      </w:rPr>
                    </w:pPr>
                    <w:r>
                      <w:rPr>
                        <w:rFonts w:ascii="Times New Roman"/>
                        <w:w w:val="99"/>
                        <w:sz w:val="21"/>
                      </w:rPr>
                      <w:t>1</w:t>
                    </w:r>
                  </w:p>
                </w:txbxContent>
              </v:textbox>
            </v:shape>
            <w10:wrap type="topAndBottom"/>
          </v:group>
        </w:pict>
      </w:r>
    </w:p>
    <w:p>
      <w:pPr>
        <w:spacing w:after="0"/>
        <w:rPr>
          <w:rFonts w:ascii="Times New Roman"/>
          <w:sz w:val="16"/>
        </w:rPr>
        <w:sectPr>
          <w:headerReference w:type="even" r:id="rId6"/>
          <w:headerReference w:type="default" r:id="rId7"/>
          <w:pgSz w:w="11910" w:h="16840"/>
          <w:pgMar w:top="1660" w:right="260" w:bottom="280" w:left="240" w:header="1442" w:footer="0"/>
          <w:pgNumType w:start="8"/>
          <w:cols w:space="708"/>
        </w:sectPr>
      </w:pPr>
    </w:p>
    <w:p>
      <w:pPr>
        <w:pStyle w:val="BodyText"/>
        <w:spacing w:before="157"/>
        <w:ind w:left="1178"/>
        <w:rPr>
          <w:rFonts w:ascii="黑体"/>
        </w:rPr>
      </w:pPr>
      <w:r>
        <w:rPr>
          <w:rFonts w:ascii="黑体"/>
        </w:rPr>
        <w:t>3.6</w:t>
      </w:r>
    </w:p>
    <w:p>
      <w:pPr>
        <w:pStyle w:val="BodyText"/>
        <w:spacing w:before="8"/>
        <w:rPr>
          <w:rFonts w:ascii="黑体"/>
          <w:sz w:val="9"/>
        </w:rPr>
      </w:pPr>
    </w:p>
    <w:p>
      <w:pPr>
        <w:spacing w:before="76"/>
        <w:ind w:left="1574" w:right="0" w:firstLine="0"/>
        <w:jc w:val="left"/>
        <w:rPr>
          <w:rFonts w:ascii="Times New Roman" w:eastAsia="Times New Roman"/>
          <w:b/>
          <w:sz w:val="21"/>
        </w:rPr>
      </w:pPr>
      <w:bookmarkStart w:id="7" w:name="3.6　    "/>
      <w:bookmarkEnd w:id="7"/>
      <w:r>
        <w:rPr>
          <w:rFonts w:ascii="黑体" w:eastAsia="黑体" w:hint="eastAsia"/>
          <w:sz w:val="21"/>
        </w:rPr>
        <w:t xml:space="preserve">动态评定 </w:t>
      </w:r>
      <w:r>
        <w:rPr>
          <w:rFonts w:ascii="Times New Roman" w:eastAsia="Times New Roman"/>
          <w:b/>
          <w:sz w:val="21"/>
        </w:rPr>
        <w:t>ongoing assessment</w:t>
      </w:r>
    </w:p>
    <w:p>
      <w:pPr>
        <w:pStyle w:val="BodyText"/>
        <w:spacing w:before="163"/>
        <w:ind w:left="1598"/>
      </w:pPr>
      <w:r>
        <w:t>在服务过程中，对健康状况发生变化的老年人进行的护理等级评定。</w:t>
      </w:r>
    </w:p>
    <w:p>
      <w:pPr>
        <w:pStyle w:val="BodyText"/>
        <w:spacing w:before="1"/>
        <w:rPr>
          <w:sz w:val="25"/>
        </w:rPr>
      </w:pPr>
    </w:p>
    <w:p>
      <w:pPr>
        <w:pStyle w:val="ListParagraph"/>
        <w:numPr>
          <w:ilvl w:val="0"/>
          <w:numId w:val="11"/>
        </w:numPr>
        <w:tabs>
          <w:tab w:val="left" w:pos="1493"/>
        </w:tabs>
        <w:spacing w:before="0" w:after="0" w:line="240" w:lineRule="auto"/>
        <w:ind w:left="1492" w:right="0" w:hanging="315"/>
        <w:jc w:val="left"/>
        <w:rPr>
          <w:rFonts w:ascii="黑体" w:eastAsia="黑体" w:hint="eastAsia"/>
          <w:sz w:val="21"/>
        </w:rPr>
      </w:pPr>
      <w:bookmarkStart w:id="8" w:name="4　总则"/>
      <w:bookmarkEnd w:id="8"/>
      <w:r>
        <w:rPr>
          <w:rFonts w:ascii="黑体" w:eastAsia="黑体" w:hint="eastAsia"/>
          <w:sz w:val="21"/>
        </w:rPr>
        <w:t>总则</w:t>
      </w:r>
    </w:p>
    <w:p>
      <w:pPr>
        <w:pStyle w:val="BodyText"/>
        <w:spacing w:before="9"/>
        <w:rPr>
          <w:rFonts w:ascii="黑体"/>
          <w:sz w:val="27"/>
        </w:rPr>
      </w:pPr>
    </w:p>
    <w:p>
      <w:pPr>
        <w:pStyle w:val="ListParagraph"/>
        <w:numPr>
          <w:ilvl w:val="1"/>
          <w:numId w:val="11"/>
        </w:numPr>
        <w:tabs>
          <w:tab w:val="left" w:pos="1697"/>
        </w:tabs>
        <w:spacing w:before="0" w:after="0" w:line="240" w:lineRule="auto"/>
        <w:ind w:left="1696" w:right="0" w:hanging="526"/>
        <w:jc w:val="left"/>
        <w:rPr>
          <w:sz w:val="21"/>
        </w:rPr>
      </w:pPr>
      <w:bookmarkStart w:id="9" w:name="4.1　客观真实。评估对象应真实反映相关情况，评估人员应准确记录评估信息。"/>
      <w:bookmarkEnd w:id="9"/>
      <w:r>
        <w:rPr>
          <w:sz w:val="21"/>
        </w:rPr>
        <w:t>客观真实。评估对象应真实反映相关情况，评估人员应准确记录评估信息。</w:t>
      </w:r>
    </w:p>
    <w:p>
      <w:pPr>
        <w:pStyle w:val="ListParagraph"/>
        <w:numPr>
          <w:ilvl w:val="1"/>
          <w:numId w:val="11"/>
        </w:numPr>
        <w:tabs>
          <w:tab w:val="left" w:pos="1697"/>
        </w:tabs>
        <w:spacing w:before="43" w:after="0" w:line="240" w:lineRule="auto"/>
        <w:ind w:left="1696" w:right="0" w:hanging="526"/>
        <w:jc w:val="left"/>
        <w:rPr>
          <w:sz w:val="21"/>
        </w:rPr>
      </w:pPr>
      <w:bookmarkStart w:id="10" w:name="4.2　科学规范。评估人员应熟练掌握评估指标及内容，按照评估条款正确地对老年人进"/>
      <w:bookmarkEnd w:id="10"/>
      <w:r>
        <w:rPr>
          <w:sz w:val="21"/>
        </w:rPr>
        <w:t>科学规范。评估人员应熟练掌握评估指标及内容，按照评估条款正确地对老年人进行评估。</w:t>
      </w:r>
    </w:p>
    <w:p>
      <w:pPr>
        <w:pStyle w:val="ListParagraph"/>
        <w:numPr>
          <w:ilvl w:val="1"/>
          <w:numId w:val="11"/>
        </w:numPr>
        <w:tabs>
          <w:tab w:val="left" w:pos="1697"/>
        </w:tabs>
        <w:spacing w:before="43" w:after="0" w:line="278" w:lineRule="auto"/>
        <w:ind w:left="1178" w:right="890" w:hanging="8"/>
        <w:jc w:val="left"/>
        <w:rPr>
          <w:sz w:val="21"/>
        </w:rPr>
      </w:pPr>
      <w:bookmarkStart w:id="11" w:name="4.3　动态及时。评估人员应依据规定时间对老年人实施评估，当老年人健康状况发生变"/>
      <w:bookmarkEnd w:id="11"/>
      <w:r>
        <w:rPr>
          <w:w w:val="95"/>
          <w:sz w:val="21"/>
        </w:rPr>
        <w:t>动态及时。评估人员应依据规定时间对老年人实施评估，当老年人健康状况发生变化时应及时给</w:t>
      </w:r>
      <w:r>
        <w:rPr>
          <w:w w:val="95"/>
          <w:sz w:val="21"/>
        </w:rPr>
        <w:t xml:space="preserve">   </w:t>
      </w:r>
      <w:r>
        <w:rPr>
          <w:sz w:val="21"/>
        </w:rPr>
        <w:t>予评估。</w:t>
      </w:r>
    </w:p>
    <w:p>
      <w:pPr>
        <w:pStyle w:val="BodyText"/>
        <w:spacing w:before="4"/>
        <w:rPr>
          <w:sz w:val="24"/>
        </w:rPr>
      </w:pPr>
    </w:p>
    <w:p>
      <w:pPr>
        <w:pStyle w:val="ListParagraph"/>
        <w:numPr>
          <w:ilvl w:val="0"/>
          <w:numId w:val="11"/>
        </w:numPr>
        <w:tabs>
          <w:tab w:val="left" w:pos="1493"/>
        </w:tabs>
        <w:spacing w:before="0" w:after="0" w:line="240" w:lineRule="auto"/>
        <w:ind w:left="1492" w:right="0" w:hanging="315"/>
        <w:jc w:val="left"/>
        <w:rPr>
          <w:rFonts w:ascii="黑体" w:eastAsia="黑体" w:hint="eastAsia"/>
          <w:sz w:val="21"/>
        </w:rPr>
      </w:pPr>
      <w:bookmarkStart w:id="12" w:name="5　评估指标"/>
      <w:bookmarkEnd w:id="12"/>
      <w:r>
        <w:rPr>
          <w:rFonts w:ascii="黑体" w:eastAsia="黑体" w:hint="eastAsia"/>
          <w:sz w:val="21"/>
        </w:rPr>
        <w:t>评估指标</w:t>
      </w:r>
    </w:p>
    <w:p>
      <w:pPr>
        <w:pStyle w:val="BodyText"/>
        <w:spacing w:before="9"/>
        <w:rPr>
          <w:rFonts w:ascii="黑体"/>
          <w:sz w:val="24"/>
        </w:rPr>
      </w:pPr>
    </w:p>
    <w:p>
      <w:pPr>
        <w:pStyle w:val="ListParagraph"/>
        <w:numPr>
          <w:ilvl w:val="1"/>
          <w:numId w:val="11"/>
        </w:numPr>
        <w:tabs>
          <w:tab w:val="left" w:pos="1704"/>
        </w:tabs>
        <w:spacing w:before="0" w:after="0" w:line="240" w:lineRule="auto"/>
        <w:ind w:left="1704" w:right="0" w:hanging="526"/>
        <w:jc w:val="left"/>
        <w:rPr>
          <w:rFonts w:ascii="黑体" w:eastAsia="黑体" w:hint="eastAsia"/>
          <w:sz w:val="21"/>
        </w:rPr>
      </w:pPr>
      <w:bookmarkStart w:id="13" w:name="5.1　指标构成"/>
      <w:bookmarkEnd w:id="13"/>
      <w:r>
        <w:rPr>
          <w:rFonts w:ascii="黑体" w:eastAsia="黑体" w:hint="eastAsia"/>
          <w:sz w:val="21"/>
        </w:rPr>
        <w:t>指标构成</w:t>
      </w:r>
    </w:p>
    <w:p>
      <w:pPr>
        <w:pStyle w:val="ListParagraph"/>
        <w:numPr>
          <w:ilvl w:val="2"/>
          <w:numId w:val="11"/>
        </w:numPr>
        <w:tabs>
          <w:tab w:val="left" w:pos="1913"/>
        </w:tabs>
        <w:spacing w:before="165" w:after="0" w:line="240" w:lineRule="auto"/>
        <w:ind w:left="1912" w:right="0" w:hanging="735"/>
        <w:jc w:val="left"/>
        <w:rPr>
          <w:sz w:val="21"/>
        </w:rPr>
      </w:pPr>
      <w:bookmarkStart w:id="14" w:name="5.1.1　评估指标由日常生活活动能力、医疗护理难度和护理风险3个一级指标构成。"/>
      <w:bookmarkEnd w:id="14"/>
      <w:r>
        <w:rPr>
          <w:spacing w:val="-3"/>
          <w:sz w:val="21"/>
        </w:rPr>
        <w:t xml:space="preserve">评估指标由日常生活活动能力、医疗护理难度和护理风险 </w:t>
      </w:r>
      <w:r>
        <w:rPr>
          <w:sz w:val="21"/>
        </w:rPr>
        <w:t>3</w:t>
      </w:r>
      <w:r>
        <w:rPr>
          <w:spacing w:val="-8"/>
          <w:sz w:val="21"/>
        </w:rPr>
        <w:t xml:space="preserve"> 个一级指标构成。</w:t>
      </w:r>
    </w:p>
    <w:p>
      <w:pPr>
        <w:pStyle w:val="ListParagraph"/>
        <w:numPr>
          <w:ilvl w:val="2"/>
          <w:numId w:val="11"/>
        </w:numPr>
        <w:tabs>
          <w:tab w:val="left" w:pos="1913"/>
        </w:tabs>
        <w:spacing w:before="43" w:after="0" w:line="278" w:lineRule="auto"/>
        <w:ind w:left="1178" w:right="769" w:firstLine="0"/>
        <w:jc w:val="left"/>
        <w:rPr>
          <w:sz w:val="21"/>
        </w:rPr>
      </w:pPr>
      <w:bookmarkStart w:id="15" w:name="5.1.2　日常生活活动能力指标包括进食、洗澡、修饰、穿衣、大便控制、小便控制、"/>
      <w:bookmarkEnd w:id="15"/>
      <w:r>
        <w:rPr>
          <w:spacing w:val="-7"/>
          <w:w w:val="95"/>
          <w:sz w:val="21"/>
        </w:rPr>
        <w:t>日常生活活动能力指标包括进食、洗澡、修饰、穿衣、大便控制、小便控制、如厕、床椅转移、</w:t>
      </w:r>
      <w:r>
        <w:rPr>
          <w:spacing w:val="-7"/>
          <w:w w:val="95"/>
          <w:sz w:val="21"/>
        </w:rPr>
        <w:t xml:space="preserve">   </w:t>
      </w:r>
      <w:r>
        <w:rPr>
          <w:spacing w:val="-12"/>
          <w:sz w:val="21"/>
        </w:rPr>
        <w:t xml:space="preserve">平地行走、上下楼梯 </w:t>
      </w:r>
      <w:r>
        <w:rPr>
          <w:sz w:val="21"/>
        </w:rPr>
        <w:t>10</w:t>
      </w:r>
      <w:r>
        <w:rPr>
          <w:spacing w:val="-13"/>
          <w:sz w:val="21"/>
        </w:rPr>
        <w:t xml:space="preserve"> 个二级指标，分为 </w:t>
      </w:r>
      <w:r>
        <w:rPr>
          <w:sz w:val="21"/>
        </w:rPr>
        <w:t>3</w:t>
      </w:r>
      <w:r>
        <w:rPr>
          <w:spacing w:val="-12"/>
          <w:sz w:val="21"/>
        </w:rPr>
        <w:t xml:space="preserve"> 个级别。</w:t>
      </w:r>
    </w:p>
    <w:p>
      <w:pPr>
        <w:pStyle w:val="ListParagraph"/>
        <w:numPr>
          <w:ilvl w:val="2"/>
          <w:numId w:val="11"/>
        </w:numPr>
        <w:tabs>
          <w:tab w:val="left" w:pos="1913"/>
        </w:tabs>
        <w:spacing w:before="0" w:after="0" w:line="269" w:lineRule="exact"/>
        <w:ind w:left="1912" w:right="0" w:hanging="735"/>
        <w:jc w:val="left"/>
        <w:rPr>
          <w:sz w:val="21"/>
        </w:rPr>
      </w:pPr>
      <w:bookmarkStart w:id="16" w:name="5.1.3　医疗护理难度指标包括低难度、中难度、高难度3个二级指标，分为3个级别"/>
      <w:bookmarkEnd w:id="16"/>
      <w:r>
        <w:rPr>
          <w:spacing w:val="-3"/>
          <w:sz w:val="21"/>
        </w:rPr>
        <w:t xml:space="preserve">医疗护理难度指标包括低难度、中难度、高难度 </w:t>
      </w:r>
      <w:r>
        <w:rPr>
          <w:sz w:val="21"/>
        </w:rPr>
        <w:t>3</w:t>
      </w:r>
      <w:r>
        <w:rPr>
          <w:spacing w:val="-13"/>
          <w:sz w:val="21"/>
        </w:rPr>
        <w:t xml:space="preserve"> 个二级指标，分为 </w:t>
      </w:r>
      <w:r>
        <w:rPr>
          <w:sz w:val="21"/>
        </w:rPr>
        <w:t>3</w:t>
      </w:r>
      <w:r>
        <w:rPr>
          <w:spacing w:val="-12"/>
          <w:sz w:val="21"/>
        </w:rPr>
        <w:t xml:space="preserve"> 个级别。</w:t>
      </w:r>
    </w:p>
    <w:p>
      <w:pPr>
        <w:pStyle w:val="ListParagraph"/>
        <w:numPr>
          <w:ilvl w:val="2"/>
          <w:numId w:val="11"/>
        </w:numPr>
        <w:tabs>
          <w:tab w:val="left" w:pos="1913"/>
        </w:tabs>
        <w:spacing w:before="43" w:after="0" w:line="240" w:lineRule="auto"/>
        <w:ind w:left="1912" w:right="0" w:hanging="735"/>
        <w:jc w:val="left"/>
        <w:rPr>
          <w:sz w:val="21"/>
        </w:rPr>
      </w:pPr>
      <w:r>
        <w:pict>
          <v:group id="_x0000_s1042" style="width:473.95pt;height:389.4pt;margin-top:25.15pt;margin-left:70.92pt;mso-position-horizontal-relative:page;position:absolute;z-index:-251648000" coordorigin="1418,503" coordsize="9479,7788">
            <v:shape id="_x0000_s1043" type="#_x0000_t202" style="width:9479;height:1820;left:1418;position:absolute;top:503" filled="f" stroked="f">
              <v:textbox inset="0,0,0,0">
                <w:txbxContent>
                  <w:p>
                    <w:pPr>
                      <w:numPr>
                        <w:ilvl w:val="1"/>
                        <w:numId w:val="10"/>
                      </w:numPr>
                      <w:tabs>
                        <w:tab w:val="left" w:pos="526"/>
                      </w:tabs>
                      <w:spacing w:before="0" w:line="239" w:lineRule="exact"/>
                      <w:ind w:left="525" w:right="0" w:hanging="526"/>
                      <w:jc w:val="left"/>
                      <w:rPr>
                        <w:rFonts w:ascii="黑体" w:eastAsia="黑体" w:hint="eastAsia"/>
                        <w:sz w:val="21"/>
                      </w:rPr>
                    </w:pPr>
                    <w:r>
                      <w:rPr>
                        <w:rFonts w:ascii="黑体" w:eastAsia="黑体" w:hint="eastAsia"/>
                        <w:sz w:val="21"/>
                      </w:rPr>
                      <w:t>评估标准</w:t>
                    </w:r>
                  </w:p>
                  <w:p>
                    <w:pPr>
                      <w:numPr>
                        <w:ilvl w:val="2"/>
                        <w:numId w:val="10"/>
                      </w:numPr>
                      <w:tabs>
                        <w:tab w:val="left" w:pos="735"/>
                      </w:tabs>
                      <w:spacing w:before="127"/>
                      <w:ind w:left="734" w:right="0" w:hanging="735"/>
                      <w:jc w:val="left"/>
                      <w:rPr>
                        <w:rFonts w:ascii="黑体" w:eastAsia="黑体" w:hint="eastAsia"/>
                        <w:sz w:val="21"/>
                      </w:rPr>
                    </w:pPr>
                    <w:r>
                      <w:rPr>
                        <w:rFonts w:ascii="黑体" w:eastAsia="黑体" w:hint="eastAsia"/>
                        <w:sz w:val="21"/>
                      </w:rPr>
                      <w:t>日常生活活动能力</w:t>
                    </w:r>
                  </w:p>
                  <w:p>
                    <w:pPr>
                      <w:numPr>
                        <w:ilvl w:val="3"/>
                        <w:numId w:val="10"/>
                      </w:numPr>
                      <w:tabs>
                        <w:tab w:val="left" w:pos="946"/>
                      </w:tabs>
                      <w:spacing w:before="165"/>
                      <w:ind w:left="945" w:right="0" w:hanging="946"/>
                      <w:jc w:val="left"/>
                      <w:rPr>
                        <w:sz w:val="21"/>
                      </w:rPr>
                    </w:pPr>
                    <w:r>
                      <w:rPr>
                        <w:spacing w:val="-6"/>
                        <w:sz w:val="21"/>
                      </w:rPr>
                      <w:t xml:space="preserve">日常生活活动能力评估使用《日常生活活动能力评估表》(见附录 </w:t>
                    </w:r>
                    <w:r>
                      <w:rPr>
                        <w:sz w:val="21"/>
                      </w:rPr>
                      <w:t>A)评估老年人的自理能力。</w:t>
                    </w:r>
                  </w:p>
                  <w:p>
                    <w:pPr>
                      <w:numPr>
                        <w:ilvl w:val="3"/>
                        <w:numId w:val="10"/>
                      </w:numPr>
                      <w:tabs>
                        <w:tab w:val="left" w:pos="946"/>
                      </w:tabs>
                      <w:spacing w:before="43"/>
                      <w:ind w:left="945" w:right="0" w:hanging="946"/>
                      <w:jc w:val="left"/>
                      <w:rPr>
                        <w:sz w:val="21"/>
                      </w:rPr>
                    </w:pPr>
                    <w:r>
                      <w:rPr>
                        <w:spacing w:val="-4"/>
                        <w:sz w:val="21"/>
                      </w:rPr>
                      <w:t xml:space="preserve">日常生活活动能力分级标准如表 </w:t>
                    </w:r>
                    <w:r>
                      <w:rPr>
                        <w:sz w:val="21"/>
                      </w:rPr>
                      <w:t>1。</w:t>
                    </w:r>
                  </w:p>
                  <w:p>
                    <w:pPr>
                      <w:spacing w:before="6" w:line="240" w:lineRule="auto"/>
                      <w:rPr>
                        <w:sz w:val="15"/>
                      </w:rPr>
                    </w:pPr>
                  </w:p>
                  <w:p>
                    <w:pPr>
                      <w:spacing w:before="1" w:line="239" w:lineRule="exact"/>
                      <w:ind w:left="3293" w:right="3416" w:firstLine="0"/>
                      <w:jc w:val="center"/>
                      <w:rPr>
                        <w:rFonts w:ascii="黑体" w:eastAsia="黑体" w:hint="eastAsia"/>
                        <w:sz w:val="21"/>
                      </w:rPr>
                    </w:pPr>
                    <w:r>
                      <w:rPr>
                        <w:rFonts w:ascii="黑体" w:eastAsia="黑体" w:hint="eastAsia"/>
                        <w:sz w:val="21"/>
                      </w:rPr>
                      <w:t>表1 日常生活活动能力分级表</w:t>
                    </w:r>
                  </w:p>
                </w:txbxContent>
              </v:textbox>
            </v:shape>
            <v:shape id="_x0000_s1044" type="#_x0000_t202" style="width:6789;height:1424;left:1418;position:absolute;top:4057" filled="f" stroked="f">
              <v:textbox inset="0,0,0,0">
                <w:txbxContent>
                  <w:p>
                    <w:pPr>
                      <w:numPr>
                        <w:ilvl w:val="2"/>
                        <w:numId w:val="9"/>
                      </w:numPr>
                      <w:tabs>
                        <w:tab w:val="left" w:pos="735"/>
                      </w:tabs>
                      <w:spacing w:before="0" w:line="239" w:lineRule="exact"/>
                      <w:ind w:left="734" w:right="0" w:hanging="735"/>
                      <w:jc w:val="left"/>
                      <w:rPr>
                        <w:rFonts w:ascii="黑体" w:eastAsia="黑体" w:hint="eastAsia"/>
                        <w:sz w:val="21"/>
                      </w:rPr>
                    </w:pPr>
                    <w:r>
                      <w:rPr>
                        <w:rFonts w:ascii="黑体" w:eastAsia="黑体" w:hint="eastAsia"/>
                        <w:sz w:val="21"/>
                      </w:rPr>
                      <w:t>医疗护理难度</w:t>
                    </w:r>
                  </w:p>
                  <w:p>
                    <w:pPr>
                      <w:numPr>
                        <w:ilvl w:val="3"/>
                        <w:numId w:val="9"/>
                      </w:numPr>
                      <w:tabs>
                        <w:tab w:val="left" w:pos="946"/>
                      </w:tabs>
                      <w:spacing w:before="165"/>
                      <w:ind w:left="945" w:right="0" w:hanging="946"/>
                      <w:jc w:val="left"/>
                      <w:rPr>
                        <w:sz w:val="21"/>
                      </w:rPr>
                    </w:pPr>
                    <w:r>
                      <w:rPr>
                        <w:sz w:val="21"/>
                      </w:rPr>
                      <w:t>医疗护理难度评估使用《医疗护理难度评估表》（</w:t>
                    </w:r>
                    <w:r>
                      <w:rPr>
                        <w:spacing w:val="-16"/>
                        <w:sz w:val="21"/>
                      </w:rPr>
                      <w:t xml:space="preserve">见附录 </w:t>
                    </w:r>
                    <w:r>
                      <w:rPr>
                        <w:sz w:val="21"/>
                      </w:rPr>
                      <w:t>B）。</w:t>
                    </w:r>
                  </w:p>
                  <w:p>
                    <w:pPr>
                      <w:numPr>
                        <w:ilvl w:val="3"/>
                        <w:numId w:val="9"/>
                      </w:numPr>
                      <w:tabs>
                        <w:tab w:val="left" w:pos="946"/>
                      </w:tabs>
                      <w:spacing w:before="43"/>
                      <w:ind w:left="945" w:right="0" w:hanging="946"/>
                      <w:jc w:val="left"/>
                      <w:rPr>
                        <w:sz w:val="21"/>
                      </w:rPr>
                    </w:pPr>
                    <w:r>
                      <w:rPr>
                        <w:spacing w:val="-5"/>
                        <w:sz w:val="21"/>
                      </w:rPr>
                      <w:t xml:space="preserve">医疗护理难度分级标准如表 </w:t>
                    </w:r>
                    <w:r>
                      <w:rPr>
                        <w:sz w:val="21"/>
                      </w:rPr>
                      <w:t>2。</w:t>
                    </w:r>
                  </w:p>
                  <w:p>
                    <w:pPr>
                      <w:spacing w:before="7" w:line="240" w:lineRule="auto"/>
                      <w:rPr>
                        <w:sz w:val="15"/>
                      </w:rPr>
                    </w:pPr>
                  </w:p>
                  <w:p>
                    <w:pPr>
                      <w:spacing w:before="0" w:line="239" w:lineRule="exact"/>
                      <w:ind w:left="3585" w:right="0" w:firstLine="0"/>
                      <w:jc w:val="left"/>
                      <w:rPr>
                        <w:rFonts w:ascii="黑体" w:eastAsia="黑体" w:hint="eastAsia"/>
                        <w:sz w:val="21"/>
                      </w:rPr>
                    </w:pPr>
                    <w:r>
                      <w:rPr>
                        <w:rFonts w:ascii="黑体" w:eastAsia="黑体" w:hint="eastAsia"/>
                        <w:sz w:val="21"/>
                      </w:rPr>
                      <w:t>表 2 医疗护理难度分级表</w:t>
                    </w:r>
                  </w:p>
                </w:txbxContent>
              </v:textbox>
            </v:shape>
            <v:shape id="_x0000_s1045" type="#_x0000_t202" style="width:125;height:232;left:1756;position:absolute;top:8058" filled="f" stroked="f">
              <v:textbox inset="0,0,0,0">
                <w:txbxContent>
                  <w:p>
                    <w:pPr>
                      <w:spacing w:before="0" w:line="231" w:lineRule="exact"/>
                      <w:ind w:left="0" w:right="0" w:firstLine="0"/>
                      <w:jc w:val="left"/>
                      <w:rPr>
                        <w:rFonts w:ascii="Times New Roman"/>
                        <w:sz w:val="21"/>
                      </w:rPr>
                    </w:pPr>
                    <w:r>
                      <w:rPr>
                        <w:rFonts w:ascii="Times New Roman"/>
                        <w:w w:val="99"/>
                        <w:sz w:val="21"/>
                      </w:rPr>
                      <w:t>2</w:t>
                    </w:r>
                  </w:p>
                </w:txbxContent>
              </v:textbox>
            </v:shape>
          </v:group>
        </w:pict>
      </w:r>
      <w:r>
        <w:drawing>
          <wp:anchor distT="0" distB="0" distL="0" distR="0" simplePos="0" relativeHeight="251667456" behindDoc="0" locked="0" layoutInCell="1" allowOverlap="1">
            <wp:simplePos x="0" y="0"/>
            <wp:positionH relativeFrom="page">
              <wp:posOffset>215900</wp:posOffset>
            </wp:positionH>
            <wp:positionV relativeFrom="paragraph">
              <wp:posOffset>335673</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bookmarkStart w:id="17" w:name="5.1.4　护理风险指标包括压疮风险评估、跌倒风险评估、误吸风险评估3个二级指标"/>
      <w:bookmarkEnd w:id="17"/>
      <w:r>
        <w:rPr>
          <w:spacing w:val="-7"/>
          <w:sz w:val="21"/>
        </w:rPr>
        <w:t xml:space="preserve">护理风险指标包括压疮风险评估、跌倒风险评估、误吸风险评估 </w:t>
      </w:r>
      <w:r>
        <w:rPr>
          <w:sz w:val="21"/>
        </w:rPr>
        <w:t>3</w:t>
      </w:r>
      <w:r>
        <w:rPr>
          <w:spacing w:val="-16"/>
          <w:sz w:val="21"/>
        </w:rPr>
        <w:t xml:space="preserve"> 个二级指标，分为 </w:t>
      </w:r>
      <w:r>
        <w:rPr>
          <w:sz w:val="21"/>
        </w:rPr>
        <w:t>3</w:t>
      </w:r>
      <w:r>
        <w:rPr>
          <w:spacing w:val="-12"/>
          <w:sz w:val="21"/>
        </w:rPr>
        <w:t xml:space="preserve"> 个级别。</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3"/>
        </w:rPr>
      </w:pPr>
    </w:p>
    <w:tbl>
      <w:tblPr>
        <w:tblStyle w:val="TableNormal0"/>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01"/>
        <w:gridCol w:w="6733"/>
      </w:tblGrid>
      <w:tr>
        <w:tblPrEx>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12"/>
          <w:jc w:val="left"/>
        </w:trPr>
        <w:tc>
          <w:tcPr>
            <w:tcW w:w="2701" w:type="dxa"/>
            <w:tcBorders>
              <w:right w:val="single" w:sz="4" w:space="0" w:color="000000"/>
            </w:tcBorders>
          </w:tcPr>
          <w:p>
            <w:pPr>
              <w:pStyle w:val="TableParagraph"/>
              <w:spacing w:before="41"/>
              <w:ind w:left="630"/>
              <w:rPr>
                <w:sz w:val="18"/>
              </w:rPr>
            </w:pPr>
            <w:bookmarkStart w:id="18" w:name="5.2　评估标准"/>
            <w:bookmarkEnd w:id="18"/>
            <w:bookmarkStart w:id="19" w:name="5.2.1　日常生活活动能力"/>
            <w:bookmarkEnd w:id="19"/>
            <w:r>
              <w:rPr>
                <w:sz w:val="18"/>
              </w:rPr>
              <w:t>日常生活活动能力分级</w:t>
            </w:r>
          </w:p>
        </w:tc>
        <w:tc>
          <w:tcPr>
            <w:tcW w:w="6733" w:type="dxa"/>
            <w:tcBorders>
              <w:left w:val="single" w:sz="4" w:space="0" w:color="000000"/>
            </w:tcBorders>
          </w:tcPr>
          <w:p>
            <w:pPr>
              <w:pStyle w:val="TableParagraph"/>
              <w:spacing w:before="41"/>
              <w:ind w:left="3175" w:right="2778"/>
              <w:jc w:val="center"/>
              <w:rPr>
                <w:sz w:val="18"/>
              </w:rPr>
            </w:pPr>
            <w:r>
              <w:rPr>
                <w:sz w:val="18"/>
              </w:rPr>
              <w:t>分级标准</w:t>
            </w:r>
          </w:p>
        </w:tc>
      </w:tr>
      <w:tr>
        <w:tblPrEx>
          <w:tblW w:w="0" w:type="auto"/>
          <w:jc w:val="left"/>
          <w:tblInd w:w="1208" w:type="dxa"/>
          <w:tblLayout w:type="fixed"/>
          <w:tblCellMar>
            <w:top w:w="0" w:type="dxa"/>
            <w:left w:w="0" w:type="dxa"/>
            <w:bottom w:w="0" w:type="dxa"/>
            <w:right w:w="0" w:type="dxa"/>
          </w:tblCellMar>
          <w:tblLook w:val="01E0"/>
        </w:tblPrEx>
        <w:trPr>
          <w:trHeight w:val="312"/>
          <w:jc w:val="left"/>
        </w:trPr>
        <w:tc>
          <w:tcPr>
            <w:tcW w:w="2701" w:type="dxa"/>
            <w:tcBorders>
              <w:bottom w:val="single" w:sz="4" w:space="0" w:color="000000"/>
              <w:right w:val="single" w:sz="4" w:space="0" w:color="000000"/>
            </w:tcBorders>
          </w:tcPr>
          <w:p>
            <w:pPr>
              <w:pStyle w:val="TableParagraph"/>
              <w:spacing w:before="42"/>
              <w:ind w:left="1194" w:right="1177"/>
              <w:jc w:val="center"/>
              <w:rPr>
                <w:sz w:val="18"/>
              </w:rPr>
            </w:pPr>
            <w:r>
              <w:rPr>
                <w:sz w:val="18"/>
              </w:rPr>
              <w:t>1级</w:t>
            </w:r>
          </w:p>
        </w:tc>
        <w:tc>
          <w:tcPr>
            <w:tcW w:w="6733" w:type="dxa"/>
            <w:tcBorders>
              <w:left w:val="single" w:sz="4" w:space="0" w:color="000000"/>
              <w:bottom w:val="single" w:sz="4" w:space="0" w:color="000000"/>
            </w:tcBorders>
          </w:tcPr>
          <w:p>
            <w:pPr>
              <w:pStyle w:val="TableParagraph"/>
              <w:spacing w:before="42"/>
              <w:ind w:left="116"/>
              <w:rPr>
                <w:sz w:val="18"/>
              </w:rPr>
            </w:pPr>
            <w:r>
              <w:rPr>
                <w:sz w:val="18"/>
              </w:rPr>
              <w:t>总分为65分-100分</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2701" w:type="dxa"/>
            <w:tcBorders>
              <w:top w:val="single" w:sz="4" w:space="0" w:color="000000"/>
              <w:bottom w:val="single" w:sz="4" w:space="0" w:color="000000"/>
              <w:right w:val="single" w:sz="4" w:space="0" w:color="000000"/>
            </w:tcBorders>
          </w:tcPr>
          <w:p>
            <w:pPr>
              <w:pStyle w:val="TableParagraph"/>
              <w:spacing w:before="41"/>
              <w:ind w:left="1194" w:right="1177"/>
              <w:jc w:val="center"/>
              <w:rPr>
                <w:sz w:val="18"/>
              </w:rPr>
            </w:pPr>
            <w:r>
              <w:rPr>
                <w:sz w:val="18"/>
              </w:rPr>
              <w:t>2级</w:t>
            </w:r>
          </w:p>
        </w:tc>
        <w:tc>
          <w:tcPr>
            <w:tcW w:w="6733" w:type="dxa"/>
            <w:tcBorders>
              <w:top w:val="single" w:sz="4" w:space="0" w:color="000000"/>
              <w:left w:val="single" w:sz="4" w:space="0" w:color="000000"/>
              <w:bottom w:val="single" w:sz="4" w:space="0" w:color="000000"/>
            </w:tcBorders>
          </w:tcPr>
          <w:p>
            <w:pPr>
              <w:pStyle w:val="TableParagraph"/>
              <w:spacing w:before="41"/>
              <w:ind w:left="116"/>
              <w:rPr>
                <w:sz w:val="18"/>
              </w:rPr>
            </w:pPr>
            <w:r>
              <w:rPr>
                <w:sz w:val="18"/>
              </w:rPr>
              <w:t>总分为45分-60分</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2701" w:type="dxa"/>
            <w:tcBorders>
              <w:top w:val="single" w:sz="4" w:space="0" w:color="000000"/>
              <w:right w:val="single" w:sz="4" w:space="0" w:color="000000"/>
            </w:tcBorders>
          </w:tcPr>
          <w:p>
            <w:pPr>
              <w:pStyle w:val="TableParagraph"/>
              <w:spacing w:before="41"/>
              <w:ind w:left="1194" w:right="1177"/>
              <w:jc w:val="center"/>
              <w:rPr>
                <w:sz w:val="18"/>
              </w:rPr>
            </w:pPr>
            <w:r>
              <w:rPr>
                <w:sz w:val="18"/>
              </w:rPr>
              <w:t>3级</w:t>
            </w:r>
          </w:p>
        </w:tc>
        <w:tc>
          <w:tcPr>
            <w:tcW w:w="6733" w:type="dxa"/>
            <w:tcBorders>
              <w:top w:val="single" w:sz="4" w:space="0" w:color="000000"/>
              <w:left w:val="single" w:sz="4" w:space="0" w:color="000000"/>
            </w:tcBorders>
          </w:tcPr>
          <w:p>
            <w:pPr>
              <w:pStyle w:val="TableParagraph"/>
              <w:spacing w:before="41"/>
              <w:ind w:left="116"/>
              <w:rPr>
                <w:sz w:val="18"/>
              </w:rPr>
            </w:pPr>
            <w:r>
              <w:rPr>
                <w:sz w:val="18"/>
              </w:rPr>
              <w:t>总分为≤40分</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p>
    <w:tbl>
      <w:tblPr>
        <w:tblStyle w:val="TableNormal0"/>
        <w:tblW w:w="0" w:type="auto"/>
        <w:jc w:val="left"/>
        <w:tblInd w:w="11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86"/>
        <w:gridCol w:w="6748"/>
      </w:tblGrid>
      <w:tr>
        <w:tblPrEx>
          <w:tblW w:w="0" w:type="auto"/>
          <w:jc w:val="left"/>
          <w:tblInd w:w="11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12"/>
          <w:jc w:val="left"/>
        </w:trPr>
        <w:tc>
          <w:tcPr>
            <w:tcW w:w="2686" w:type="dxa"/>
            <w:tcBorders>
              <w:right w:val="single" w:sz="4" w:space="0" w:color="000000"/>
            </w:tcBorders>
          </w:tcPr>
          <w:p>
            <w:pPr>
              <w:pStyle w:val="TableParagraph"/>
              <w:spacing w:before="41"/>
              <w:ind w:left="713"/>
              <w:rPr>
                <w:sz w:val="18"/>
              </w:rPr>
            </w:pPr>
            <w:bookmarkStart w:id="20" w:name="5.2.2　医疗护理难度"/>
            <w:bookmarkEnd w:id="20"/>
            <w:r>
              <w:rPr>
                <w:sz w:val="18"/>
              </w:rPr>
              <w:t>医疗护理难度分级</w:t>
            </w:r>
          </w:p>
        </w:tc>
        <w:tc>
          <w:tcPr>
            <w:tcW w:w="6748" w:type="dxa"/>
            <w:tcBorders>
              <w:left w:val="single" w:sz="4" w:space="0" w:color="000000"/>
            </w:tcBorders>
          </w:tcPr>
          <w:p>
            <w:pPr>
              <w:pStyle w:val="TableParagraph"/>
              <w:spacing w:before="41"/>
              <w:ind w:left="3183" w:right="2783"/>
              <w:jc w:val="center"/>
              <w:rPr>
                <w:sz w:val="18"/>
              </w:rPr>
            </w:pPr>
            <w:bookmarkStart w:id="21" w:name="表2  医疗护理难度分级表"/>
            <w:bookmarkEnd w:id="21"/>
            <w:r>
              <w:rPr>
                <w:sz w:val="18"/>
              </w:rPr>
              <w:t>分级标准</w:t>
            </w:r>
          </w:p>
        </w:tc>
      </w:tr>
      <w:tr>
        <w:tblPrEx>
          <w:tblW w:w="0" w:type="auto"/>
          <w:jc w:val="left"/>
          <w:tblInd w:w="1154" w:type="dxa"/>
          <w:tblLayout w:type="fixed"/>
          <w:tblCellMar>
            <w:top w:w="0" w:type="dxa"/>
            <w:left w:w="0" w:type="dxa"/>
            <w:bottom w:w="0" w:type="dxa"/>
            <w:right w:w="0" w:type="dxa"/>
          </w:tblCellMar>
          <w:tblLook w:val="01E0"/>
        </w:tblPrEx>
        <w:trPr>
          <w:trHeight w:val="312"/>
          <w:jc w:val="left"/>
        </w:trPr>
        <w:tc>
          <w:tcPr>
            <w:tcW w:w="2686" w:type="dxa"/>
            <w:tcBorders>
              <w:bottom w:val="single" w:sz="4" w:space="0" w:color="000000"/>
              <w:right w:val="single" w:sz="4" w:space="0" w:color="000000"/>
            </w:tcBorders>
          </w:tcPr>
          <w:p>
            <w:pPr>
              <w:pStyle w:val="TableParagraph"/>
              <w:spacing w:before="42"/>
              <w:ind w:left="1186" w:right="1169"/>
              <w:jc w:val="center"/>
              <w:rPr>
                <w:sz w:val="18"/>
              </w:rPr>
            </w:pPr>
            <w:r>
              <w:rPr>
                <w:sz w:val="18"/>
              </w:rPr>
              <w:t>1级</w:t>
            </w:r>
          </w:p>
        </w:tc>
        <w:tc>
          <w:tcPr>
            <w:tcW w:w="6748" w:type="dxa"/>
            <w:tcBorders>
              <w:left w:val="single" w:sz="4" w:space="0" w:color="000000"/>
              <w:bottom w:val="single" w:sz="4" w:space="0" w:color="000000"/>
            </w:tcBorders>
          </w:tcPr>
          <w:p>
            <w:pPr>
              <w:pStyle w:val="TableParagraph"/>
              <w:spacing w:before="42"/>
              <w:ind w:left="117"/>
              <w:rPr>
                <w:sz w:val="18"/>
              </w:rPr>
            </w:pPr>
            <w:r>
              <w:rPr>
                <w:sz w:val="18"/>
              </w:rPr>
              <w:t>需要低难度医疗护理项目之一者</w:t>
            </w:r>
          </w:p>
        </w:tc>
      </w:tr>
      <w:tr>
        <w:tblPrEx>
          <w:tblW w:w="0" w:type="auto"/>
          <w:jc w:val="left"/>
          <w:tblInd w:w="1154" w:type="dxa"/>
          <w:tblLayout w:type="fixed"/>
          <w:tblCellMar>
            <w:top w:w="0" w:type="dxa"/>
            <w:left w:w="0" w:type="dxa"/>
            <w:bottom w:w="0" w:type="dxa"/>
            <w:right w:w="0" w:type="dxa"/>
          </w:tblCellMar>
          <w:tblLook w:val="01E0"/>
        </w:tblPrEx>
        <w:trPr>
          <w:trHeight w:val="312"/>
          <w:jc w:val="left"/>
        </w:trPr>
        <w:tc>
          <w:tcPr>
            <w:tcW w:w="2686" w:type="dxa"/>
            <w:vMerge w:val="restart"/>
            <w:tcBorders>
              <w:top w:val="single" w:sz="4" w:space="0" w:color="000000"/>
              <w:bottom w:val="single" w:sz="4" w:space="0" w:color="000000"/>
              <w:right w:val="single" w:sz="4" w:space="0" w:color="000000"/>
            </w:tcBorders>
          </w:tcPr>
          <w:p>
            <w:pPr>
              <w:pStyle w:val="TableParagraph"/>
              <w:spacing w:before="9"/>
              <w:rPr>
                <w:sz w:val="16"/>
              </w:rPr>
            </w:pPr>
          </w:p>
          <w:p>
            <w:pPr>
              <w:pStyle w:val="TableParagraph"/>
              <w:ind w:left="1186" w:right="1169"/>
              <w:jc w:val="center"/>
              <w:rPr>
                <w:sz w:val="18"/>
              </w:rPr>
            </w:pPr>
            <w:r>
              <w:rPr>
                <w:sz w:val="18"/>
              </w:rPr>
              <w:t>2级</w:t>
            </w:r>
          </w:p>
        </w:tc>
        <w:tc>
          <w:tcPr>
            <w:tcW w:w="6748" w:type="dxa"/>
            <w:tcBorders>
              <w:top w:val="single" w:sz="4" w:space="0" w:color="000000"/>
              <w:left w:val="single" w:sz="4" w:space="0" w:color="000000"/>
              <w:bottom w:val="single" w:sz="4" w:space="0" w:color="000000"/>
            </w:tcBorders>
          </w:tcPr>
          <w:p>
            <w:pPr>
              <w:pStyle w:val="TableParagraph"/>
              <w:spacing w:before="41"/>
              <w:ind w:left="117"/>
              <w:rPr>
                <w:sz w:val="18"/>
              </w:rPr>
            </w:pPr>
            <w:r>
              <w:rPr>
                <w:sz w:val="18"/>
              </w:rPr>
              <w:t>需要中难度医疗护理项目之一者</w:t>
            </w:r>
          </w:p>
        </w:tc>
      </w:tr>
      <w:tr>
        <w:tblPrEx>
          <w:tblW w:w="0" w:type="auto"/>
          <w:jc w:val="left"/>
          <w:tblInd w:w="1154" w:type="dxa"/>
          <w:tblLayout w:type="fixed"/>
          <w:tblCellMar>
            <w:top w:w="0" w:type="dxa"/>
            <w:left w:w="0" w:type="dxa"/>
            <w:bottom w:w="0" w:type="dxa"/>
            <w:right w:w="0" w:type="dxa"/>
          </w:tblCellMar>
          <w:tblLook w:val="01E0"/>
        </w:tblPrEx>
        <w:trPr>
          <w:trHeight w:val="338"/>
          <w:jc w:val="left"/>
        </w:trPr>
        <w:tc>
          <w:tcPr>
            <w:tcW w:w="2686" w:type="dxa"/>
            <w:vMerge/>
            <w:tcBorders>
              <w:top w:val="nil"/>
              <w:bottom w:val="single" w:sz="4" w:space="0" w:color="000000"/>
              <w:right w:val="single" w:sz="4" w:space="0" w:color="000000"/>
            </w:tcBorders>
          </w:tcPr>
          <w:p>
            <w:pPr>
              <w:rPr>
                <w:sz w:val="2"/>
                <w:szCs w:val="2"/>
              </w:rPr>
            </w:pPr>
          </w:p>
        </w:tc>
        <w:tc>
          <w:tcPr>
            <w:tcW w:w="6748" w:type="dxa"/>
            <w:tcBorders>
              <w:top w:val="single" w:sz="4" w:space="0" w:color="000000"/>
              <w:left w:val="single" w:sz="4" w:space="0" w:color="000000"/>
              <w:bottom w:val="single" w:sz="4" w:space="0" w:color="000000"/>
            </w:tcBorders>
          </w:tcPr>
          <w:p>
            <w:pPr>
              <w:pStyle w:val="TableParagraph"/>
              <w:spacing w:before="53"/>
              <w:ind w:left="117"/>
              <w:rPr>
                <w:sz w:val="18"/>
              </w:rPr>
            </w:pPr>
            <w:r>
              <w:rPr>
                <w:sz w:val="18"/>
              </w:rPr>
              <w:t>需要低难度医疗护理项目≥6 项者</w:t>
            </w:r>
          </w:p>
        </w:tc>
      </w:tr>
      <w:tr>
        <w:tblPrEx>
          <w:tblW w:w="0" w:type="auto"/>
          <w:jc w:val="left"/>
          <w:tblInd w:w="1154" w:type="dxa"/>
          <w:tblLayout w:type="fixed"/>
          <w:tblCellMar>
            <w:top w:w="0" w:type="dxa"/>
            <w:left w:w="0" w:type="dxa"/>
            <w:bottom w:w="0" w:type="dxa"/>
            <w:right w:w="0" w:type="dxa"/>
          </w:tblCellMar>
          <w:tblLook w:val="01E0"/>
        </w:tblPrEx>
        <w:trPr>
          <w:trHeight w:val="302"/>
          <w:jc w:val="left"/>
        </w:trPr>
        <w:tc>
          <w:tcPr>
            <w:tcW w:w="2686" w:type="dxa"/>
            <w:vMerge w:val="restart"/>
            <w:tcBorders>
              <w:top w:val="single" w:sz="4" w:space="0" w:color="000000"/>
              <w:right w:val="single" w:sz="4" w:space="0" w:color="000000"/>
            </w:tcBorders>
          </w:tcPr>
          <w:p>
            <w:pPr>
              <w:pStyle w:val="TableParagraph"/>
              <w:spacing w:before="7"/>
              <w:rPr>
                <w:sz w:val="16"/>
              </w:rPr>
            </w:pPr>
          </w:p>
          <w:p>
            <w:pPr>
              <w:pStyle w:val="TableParagraph"/>
              <w:spacing w:before="1"/>
              <w:ind w:left="1186" w:right="1169"/>
              <w:jc w:val="center"/>
              <w:rPr>
                <w:sz w:val="18"/>
              </w:rPr>
            </w:pPr>
            <w:r>
              <w:rPr>
                <w:sz w:val="18"/>
              </w:rPr>
              <w:t>3级</w:t>
            </w:r>
          </w:p>
        </w:tc>
        <w:tc>
          <w:tcPr>
            <w:tcW w:w="6748" w:type="dxa"/>
            <w:tcBorders>
              <w:top w:val="single" w:sz="4" w:space="0" w:color="000000"/>
              <w:left w:val="single" w:sz="4" w:space="0" w:color="000000"/>
              <w:bottom w:val="single" w:sz="4" w:space="0" w:color="000000"/>
            </w:tcBorders>
          </w:tcPr>
          <w:p>
            <w:pPr>
              <w:pStyle w:val="TableParagraph"/>
              <w:spacing w:before="40"/>
              <w:ind w:left="117"/>
              <w:rPr>
                <w:sz w:val="18"/>
              </w:rPr>
            </w:pPr>
            <w:r>
              <w:rPr>
                <w:sz w:val="18"/>
              </w:rPr>
              <w:t>需要高难度医疗护理项目之一者</w:t>
            </w:r>
          </w:p>
        </w:tc>
      </w:tr>
      <w:tr>
        <w:tblPrEx>
          <w:tblW w:w="0" w:type="auto"/>
          <w:jc w:val="left"/>
          <w:tblInd w:w="1154" w:type="dxa"/>
          <w:tblLayout w:type="fixed"/>
          <w:tblCellMar>
            <w:top w:w="0" w:type="dxa"/>
            <w:left w:w="0" w:type="dxa"/>
            <w:bottom w:w="0" w:type="dxa"/>
            <w:right w:w="0" w:type="dxa"/>
          </w:tblCellMar>
          <w:tblLook w:val="01E0"/>
        </w:tblPrEx>
        <w:trPr>
          <w:trHeight w:val="324"/>
          <w:jc w:val="left"/>
        </w:trPr>
        <w:tc>
          <w:tcPr>
            <w:tcW w:w="2686" w:type="dxa"/>
            <w:vMerge/>
            <w:tcBorders>
              <w:top w:val="nil"/>
              <w:right w:val="single" w:sz="4" w:space="0" w:color="000000"/>
            </w:tcBorders>
          </w:tcPr>
          <w:p>
            <w:pPr>
              <w:rPr>
                <w:sz w:val="2"/>
                <w:szCs w:val="2"/>
              </w:rPr>
            </w:pPr>
          </w:p>
        </w:tc>
        <w:tc>
          <w:tcPr>
            <w:tcW w:w="6748" w:type="dxa"/>
            <w:tcBorders>
              <w:top w:val="single" w:sz="4" w:space="0" w:color="000000"/>
              <w:left w:val="single" w:sz="4" w:space="0" w:color="000000"/>
            </w:tcBorders>
          </w:tcPr>
          <w:p>
            <w:pPr>
              <w:pStyle w:val="TableParagraph"/>
              <w:spacing w:before="41"/>
              <w:ind w:left="117"/>
              <w:rPr>
                <w:sz w:val="18"/>
              </w:rPr>
            </w:pPr>
            <w:r>
              <w:rPr>
                <w:sz w:val="18"/>
              </w:rPr>
              <w:t>需要中难度医疗护理项目≥2 项者</w:t>
            </w:r>
          </w:p>
        </w:tc>
      </w:tr>
    </w:tbl>
    <w:p>
      <w:pPr>
        <w:spacing w:after="0"/>
        <w:rPr>
          <w:sz w:val="18"/>
        </w:rPr>
        <w:sectPr>
          <w:headerReference w:type="even" r:id="rId8"/>
          <w:headerReference w:type="default" r:id="rId9"/>
          <w:pgSz w:w="11910" w:h="16840"/>
          <w:pgMar w:top="1660" w:right="260" w:bottom="280" w:left="240" w:header="1442" w:footer="0"/>
          <w:pgNumType w:start="9"/>
          <w:cols w:space="708"/>
        </w:sectPr>
      </w:pPr>
    </w:p>
    <w:p>
      <w:pPr>
        <w:pStyle w:val="ListParagraph"/>
        <w:numPr>
          <w:ilvl w:val="2"/>
          <w:numId w:val="8"/>
        </w:numPr>
        <w:tabs>
          <w:tab w:val="left" w:pos="1913"/>
        </w:tabs>
        <w:spacing w:before="157" w:after="0" w:line="240" w:lineRule="auto"/>
        <w:ind w:left="1912" w:right="0" w:hanging="735"/>
        <w:jc w:val="left"/>
        <w:rPr>
          <w:rFonts w:ascii="黑体" w:eastAsia="黑体" w:hint="eastAsia"/>
          <w:sz w:val="21"/>
        </w:rPr>
      </w:pPr>
      <w:bookmarkStart w:id="22" w:name="5.2.3　护理风险"/>
      <w:bookmarkEnd w:id="22"/>
      <w:r>
        <w:rPr>
          <w:rFonts w:ascii="黑体" w:eastAsia="黑体" w:hint="eastAsia"/>
          <w:sz w:val="21"/>
        </w:rPr>
        <w:t>护理风险</w:t>
      </w:r>
    </w:p>
    <w:p>
      <w:pPr>
        <w:pStyle w:val="BodyText"/>
        <w:spacing w:before="7"/>
        <w:rPr>
          <w:rFonts w:ascii="黑体"/>
          <w:sz w:val="15"/>
        </w:rPr>
      </w:pPr>
    </w:p>
    <w:p>
      <w:pPr>
        <w:pStyle w:val="ListParagraph"/>
        <w:numPr>
          <w:ilvl w:val="3"/>
          <w:numId w:val="8"/>
        </w:numPr>
        <w:tabs>
          <w:tab w:val="left" w:pos="2124"/>
        </w:tabs>
        <w:spacing w:before="0" w:after="0" w:line="278" w:lineRule="auto"/>
        <w:ind w:left="1195" w:right="938" w:hanging="17"/>
        <w:jc w:val="left"/>
        <w:rPr>
          <w:sz w:val="21"/>
        </w:rPr>
      </w:pPr>
      <w:bookmarkStart w:id="23" w:name="5.2.3.1　护理风险评估使用《护理风险评估表》（见附录C），从老年人常见的压"/>
      <w:bookmarkEnd w:id="23"/>
      <w:r>
        <w:rPr>
          <w:sz w:val="21"/>
        </w:rPr>
        <w:t>护理风险评估使用《护理风险评估表》</w:t>
      </w:r>
      <w:r>
        <w:rPr>
          <w:sz w:val="21"/>
        </w:rPr>
        <w:t>（</w:t>
      </w:r>
      <w:r>
        <w:rPr>
          <w:spacing w:val="-18"/>
          <w:sz w:val="21"/>
        </w:rPr>
        <w:t xml:space="preserve">见附录 </w:t>
      </w:r>
      <w:r>
        <w:rPr>
          <w:sz w:val="21"/>
        </w:rPr>
        <w:t>C），从老年人常见的压疮、跌倒、误吸三方面风险进行评估。</w:t>
      </w:r>
    </w:p>
    <w:p>
      <w:pPr>
        <w:pStyle w:val="ListParagraph"/>
        <w:numPr>
          <w:ilvl w:val="3"/>
          <w:numId w:val="8"/>
        </w:numPr>
        <w:tabs>
          <w:tab w:val="left" w:pos="2124"/>
        </w:tabs>
        <w:spacing w:before="0" w:after="0" w:line="269" w:lineRule="exact"/>
        <w:ind w:left="2124" w:right="0" w:hanging="946"/>
        <w:jc w:val="left"/>
        <w:rPr>
          <w:sz w:val="21"/>
        </w:rPr>
      </w:pPr>
      <w:bookmarkStart w:id="24" w:name="5.2.3.2　护理风险分级标准如表3。"/>
      <w:bookmarkEnd w:id="24"/>
      <w:r>
        <w:rPr>
          <w:spacing w:val="-5"/>
          <w:sz w:val="21"/>
        </w:rPr>
        <w:t xml:space="preserve">护理风险分级标准如表 </w:t>
      </w:r>
      <w:r>
        <w:rPr>
          <w:sz w:val="21"/>
        </w:rPr>
        <w:t>3。</w:t>
      </w:r>
    </w:p>
    <w:p>
      <w:pPr>
        <w:pStyle w:val="BodyText"/>
        <w:spacing w:before="7"/>
        <w:rPr>
          <w:sz w:val="15"/>
        </w:rPr>
      </w:pPr>
    </w:p>
    <w:p>
      <w:pPr>
        <w:pStyle w:val="BodyText"/>
        <w:ind w:left="585"/>
        <w:jc w:val="center"/>
        <w:rPr>
          <w:rFonts w:ascii="黑体" w:eastAsia="黑体" w:hint="eastAsia"/>
        </w:rPr>
      </w:pPr>
      <w:bookmarkStart w:id="25" w:name="表3  护理风险评估分级表"/>
      <w:bookmarkEnd w:id="25"/>
      <w:r>
        <w:rPr>
          <w:rFonts w:ascii="黑体" w:eastAsia="黑体" w:hint="eastAsia"/>
        </w:rPr>
        <w:t>表 3 护理风险评估分级表</w:t>
      </w:r>
    </w:p>
    <w:p>
      <w:pPr>
        <w:pStyle w:val="BodyText"/>
        <w:spacing w:before="11"/>
        <w:rPr>
          <w:rFonts w:ascii="黑体"/>
          <w:sz w:val="13"/>
        </w:rPr>
      </w:pPr>
    </w:p>
    <w:tbl>
      <w:tblPr>
        <w:tblStyle w:val="TableNormal1"/>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86"/>
        <w:gridCol w:w="6748"/>
      </w:tblGrid>
      <w:tr>
        <w:tblPrEx>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12"/>
          <w:jc w:val="left"/>
        </w:trPr>
        <w:tc>
          <w:tcPr>
            <w:tcW w:w="2686" w:type="dxa"/>
            <w:tcBorders>
              <w:right w:val="single" w:sz="4" w:space="0" w:color="000000"/>
            </w:tcBorders>
          </w:tcPr>
          <w:p>
            <w:pPr>
              <w:pStyle w:val="TableParagraph"/>
              <w:spacing w:before="40"/>
              <w:ind w:left="983"/>
              <w:rPr>
                <w:sz w:val="18"/>
              </w:rPr>
            </w:pPr>
            <w:r>
              <w:rPr>
                <w:sz w:val="18"/>
              </w:rPr>
              <w:t>护理风险分级</w:t>
            </w:r>
          </w:p>
        </w:tc>
        <w:tc>
          <w:tcPr>
            <w:tcW w:w="6748" w:type="dxa"/>
            <w:tcBorders>
              <w:left w:val="single" w:sz="4" w:space="0" w:color="000000"/>
            </w:tcBorders>
          </w:tcPr>
          <w:p>
            <w:pPr>
              <w:pStyle w:val="TableParagraph"/>
              <w:spacing w:before="40"/>
              <w:ind w:left="3182" w:right="2784"/>
              <w:jc w:val="center"/>
              <w:rPr>
                <w:sz w:val="18"/>
              </w:rPr>
            </w:pPr>
            <w:r>
              <w:rPr>
                <w:sz w:val="18"/>
              </w:rPr>
              <w:t>分级标准</w:t>
            </w:r>
          </w:p>
        </w:tc>
      </w:tr>
      <w:tr>
        <w:tblPrEx>
          <w:tblW w:w="0" w:type="auto"/>
          <w:jc w:val="left"/>
          <w:tblInd w:w="1208" w:type="dxa"/>
          <w:tblLayout w:type="fixed"/>
          <w:tblCellMar>
            <w:top w:w="0" w:type="dxa"/>
            <w:left w:w="0" w:type="dxa"/>
            <w:bottom w:w="0" w:type="dxa"/>
            <w:right w:w="0" w:type="dxa"/>
          </w:tblCellMar>
          <w:tblLook w:val="01E0"/>
        </w:tblPrEx>
        <w:trPr>
          <w:trHeight w:val="339"/>
          <w:jc w:val="left"/>
        </w:trPr>
        <w:tc>
          <w:tcPr>
            <w:tcW w:w="2686" w:type="dxa"/>
            <w:vMerge w:val="restart"/>
            <w:tcBorders>
              <w:bottom w:val="single" w:sz="4" w:space="0" w:color="000000"/>
              <w:right w:val="single" w:sz="4" w:space="0" w:color="000000"/>
            </w:tcBorders>
          </w:tcPr>
          <w:p>
            <w:pPr>
              <w:pStyle w:val="TableParagraph"/>
              <w:spacing w:before="12"/>
              <w:rPr>
                <w:rFonts w:ascii="黑体"/>
                <w:sz w:val="16"/>
              </w:rPr>
            </w:pPr>
          </w:p>
          <w:p>
            <w:pPr>
              <w:pStyle w:val="TableParagraph"/>
              <w:ind w:left="1186" w:right="1169"/>
              <w:jc w:val="center"/>
              <w:rPr>
                <w:sz w:val="18"/>
              </w:rPr>
            </w:pPr>
            <w:r>
              <w:rPr>
                <w:sz w:val="18"/>
              </w:rPr>
              <w:t>1级</w:t>
            </w:r>
          </w:p>
        </w:tc>
        <w:tc>
          <w:tcPr>
            <w:tcW w:w="6748" w:type="dxa"/>
            <w:tcBorders>
              <w:left w:val="single" w:sz="4" w:space="0" w:color="000000"/>
              <w:bottom w:val="single" w:sz="4" w:space="0" w:color="000000"/>
            </w:tcBorders>
          </w:tcPr>
          <w:p>
            <w:pPr>
              <w:pStyle w:val="TableParagraph"/>
              <w:spacing w:before="54"/>
              <w:ind w:left="116"/>
              <w:rPr>
                <w:sz w:val="18"/>
              </w:rPr>
            </w:pPr>
            <w:r>
              <w:rPr>
                <w:sz w:val="18"/>
              </w:rPr>
              <w:t>压疮风险、跌倒风险、误吸风险评估为无风险或低危风险</w:t>
            </w:r>
          </w:p>
        </w:tc>
      </w:tr>
      <w:tr>
        <w:tblPrEx>
          <w:tblW w:w="0" w:type="auto"/>
          <w:jc w:val="left"/>
          <w:tblInd w:w="1208" w:type="dxa"/>
          <w:tblLayout w:type="fixed"/>
          <w:tblCellMar>
            <w:top w:w="0" w:type="dxa"/>
            <w:left w:w="0" w:type="dxa"/>
            <w:bottom w:w="0" w:type="dxa"/>
            <w:right w:w="0" w:type="dxa"/>
          </w:tblCellMar>
          <w:tblLook w:val="01E0"/>
        </w:tblPrEx>
        <w:trPr>
          <w:trHeight w:val="315"/>
          <w:jc w:val="left"/>
        </w:trPr>
        <w:tc>
          <w:tcPr>
            <w:tcW w:w="2686" w:type="dxa"/>
            <w:vMerge/>
            <w:tcBorders>
              <w:top w:val="nil"/>
              <w:bottom w:val="single" w:sz="4" w:space="0" w:color="000000"/>
              <w:right w:val="single" w:sz="4" w:space="0" w:color="000000"/>
            </w:tcBorders>
          </w:tcPr>
          <w:p>
            <w:pPr>
              <w:rPr>
                <w:sz w:val="2"/>
                <w:szCs w:val="2"/>
              </w:rPr>
            </w:pPr>
          </w:p>
        </w:tc>
        <w:tc>
          <w:tcPr>
            <w:tcW w:w="6748" w:type="dxa"/>
            <w:tcBorders>
              <w:top w:val="single" w:sz="4" w:space="0" w:color="000000"/>
              <w:left w:val="single" w:sz="4" w:space="0" w:color="000000"/>
              <w:bottom w:val="single" w:sz="4" w:space="0" w:color="000000"/>
            </w:tcBorders>
          </w:tcPr>
          <w:p>
            <w:pPr>
              <w:pStyle w:val="TableParagraph"/>
              <w:spacing w:before="43"/>
              <w:ind w:left="116"/>
              <w:rPr>
                <w:sz w:val="18"/>
              </w:rPr>
            </w:pPr>
            <w:r>
              <w:rPr>
                <w:sz w:val="18"/>
              </w:rPr>
              <w:t>压疮风险、跌倒风险、误吸风险评估中有一项达到中危风险</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2686" w:type="dxa"/>
            <w:vMerge w:val="restart"/>
            <w:tcBorders>
              <w:top w:val="single" w:sz="4" w:space="0" w:color="000000"/>
              <w:bottom w:val="single" w:sz="4" w:space="0" w:color="000000"/>
              <w:right w:val="single" w:sz="4" w:space="0" w:color="000000"/>
            </w:tcBorders>
          </w:tcPr>
          <w:p>
            <w:pPr>
              <w:pStyle w:val="TableParagraph"/>
              <w:spacing w:before="3"/>
              <w:rPr>
                <w:rFonts w:ascii="黑体"/>
                <w:sz w:val="18"/>
              </w:rPr>
            </w:pPr>
          </w:p>
          <w:p>
            <w:pPr>
              <w:pStyle w:val="TableParagraph"/>
              <w:ind w:left="1186" w:right="1169"/>
              <w:jc w:val="center"/>
              <w:rPr>
                <w:sz w:val="18"/>
              </w:rPr>
            </w:pPr>
            <w:r>
              <w:rPr>
                <w:sz w:val="18"/>
              </w:rPr>
              <w:t>2级</w:t>
            </w:r>
          </w:p>
        </w:tc>
        <w:tc>
          <w:tcPr>
            <w:tcW w:w="6748" w:type="dxa"/>
            <w:tcBorders>
              <w:top w:val="single" w:sz="4" w:space="0" w:color="000000"/>
              <w:left w:val="single" w:sz="4" w:space="0" w:color="000000"/>
              <w:bottom w:val="single" w:sz="4" w:space="0" w:color="000000"/>
            </w:tcBorders>
          </w:tcPr>
          <w:p>
            <w:pPr>
              <w:pStyle w:val="TableParagraph"/>
              <w:spacing w:before="42"/>
              <w:ind w:left="116"/>
              <w:rPr>
                <w:sz w:val="18"/>
              </w:rPr>
            </w:pPr>
            <w:r>
              <w:rPr>
                <w:sz w:val="18"/>
              </w:rPr>
              <w:t>压疮风险、跌倒风险、误吸风险评估中有一项达到高危风险</w:t>
            </w:r>
          </w:p>
        </w:tc>
      </w:tr>
      <w:tr>
        <w:tblPrEx>
          <w:tblW w:w="0" w:type="auto"/>
          <w:jc w:val="left"/>
          <w:tblInd w:w="1208" w:type="dxa"/>
          <w:tblLayout w:type="fixed"/>
          <w:tblCellMar>
            <w:top w:w="0" w:type="dxa"/>
            <w:left w:w="0" w:type="dxa"/>
            <w:bottom w:w="0" w:type="dxa"/>
            <w:right w:w="0" w:type="dxa"/>
          </w:tblCellMar>
          <w:tblLook w:val="01E0"/>
        </w:tblPrEx>
        <w:trPr>
          <w:trHeight w:val="374"/>
          <w:jc w:val="left"/>
        </w:trPr>
        <w:tc>
          <w:tcPr>
            <w:tcW w:w="2686" w:type="dxa"/>
            <w:vMerge/>
            <w:tcBorders>
              <w:top w:val="nil"/>
              <w:bottom w:val="single" w:sz="4" w:space="0" w:color="000000"/>
              <w:right w:val="single" w:sz="4" w:space="0" w:color="000000"/>
            </w:tcBorders>
          </w:tcPr>
          <w:p>
            <w:pPr>
              <w:rPr>
                <w:sz w:val="2"/>
                <w:szCs w:val="2"/>
              </w:rPr>
            </w:pPr>
          </w:p>
        </w:tc>
        <w:tc>
          <w:tcPr>
            <w:tcW w:w="6748" w:type="dxa"/>
            <w:tcBorders>
              <w:top w:val="single" w:sz="4" w:space="0" w:color="000000"/>
              <w:left w:val="single" w:sz="4" w:space="0" w:color="000000"/>
              <w:bottom w:val="single" w:sz="4" w:space="0" w:color="000000"/>
            </w:tcBorders>
          </w:tcPr>
          <w:p>
            <w:pPr>
              <w:pStyle w:val="TableParagraph"/>
              <w:spacing w:before="72"/>
              <w:ind w:left="116"/>
              <w:rPr>
                <w:sz w:val="18"/>
              </w:rPr>
            </w:pPr>
            <w:r>
              <w:rPr>
                <w:sz w:val="18"/>
              </w:rPr>
              <w:t>压疮风险、跌倒风险、误吸风险评估中≥2 项达到中危风险</w:t>
            </w:r>
          </w:p>
        </w:tc>
      </w:tr>
      <w:tr>
        <w:tblPrEx>
          <w:tblW w:w="0" w:type="auto"/>
          <w:jc w:val="left"/>
          <w:tblInd w:w="1208" w:type="dxa"/>
          <w:tblLayout w:type="fixed"/>
          <w:tblCellMar>
            <w:top w:w="0" w:type="dxa"/>
            <w:left w:w="0" w:type="dxa"/>
            <w:bottom w:w="0" w:type="dxa"/>
            <w:right w:w="0" w:type="dxa"/>
          </w:tblCellMar>
          <w:tblLook w:val="01E0"/>
        </w:tblPrEx>
        <w:trPr>
          <w:trHeight w:val="301"/>
          <w:jc w:val="left"/>
        </w:trPr>
        <w:tc>
          <w:tcPr>
            <w:tcW w:w="2686" w:type="dxa"/>
            <w:vMerge w:val="restart"/>
            <w:tcBorders>
              <w:top w:val="single" w:sz="4" w:space="0" w:color="000000"/>
              <w:right w:val="single" w:sz="4" w:space="0" w:color="000000"/>
            </w:tcBorders>
          </w:tcPr>
          <w:p>
            <w:pPr>
              <w:pStyle w:val="TableParagraph"/>
              <w:rPr>
                <w:rFonts w:ascii="黑体"/>
                <w:sz w:val="18"/>
              </w:rPr>
            </w:pPr>
          </w:p>
          <w:p>
            <w:pPr>
              <w:pStyle w:val="TableParagraph"/>
              <w:ind w:left="1186" w:right="1169"/>
              <w:jc w:val="center"/>
              <w:rPr>
                <w:sz w:val="18"/>
              </w:rPr>
            </w:pPr>
            <w:r>
              <w:rPr>
                <w:sz w:val="18"/>
              </w:rPr>
              <w:t>3级</w:t>
            </w:r>
          </w:p>
        </w:tc>
        <w:tc>
          <w:tcPr>
            <w:tcW w:w="6748" w:type="dxa"/>
            <w:tcBorders>
              <w:top w:val="single" w:sz="4" w:space="0" w:color="000000"/>
              <w:left w:val="single" w:sz="4" w:space="0" w:color="000000"/>
              <w:bottom w:val="single" w:sz="4" w:space="0" w:color="000000"/>
            </w:tcBorders>
          </w:tcPr>
          <w:p>
            <w:pPr>
              <w:pStyle w:val="TableParagraph"/>
              <w:spacing w:before="41"/>
              <w:ind w:left="116"/>
              <w:rPr>
                <w:sz w:val="18"/>
              </w:rPr>
            </w:pPr>
            <w:r>
              <w:rPr>
                <w:sz w:val="18"/>
              </w:rPr>
              <w:t>压疮风险、跌倒风险、误吸风险评估中有≥2 项达到高危风险</w:t>
            </w:r>
          </w:p>
        </w:tc>
      </w:tr>
      <w:tr>
        <w:tblPrEx>
          <w:tblW w:w="0" w:type="auto"/>
          <w:jc w:val="left"/>
          <w:tblInd w:w="1208" w:type="dxa"/>
          <w:tblLayout w:type="fixed"/>
          <w:tblCellMar>
            <w:top w:w="0" w:type="dxa"/>
            <w:left w:w="0" w:type="dxa"/>
            <w:bottom w:w="0" w:type="dxa"/>
            <w:right w:w="0" w:type="dxa"/>
          </w:tblCellMar>
          <w:tblLook w:val="01E0"/>
        </w:tblPrEx>
        <w:trPr>
          <w:trHeight w:val="361"/>
          <w:jc w:val="left"/>
        </w:trPr>
        <w:tc>
          <w:tcPr>
            <w:tcW w:w="2686" w:type="dxa"/>
            <w:vMerge/>
            <w:tcBorders>
              <w:top w:val="nil"/>
              <w:right w:val="single" w:sz="4" w:space="0" w:color="000000"/>
            </w:tcBorders>
          </w:tcPr>
          <w:p>
            <w:pPr>
              <w:rPr>
                <w:sz w:val="2"/>
                <w:szCs w:val="2"/>
              </w:rPr>
            </w:pPr>
          </w:p>
        </w:tc>
        <w:tc>
          <w:tcPr>
            <w:tcW w:w="6748" w:type="dxa"/>
            <w:tcBorders>
              <w:top w:val="single" w:sz="4" w:space="0" w:color="000000"/>
              <w:left w:val="single" w:sz="4" w:space="0" w:color="000000"/>
            </w:tcBorders>
          </w:tcPr>
          <w:p>
            <w:pPr>
              <w:pStyle w:val="TableParagraph"/>
              <w:spacing w:before="60"/>
              <w:ind w:left="116"/>
              <w:rPr>
                <w:sz w:val="18"/>
              </w:rPr>
            </w:pPr>
            <w:r>
              <w:rPr>
                <w:sz w:val="18"/>
              </w:rPr>
              <w:t>压疮风险达到极高危风险</w:t>
            </w:r>
          </w:p>
        </w:tc>
      </w:tr>
    </w:tbl>
    <w:p>
      <w:pPr>
        <w:pStyle w:val="BodyText"/>
        <w:spacing w:before="1"/>
        <w:rPr>
          <w:rFonts w:ascii="黑体"/>
          <w:sz w:val="26"/>
        </w:rPr>
      </w:pPr>
    </w:p>
    <w:p>
      <w:pPr>
        <w:pStyle w:val="ListParagraph"/>
        <w:numPr>
          <w:ilvl w:val="0"/>
          <w:numId w:val="11"/>
        </w:numPr>
        <w:tabs>
          <w:tab w:val="left" w:pos="1493"/>
        </w:tabs>
        <w:spacing w:before="1" w:after="0" w:line="240" w:lineRule="auto"/>
        <w:ind w:left="1492" w:right="0" w:hanging="315"/>
        <w:jc w:val="left"/>
        <w:rPr>
          <w:rFonts w:ascii="黑体" w:eastAsia="黑体" w:hint="eastAsia"/>
          <w:sz w:val="21"/>
        </w:rPr>
      </w:pPr>
      <w:bookmarkStart w:id="26" w:name="6　评估要求及实施"/>
      <w:bookmarkEnd w:id="26"/>
      <w:r>
        <w:rPr>
          <w:rFonts w:ascii="黑体" w:eastAsia="黑体" w:hint="eastAsia"/>
          <w:sz w:val="21"/>
        </w:rPr>
        <w:t>评估要求及实施</w:t>
      </w:r>
    </w:p>
    <w:p>
      <w:pPr>
        <w:pStyle w:val="BodyText"/>
        <w:spacing w:before="6"/>
        <w:rPr>
          <w:rFonts w:ascii="黑体"/>
          <w:sz w:val="24"/>
        </w:rPr>
      </w:pPr>
    </w:p>
    <w:p>
      <w:pPr>
        <w:pStyle w:val="ListParagraph"/>
        <w:numPr>
          <w:ilvl w:val="1"/>
          <w:numId w:val="11"/>
        </w:numPr>
        <w:tabs>
          <w:tab w:val="left" w:pos="1704"/>
        </w:tabs>
        <w:spacing w:before="0" w:after="0" w:line="240" w:lineRule="auto"/>
        <w:ind w:left="1704" w:right="0" w:hanging="526"/>
        <w:jc w:val="left"/>
        <w:rPr>
          <w:rFonts w:ascii="黑体" w:eastAsia="黑体" w:hint="eastAsia"/>
          <w:sz w:val="21"/>
        </w:rPr>
      </w:pPr>
      <w:bookmarkStart w:id="27" w:name="6.1　评估要求"/>
      <w:bookmarkEnd w:id="27"/>
      <w:r>
        <w:rPr>
          <w:rFonts w:ascii="黑体" w:eastAsia="黑体" w:hint="eastAsia"/>
          <w:sz w:val="21"/>
        </w:rPr>
        <w:t>评估要求</w:t>
      </w:r>
    </w:p>
    <w:p>
      <w:pPr>
        <w:pStyle w:val="ListParagraph"/>
        <w:numPr>
          <w:ilvl w:val="2"/>
          <w:numId w:val="11"/>
        </w:numPr>
        <w:tabs>
          <w:tab w:val="left" w:pos="1913"/>
        </w:tabs>
        <w:spacing w:before="168" w:after="0" w:line="240" w:lineRule="auto"/>
        <w:ind w:left="1912" w:right="0" w:hanging="735"/>
        <w:jc w:val="left"/>
        <w:rPr>
          <w:sz w:val="21"/>
        </w:rPr>
      </w:pPr>
      <w:bookmarkStart w:id="28" w:name="6.1.1　评估员应着装整洁、文明用语、礼貌待人。评估时应严格遵守客观、公正、专"/>
      <w:bookmarkEnd w:id="28"/>
      <w:r>
        <w:rPr>
          <w:sz w:val="21"/>
        </w:rPr>
        <w:t>评估员应着装整洁、文明用语、礼貌待人。评估时应严格遵守客观、公正、专业的原则。</w:t>
      </w:r>
    </w:p>
    <w:p>
      <w:pPr>
        <w:pStyle w:val="ListParagraph"/>
        <w:numPr>
          <w:ilvl w:val="2"/>
          <w:numId w:val="11"/>
        </w:numPr>
        <w:tabs>
          <w:tab w:val="left" w:pos="1913"/>
        </w:tabs>
        <w:spacing w:before="43" w:after="0" w:line="278" w:lineRule="auto"/>
        <w:ind w:left="1195" w:right="883" w:hanging="17"/>
        <w:jc w:val="left"/>
        <w:rPr>
          <w:sz w:val="21"/>
        </w:rPr>
      </w:pPr>
      <w:r>
        <w:drawing>
          <wp:anchor distT="0" distB="0" distL="0" distR="0" simplePos="0" relativeHeight="251669504" behindDoc="0" locked="0" layoutInCell="1" allowOverlap="1">
            <wp:simplePos x="0" y="0"/>
            <wp:positionH relativeFrom="page">
              <wp:posOffset>215900</wp:posOffset>
            </wp:positionH>
            <wp:positionV relativeFrom="paragraph">
              <wp:posOffset>204596</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bookmarkStart w:id="29" w:name="6.1.2　评估员应具有临床医学、护理学专业学历并获得相应的资格证书或取得二级及"/>
      <w:bookmarkEnd w:id="29"/>
      <w:r>
        <w:rPr>
          <w:w w:val="95"/>
          <w:sz w:val="21"/>
        </w:rPr>
        <w:t>评估员应具有临床医学、护理学专业学历并获得相应的资格证书或取得二级及以上的养老护理</w:t>
      </w:r>
      <w:r>
        <w:rPr>
          <w:w w:val="95"/>
          <w:sz w:val="21"/>
        </w:rPr>
        <w:t xml:space="preserve">   </w:t>
      </w:r>
      <w:r>
        <w:rPr>
          <w:sz w:val="21"/>
        </w:rPr>
        <w:t>员证书。</w:t>
      </w:r>
    </w:p>
    <w:p>
      <w:pPr>
        <w:pStyle w:val="ListParagraph"/>
        <w:numPr>
          <w:ilvl w:val="2"/>
          <w:numId w:val="11"/>
        </w:numPr>
        <w:tabs>
          <w:tab w:val="left" w:pos="1913"/>
        </w:tabs>
        <w:spacing w:before="0" w:after="0" w:line="269" w:lineRule="exact"/>
        <w:ind w:left="1912" w:right="0" w:hanging="735"/>
        <w:jc w:val="left"/>
        <w:rPr>
          <w:sz w:val="21"/>
        </w:rPr>
      </w:pPr>
      <w:bookmarkStart w:id="30" w:name="6.1.3　评估员上岗前应接受培训，考核合格后方可上岗。"/>
      <w:bookmarkEnd w:id="30"/>
      <w:r>
        <w:rPr>
          <w:sz w:val="21"/>
        </w:rPr>
        <w:t>评估员上岗前应接受培训，考核合格后方可上岗。</w:t>
      </w:r>
    </w:p>
    <w:p>
      <w:pPr>
        <w:pStyle w:val="ListParagraph"/>
        <w:numPr>
          <w:ilvl w:val="2"/>
          <w:numId w:val="11"/>
        </w:numPr>
        <w:tabs>
          <w:tab w:val="left" w:pos="1913"/>
        </w:tabs>
        <w:spacing w:before="43" w:after="0" w:line="278" w:lineRule="auto"/>
        <w:ind w:left="1195" w:right="883" w:hanging="17"/>
        <w:jc w:val="left"/>
        <w:rPr>
          <w:sz w:val="21"/>
        </w:rPr>
      </w:pPr>
      <w:bookmarkStart w:id="31" w:name="6.1.4　每次评估应至少由2名评估员共同负责评估工作，其中一人必须具有临床医学"/>
      <w:bookmarkEnd w:id="31"/>
      <w:r>
        <w:rPr>
          <w:spacing w:val="-7"/>
          <w:sz w:val="21"/>
        </w:rPr>
        <w:t xml:space="preserve">每次评估应至少由 </w:t>
      </w:r>
      <w:r>
        <w:rPr>
          <w:sz w:val="21"/>
        </w:rPr>
        <w:t>2</w:t>
      </w:r>
      <w:r>
        <w:rPr>
          <w:spacing w:val="-8"/>
          <w:sz w:val="21"/>
        </w:rPr>
        <w:t xml:space="preserve"> 名评估员共同负责评估工作，其中一人必须具有临床医学或护理学专业背景，并担任评估组长。</w:t>
      </w:r>
    </w:p>
    <w:p>
      <w:pPr>
        <w:pStyle w:val="ListParagraph"/>
        <w:numPr>
          <w:ilvl w:val="2"/>
          <w:numId w:val="11"/>
        </w:numPr>
        <w:tabs>
          <w:tab w:val="left" w:pos="1913"/>
        </w:tabs>
        <w:spacing w:before="0" w:after="0" w:line="278" w:lineRule="auto"/>
        <w:ind w:left="1195" w:right="883" w:hanging="17"/>
        <w:jc w:val="left"/>
        <w:rPr>
          <w:sz w:val="21"/>
        </w:rPr>
      </w:pPr>
      <w:bookmarkStart w:id="32" w:name="6.1.5　评估前应配备牙刷、梳子、毛巾、脸盆、筷子、碗等评估物品以及评估用的台"/>
      <w:bookmarkEnd w:id="32"/>
      <w:r>
        <w:rPr>
          <w:w w:val="95"/>
          <w:sz w:val="21"/>
        </w:rPr>
        <w:t>评估前应配备牙刷、梳子、毛巾、脸盆、筷子、碗等评估物品以及评估用的台阶、坐便器、洗</w:t>
      </w:r>
      <w:r>
        <w:rPr>
          <w:w w:val="95"/>
          <w:sz w:val="21"/>
        </w:rPr>
        <w:t xml:space="preserve">   </w:t>
      </w:r>
      <w:r>
        <w:rPr>
          <w:sz w:val="21"/>
        </w:rPr>
        <w:t>浴设备及轮椅、助行器等必要的辅助用具。</w:t>
      </w:r>
    </w:p>
    <w:p>
      <w:pPr>
        <w:pStyle w:val="ListParagraph"/>
        <w:numPr>
          <w:ilvl w:val="2"/>
          <w:numId w:val="11"/>
        </w:numPr>
        <w:tabs>
          <w:tab w:val="left" w:pos="1913"/>
        </w:tabs>
        <w:spacing w:before="0" w:after="0" w:line="269" w:lineRule="exact"/>
        <w:ind w:left="1912" w:right="0" w:hanging="735"/>
        <w:jc w:val="left"/>
        <w:rPr>
          <w:sz w:val="21"/>
        </w:rPr>
      </w:pPr>
      <w:bookmarkStart w:id="33" w:name="6.1.6　评估环境应安全、安静、整洁、光线良好、温度适宜、空气清新。"/>
      <w:bookmarkEnd w:id="33"/>
      <w:r>
        <w:rPr>
          <w:sz w:val="21"/>
        </w:rPr>
        <w:t>评估环境应安全、安静、整洁、光线良好、温度适宜、空气清新。</w:t>
      </w:r>
    </w:p>
    <w:p>
      <w:pPr>
        <w:pStyle w:val="ListParagraph"/>
        <w:numPr>
          <w:ilvl w:val="1"/>
          <w:numId w:val="11"/>
        </w:numPr>
        <w:tabs>
          <w:tab w:val="left" w:pos="1704"/>
        </w:tabs>
        <w:spacing w:before="158" w:after="0" w:line="240" w:lineRule="auto"/>
        <w:ind w:left="1704" w:right="0" w:hanging="526"/>
        <w:jc w:val="left"/>
        <w:rPr>
          <w:rFonts w:ascii="黑体" w:eastAsia="黑体" w:hint="eastAsia"/>
          <w:sz w:val="21"/>
        </w:rPr>
      </w:pPr>
      <w:bookmarkStart w:id="34" w:name="6.2　评估实施"/>
      <w:bookmarkEnd w:id="34"/>
      <w:r>
        <w:rPr>
          <w:rFonts w:ascii="黑体" w:eastAsia="黑体" w:hint="eastAsia"/>
          <w:sz w:val="21"/>
        </w:rPr>
        <w:t>评估实施</w:t>
      </w:r>
    </w:p>
    <w:p>
      <w:pPr>
        <w:pStyle w:val="ListParagraph"/>
        <w:numPr>
          <w:ilvl w:val="2"/>
          <w:numId w:val="11"/>
        </w:numPr>
        <w:tabs>
          <w:tab w:val="left" w:pos="1913"/>
        </w:tabs>
        <w:spacing w:before="167" w:after="0" w:line="278" w:lineRule="auto"/>
        <w:ind w:left="1195" w:right="883" w:hanging="17"/>
        <w:jc w:val="left"/>
        <w:rPr>
          <w:sz w:val="21"/>
        </w:rPr>
      </w:pPr>
      <w:bookmarkStart w:id="35" w:name="6.2.1　评估员应确认评估对象的基本信息和自愿性，通过询问评估者或照顾者，核对"/>
      <w:bookmarkEnd w:id="35"/>
      <w:r>
        <w:rPr>
          <w:w w:val="95"/>
          <w:sz w:val="21"/>
        </w:rPr>
        <w:t>评估员应确认评估对象的基本信息和自愿性，通过询问评估者或照顾者，核对相关资料的真实</w:t>
      </w:r>
      <w:r>
        <w:rPr>
          <w:w w:val="95"/>
          <w:sz w:val="21"/>
        </w:rPr>
        <w:t xml:space="preserve">   </w:t>
      </w:r>
      <w:r>
        <w:rPr>
          <w:sz w:val="21"/>
        </w:rPr>
        <w:t>性和准确性，填写《护理等级评定基本信息表》（</w:t>
      </w:r>
      <w:r>
        <w:rPr>
          <w:spacing w:val="-13"/>
          <w:sz w:val="21"/>
        </w:rPr>
        <w:t xml:space="preserve">见附录 </w:t>
      </w:r>
      <w:r>
        <w:rPr>
          <w:sz w:val="21"/>
        </w:rPr>
        <w:t>D）。</w:t>
      </w:r>
    </w:p>
    <w:p>
      <w:pPr>
        <w:pStyle w:val="ListParagraph"/>
        <w:numPr>
          <w:ilvl w:val="2"/>
          <w:numId w:val="11"/>
        </w:numPr>
        <w:tabs>
          <w:tab w:val="left" w:pos="1913"/>
        </w:tabs>
        <w:spacing w:before="0" w:after="0" w:line="269" w:lineRule="exact"/>
        <w:ind w:left="1912" w:right="0" w:hanging="735"/>
        <w:jc w:val="left"/>
        <w:rPr>
          <w:sz w:val="21"/>
        </w:rPr>
      </w:pPr>
      <w:bookmarkStart w:id="36" w:name="6.2.2　评估员应向评估对象/照顾者说明评估目的、要求。"/>
      <w:bookmarkEnd w:id="36"/>
      <w:r>
        <w:rPr>
          <w:sz w:val="21"/>
        </w:rPr>
        <w:t>评估员应向评估对象</w:t>
      </w:r>
      <w:r>
        <w:rPr>
          <w:sz w:val="21"/>
        </w:rPr>
        <w:t>/照顾者说明评估目的、要求。</w:t>
      </w:r>
    </w:p>
    <w:p>
      <w:pPr>
        <w:pStyle w:val="ListParagraph"/>
        <w:numPr>
          <w:ilvl w:val="2"/>
          <w:numId w:val="11"/>
        </w:numPr>
        <w:tabs>
          <w:tab w:val="left" w:pos="1913"/>
        </w:tabs>
        <w:spacing w:before="43" w:after="0" w:line="240" w:lineRule="auto"/>
        <w:ind w:left="1912" w:right="0" w:hanging="735"/>
        <w:jc w:val="left"/>
        <w:rPr>
          <w:sz w:val="21"/>
        </w:rPr>
      </w:pPr>
      <w:bookmarkStart w:id="37" w:name="6.2.3　评估员应严格按照评估表格进行逐项评估，确定各一级指标的分级。"/>
      <w:bookmarkEnd w:id="37"/>
      <w:r>
        <w:rPr>
          <w:sz w:val="21"/>
        </w:rPr>
        <w:t>评估员应严格按照评估表格进行逐项评估，确定各一级指标的分级。</w:t>
      </w:r>
    </w:p>
    <w:p>
      <w:pPr>
        <w:pStyle w:val="ListParagraph"/>
        <w:numPr>
          <w:ilvl w:val="2"/>
          <w:numId w:val="11"/>
        </w:numPr>
        <w:tabs>
          <w:tab w:val="left" w:pos="1913"/>
        </w:tabs>
        <w:spacing w:before="43" w:after="0" w:line="278" w:lineRule="auto"/>
        <w:ind w:left="1195" w:right="769" w:hanging="17"/>
        <w:jc w:val="left"/>
        <w:rPr>
          <w:sz w:val="21"/>
        </w:rPr>
      </w:pPr>
      <w:bookmarkStart w:id="38" w:name="6.2.4　评估员根据各一级指标的分级，得出老年人的初步护理等级，结合等级变更条"/>
      <w:bookmarkEnd w:id="38"/>
      <w:r>
        <w:rPr>
          <w:sz w:val="21"/>
        </w:rPr>
        <w:t>评估员根据各一级指标的分级，得出老年人的初步护理等级，结合等级变更条款确定最终护理</w:t>
      </w:r>
      <w:r>
        <w:rPr>
          <w:spacing w:val="-12"/>
          <w:sz w:val="21"/>
        </w:rPr>
        <w:t xml:space="preserve">等级，并在 </w:t>
      </w:r>
      <w:r>
        <w:rPr>
          <w:sz w:val="21"/>
        </w:rPr>
        <w:t>24</w:t>
      </w:r>
      <w:r>
        <w:rPr>
          <w:spacing w:val="-12"/>
          <w:sz w:val="21"/>
        </w:rPr>
        <w:t xml:space="preserve"> 小时内出具报告，《养老机构护理等级评定报告》需 </w:t>
      </w:r>
      <w:r>
        <w:rPr>
          <w:sz w:val="21"/>
        </w:rPr>
        <w:t>2</w:t>
      </w:r>
      <w:r>
        <w:rPr>
          <w:spacing w:val="-8"/>
          <w:sz w:val="21"/>
        </w:rPr>
        <w:t xml:space="preserve"> 名评估员签名确认</w:t>
      </w:r>
      <w:r>
        <w:rPr>
          <w:sz w:val="21"/>
        </w:rPr>
        <w:t>（</w:t>
      </w:r>
      <w:r>
        <w:rPr>
          <w:spacing w:val="-15"/>
          <w:sz w:val="21"/>
        </w:rPr>
        <w:t xml:space="preserve">见附录 </w:t>
      </w:r>
      <w:r>
        <w:rPr>
          <w:spacing w:val="-4"/>
          <w:sz w:val="21"/>
        </w:rPr>
        <w:t>E）</w:t>
      </w:r>
      <w:r>
        <w:rPr>
          <w:sz w:val="21"/>
        </w:rPr>
        <w:t>。</w:t>
      </w:r>
    </w:p>
    <w:p>
      <w:pPr>
        <w:pStyle w:val="ListParagraph"/>
        <w:numPr>
          <w:ilvl w:val="2"/>
          <w:numId w:val="11"/>
        </w:numPr>
        <w:tabs>
          <w:tab w:val="left" w:pos="1913"/>
        </w:tabs>
        <w:spacing w:before="0" w:after="0" w:line="269" w:lineRule="exact"/>
        <w:ind w:left="1912" w:right="0" w:hanging="735"/>
        <w:jc w:val="left"/>
        <w:rPr>
          <w:sz w:val="21"/>
        </w:rPr>
      </w:pPr>
      <w:bookmarkStart w:id="39" w:name="6.2.5　机构管理人员核对评定结果后，将评定结果告知评估对象或其监护人，并确认"/>
      <w:bookmarkEnd w:id="39"/>
      <w:r>
        <w:rPr>
          <w:sz w:val="21"/>
        </w:rPr>
        <w:t>机构管理人员核对评定结果后，将评定结果告知评估对象或其监护人，并确认签名。</w:t>
      </w:r>
    </w:p>
    <w:p>
      <w:pPr>
        <w:pStyle w:val="ListParagraph"/>
        <w:numPr>
          <w:ilvl w:val="2"/>
          <w:numId w:val="11"/>
        </w:numPr>
        <w:tabs>
          <w:tab w:val="left" w:pos="1913"/>
        </w:tabs>
        <w:spacing w:before="43" w:after="0" w:line="278" w:lineRule="auto"/>
        <w:ind w:left="1195" w:right="883" w:hanging="17"/>
        <w:jc w:val="left"/>
        <w:rPr>
          <w:sz w:val="21"/>
        </w:rPr>
      </w:pPr>
      <w:bookmarkStart w:id="40" w:name="6.2.6　老年人护理等级评定应该根据其健康状况实施动态评估，若无特殊变化，每6"/>
      <w:bookmarkEnd w:id="40"/>
      <w:r>
        <w:rPr>
          <w:spacing w:val="-2"/>
          <w:sz w:val="21"/>
        </w:rPr>
        <w:t xml:space="preserve">老年人护理等级评定应该根据其健康状况实施动态评估，若无特殊变化，每 </w:t>
      </w:r>
      <w:r>
        <w:rPr>
          <w:sz w:val="21"/>
        </w:rPr>
        <w:t>6</w:t>
      </w:r>
      <w:r>
        <w:rPr>
          <w:spacing w:val="-9"/>
          <w:sz w:val="21"/>
        </w:rPr>
        <w:t xml:space="preserve"> 个月评估一次； 出现特殊情况导致护理等级变化时，应及时进行评估。</w:t>
      </w:r>
    </w:p>
    <w:p>
      <w:pPr>
        <w:pStyle w:val="BodyText"/>
        <w:spacing w:before="4"/>
        <w:rPr>
          <w:sz w:val="24"/>
        </w:rPr>
      </w:pPr>
    </w:p>
    <w:p>
      <w:pPr>
        <w:pStyle w:val="ListParagraph"/>
        <w:numPr>
          <w:ilvl w:val="0"/>
          <w:numId w:val="11"/>
        </w:numPr>
        <w:tabs>
          <w:tab w:val="left" w:pos="1493"/>
        </w:tabs>
        <w:spacing w:before="1" w:after="0" w:line="240" w:lineRule="auto"/>
        <w:ind w:left="1492" w:right="0" w:hanging="315"/>
        <w:jc w:val="left"/>
        <w:rPr>
          <w:rFonts w:ascii="黑体" w:eastAsia="黑体" w:hint="eastAsia"/>
          <w:sz w:val="21"/>
        </w:rPr>
      </w:pPr>
      <w:bookmarkStart w:id="41" w:name="7　评定等级划分与确定"/>
      <w:bookmarkEnd w:id="41"/>
      <w:r>
        <w:rPr>
          <w:rFonts w:ascii="黑体" w:eastAsia="黑体" w:hint="eastAsia"/>
          <w:sz w:val="21"/>
        </w:rPr>
        <w:t>评定等级划分与确定</w:t>
      </w:r>
    </w:p>
    <w:p>
      <w:pPr>
        <w:pStyle w:val="BodyText"/>
        <w:spacing w:before="6"/>
        <w:rPr>
          <w:rFonts w:ascii="黑体"/>
          <w:sz w:val="24"/>
        </w:rPr>
      </w:pPr>
    </w:p>
    <w:p>
      <w:pPr>
        <w:pStyle w:val="ListParagraph"/>
        <w:numPr>
          <w:ilvl w:val="1"/>
          <w:numId w:val="11"/>
        </w:numPr>
        <w:tabs>
          <w:tab w:val="left" w:pos="1704"/>
        </w:tabs>
        <w:spacing w:before="0" w:after="0" w:line="240" w:lineRule="auto"/>
        <w:ind w:left="1704" w:right="0" w:hanging="526"/>
        <w:jc w:val="left"/>
        <w:rPr>
          <w:rFonts w:ascii="黑体" w:eastAsia="黑体" w:hint="eastAsia"/>
          <w:sz w:val="21"/>
        </w:rPr>
      </w:pPr>
      <w:bookmarkStart w:id="42" w:name="7.1　评定等级划分"/>
      <w:bookmarkEnd w:id="42"/>
      <w:r>
        <w:rPr>
          <w:rFonts w:ascii="黑体" w:eastAsia="黑体" w:hint="eastAsia"/>
          <w:sz w:val="21"/>
        </w:rPr>
        <w:t>评定等级划分</w:t>
      </w:r>
    </w:p>
    <w:p>
      <w:pPr>
        <w:pStyle w:val="ListParagraph"/>
        <w:numPr>
          <w:ilvl w:val="2"/>
          <w:numId w:val="11"/>
        </w:numPr>
        <w:tabs>
          <w:tab w:val="left" w:pos="2001"/>
          <w:tab w:val="left" w:pos="2002"/>
        </w:tabs>
        <w:spacing w:before="168" w:after="0" w:line="240" w:lineRule="auto"/>
        <w:ind w:left="2001" w:right="0" w:hanging="841"/>
        <w:jc w:val="left"/>
        <w:rPr>
          <w:sz w:val="21"/>
        </w:rPr>
      </w:pPr>
      <w:bookmarkStart w:id="43" w:name="7.1.1　 护理等级按照如下组合，共划分为9个等级，详见表4。"/>
      <w:bookmarkEnd w:id="43"/>
      <w:r>
        <w:rPr>
          <w:spacing w:val="-4"/>
          <w:sz w:val="21"/>
        </w:rPr>
        <w:t xml:space="preserve">护理等级按照如下组合，共划分为 </w:t>
      </w:r>
      <w:r>
        <w:rPr>
          <w:sz w:val="21"/>
        </w:rPr>
        <w:t>9</w:t>
      </w:r>
      <w:r>
        <w:rPr>
          <w:spacing w:val="-13"/>
          <w:sz w:val="21"/>
        </w:rPr>
        <w:t xml:space="preserve"> 个等级，详见表 </w:t>
      </w:r>
      <w:r>
        <w:rPr>
          <w:sz w:val="21"/>
        </w:rPr>
        <w:t>4。</w:t>
      </w:r>
    </w:p>
    <w:p>
      <w:pPr>
        <w:pStyle w:val="BodyText"/>
        <w:spacing w:before="9"/>
        <w:rPr>
          <w:sz w:val="19"/>
        </w:rPr>
      </w:pPr>
    </w:p>
    <w:p>
      <w:pPr>
        <w:pStyle w:val="BodyText"/>
        <w:spacing w:before="90"/>
        <w:ind w:right="872"/>
        <w:jc w:val="right"/>
        <w:rPr>
          <w:rFonts w:ascii="Times New Roman"/>
        </w:rPr>
      </w:pPr>
      <w:r>
        <w:rPr>
          <w:rFonts w:ascii="Times New Roman"/>
          <w:w w:val="99"/>
        </w:rPr>
        <w:t>3</w:t>
      </w:r>
    </w:p>
    <w:p>
      <w:pPr>
        <w:spacing w:after="0"/>
        <w:jc w:val="right"/>
        <w:rPr>
          <w:rFonts w:ascii="Times New Roman"/>
        </w:rPr>
      </w:pPr>
      <w:r>
        <w:rPr>
          <w:rFonts w:ascii="Times New Roman"/>
        </w:rPr>
        <w:br/>
      </w:r>
      <w:r>
        <w:rPr>
          <w:rFonts w:ascii="Times New Roman"/>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 w:history="1">
        <w:r>
          <w:rPr>
            <w:rFonts w:ascii="SimSun" w:eastAsia="SimSun" w:hAnsi="SimSun" w:cs="SimSun"/>
            <w:b/>
            <w:bCs/>
            <w:color w:val="0000EE"/>
            <w:sz w:val="30"/>
            <w:szCs w:val="30"/>
            <w:u w:val="single" w:color="0000EE"/>
          </w:rPr>
          <w:t>https://d.book118.com/846045232131010042</w:t>
        </w:r>
      </w:hyperlink>
    </w:p>
    <w:p>
      <w:pPr>
        <w:spacing w:after="0"/>
        <w:jc w:val="right"/>
        <w:rPr>
          <w:rFonts w:ascii="Times New Roman"/>
        </w:rPr>
      </w:pPr>
    </w:p>
    <w:sectPr>
      <w:headerReference w:type="even" r:id="rId11"/>
      <w:headerReference w:type="default" r:id="rId12"/>
      <w:pgSz w:w="11910" w:h="16840"/>
      <w:pgMar w:top="1660" w:right="260" w:bottom="280" w:left="240" w:header="1442" w:footer="0"/>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6.55pt;height:13.6pt;margin-top:71.1pt;margin-left:69.92pt;mso-position-horizontal-relative:page;mso-position-vertical-relative:page;position:absolute;z-index:-251657216"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6.55pt;height:13.6pt;margin-top:71.1pt;margin-left:443.12pt;mso-position-horizontal-relative:page;mso-position-vertical-relative:page;position:absolute;z-index:-251658240"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6.55pt;height:13.6pt;margin-top:71.1pt;margin-left:69.92pt;mso-position-horizontal-relative:page;mso-position-vertical-relative:page;position:absolute;z-index:-251655168"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6.55pt;height:13.6pt;margin-top:71.1pt;margin-left:443.12pt;mso-position-horizontal-relative:page;mso-position-vertical-relative:page;position:absolute;z-index:-251656192"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6.55pt;height:13.6pt;margin-top:71.1pt;margin-left:69.92pt;mso-position-horizontal-relative:page;mso-position-vertical-relative:page;position:absolute;z-index:-251653120"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6.55pt;height:13.6pt;margin-top:71.1pt;margin-left:443.12pt;mso-position-horizontal-relative:page;mso-position-vertical-relative:page;position:absolute;z-index:-251654144" filled="f" stroked="f">
          <v:textbox inset="0,0,0,0">
            <w:txbxContent>
              <w:p>
                <w:pPr>
                  <w:pStyle w:val="BodyText"/>
                  <w:spacing w:line="265" w:lineRule="exact"/>
                  <w:ind w:left="20"/>
                  <w:rPr>
                    <w:rFonts w:ascii="黑体" w:hAnsi="黑体"/>
                  </w:rPr>
                </w:pPr>
                <w:r>
                  <w:rPr>
                    <w:rFonts w:ascii="黑体" w:hAnsi="黑体"/>
                  </w:rPr>
                  <w:t>DB4401/T 143</w:t>
                </w:r>
                <w:r>
                  <w:rPr>
                    <w:rFonts w:ascii="Times New Roman" w:hAnsi="Times New Roman"/>
                  </w:rPr>
                  <w:t>—</w:t>
                </w:r>
                <w:r>
                  <w:rPr>
                    <w:rFonts w:ascii="黑体" w:hAnsi="黑体"/>
                  </w:rPr>
                  <w:t>2022</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229D2"/>
    <w:multiLevelType w:val="hybridMultilevel"/>
    <w:tmpl w:val="00000000"/>
    <w:lvl w:ilvl="0">
      <w:start w:val="3"/>
      <w:numFmt w:val="upperLetter"/>
      <w:lvlText w:val="%1"/>
      <w:lvlJc w:val="left"/>
      <w:pPr>
        <w:ind w:left="1545" w:hanging="368"/>
        <w:jc w:val="left"/>
      </w:pPr>
      <w:rPr>
        <w:rFonts w:hint="default"/>
        <w:lang w:val="en-US" w:eastAsia="en-US" w:bidi="ar-SA"/>
      </w:rPr>
    </w:lvl>
    <w:lvl w:ilvl="1">
      <w:start w:val="4"/>
      <w:numFmt w:val="decimal"/>
      <w:lvlText w:val="%1.%2"/>
      <w:lvlJc w:val="left"/>
      <w:pPr>
        <w:ind w:left="1545" w:hanging="368"/>
        <w:jc w:val="left"/>
      </w:pPr>
      <w:rPr>
        <w:rFonts w:ascii="宋体" w:eastAsia="宋体" w:hAnsi="宋体" w:cs="宋体" w:hint="default"/>
        <w:spacing w:val="0"/>
        <w:w w:val="99"/>
        <w:sz w:val="21"/>
        <w:szCs w:val="21"/>
        <w:lang w:val="en-US" w:eastAsia="en-US" w:bidi="ar-SA"/>
      </w:rPr>
    </w:lvl>
    <w:lvl w:ilvl="2">
      <w:start w:val="1"/>
      <w:numFmt w:val="decimal"/>
      <w:lvlText w:val="[%3]"/>
      <w:lvlJc w:val="left"/>
      <w:pPr>
        <w:ind w:left="1980" w:hanging="420"/>
        <w:jc w:val="left"/>
      </w:pPr>
      <w:rPr>
        <w:rFonts w:ascii="宋体" w:eastAsia="宋体" w:hAnsi="宋体" w:cs="宋体" w:hint="default"/>
        <w:spacing w:val="0"/>
        <w:w w:val="99"/>
        <w:sz w:val="21"/>
        <w:szCs w:val="21"/>
        <w:lang w:val="en-US" w:eastAsia="en-US" w:bidi="ar-SA"/>
      </w:rPr>
    </w:lvl>
    <w:lvl w:ilvl="3">
      <w:start w:val="0"/>
      <w:numFmt w:val="bullet"/>
      <w:lvlText w:val="•"/>
      <w:lvlJc w:val="left"/>
      <w:pPr>
        <w:ind w:left="4074" w:hanging="420"/>
      </w:pPr>
      <w:rPr>
        <w:rFonts w:hint="default"/>
        <w:lang w:val="en-US" w:eastAsia="en-US" w:bidi="ar-SA"/>
      </w:rPr>
    </w:lvl>
    <w:lvl w:ilvl="4">
      <w:start w:val="0"/>
      <w:numFmt w:val="bullet"/>
      <w:lvlText w:val="•"/>
      <w:lvlJc w:val="left"/>
      <w:pPr>
        <w:ind w:left="5122" w:hanging="420"/>
      </w:pPr>
      <w:rPr>
        <w:rFonts w:hint="default"/>
        <w:lang w:val="en-US" w:eastAsia="en-US" w:bidi="ar-SA"/>
      </w:rPr>
    </w:lvl>
    <w:lvl w:ilvl="5">
      <w:start w:val="0"/>
      <w:numFmt w:val="bullet"/>
      <w:lvlText w:val="•"/>
      <w:lvlJc w:val="left"/>
      <w:pPr>
        <w:ind w:left="6169" w:hanging="420"/>
      </w:pPr>
      <w:rPr>
        <w:rFonts w:hint="default"/>
        <w:lang w:val="en-US" w:eastAsia="en-US" w:bidi="ar-SA"/>
      </w:rPr>
    </w:lvl>
    <w:lvl w:ilvl="6">
      <w:start w:val="0"/>
      <w:numFmt w:val="bullet"/>
      <w:lvlText w:val="•"/>
      <w:lvlJc w:val="left"/>
      <w:pPr>
        <w:ind w:left="7217" w:hanging="420"/>
      </w:pPr>
      <w:rPr>
        <w:rFonts w:hint="default"/>
        <w:lang w:val="en-US" w:eastAsia="en-US" w:bidi="ar-SA"/>
      </w:rPr>
    </w:lvl>
    <w:lvl w:ilvl="7">
      <w:start w:val="0"/>
      <w:numFmt w:val="bullet"/>
      <w:lvlText w:val="•"/>
      <w:lvlJc w:val="left"/>
      <w:pPr>
        <w:ind w:left="8264" w:hanging="420"/>
      </w:pPr>
      <w:rPr>
        <w:rFonts w:hint="default"/>
        <w:lang w:val="en-US" w:eastAsia="en-US" w:bidi="ar-SA"/>
      </w:rPr>
    </w:lvl>
    <w:lvl w:ilvl="8">
      <w:start w:val="0"/>
      <w:numFmt w:val="bullet"/>
      <w:lvlText w:val="•"/>
      <w:lvlJc w:val="left"/>
      <w:pPr>
        <w:ind w:left="9312" w:hanging="420"/>
      </w:pPr>
      <w:rPr>
        <w:rFonts w:hint="default"/>
        <w:lang w:val="en-US" w:eastAsia="en-US" w:bidi="ar-SA"/>
      </w:rPr>
    </w:lvl>
  </w:abstractNum>
  <w:abstractNum w:abstractNumId="1">
    <w:nsid w:val="18314C31"/>
    <w:multiLevelType w:val="hybridMultilevel"/>
    <w:tmpl w:val="00000000"/>
    <w:lvl w:ilvl="0">
      <w:start w:val="7"/>
      <w:numFmt w:val="decimal"/>
      <w:lvlText w:val="%1"/>
      <w:lvlJc w:val="left"/>
      <w:pPr>
        <w:ind w:left="314" w:hanging="315"/>
        <w:jc w:val="left"/>
      </w:pPr>
      <w:rPr>
        <w:rFonts w:ascii="宋体" w:eastAsia="宋体" w:hAnsi="宋体" w:cs="宋体" w:hint="default"/>
        <w:w w:val="99"/>
        <w:sz w:val="21"/>
        <w:szCs w:val="21"/>
        <w:lang w:val="en-US" w:eastAsia="en-US" w:bidi="ar-SA"/>
      </w:rPr>
    </w:lvl>
    <w:lvl w:ilvl="1">
      <w:start w:val="0"/>
      <w:numFmt w:val="bullet"/>
      <w:lvlText w:val="•"/>
      <w:lvlJc w:val="left"/>
      <w:pPr>
        <w:ind w:left="1225" w:hanging="315"/>
      </w:pPr>
      <w:rPr>
        <w:rFonts w:hint="default"/>
        <w:lang w:val="en-US" w:eastAsia="en-US" w:bidi="ar-SA"/>
      </w:rPr>
    </w:lvl>
    <w:lvl w:ilvl="2">
      <w:start w:val="0"/>
      <w:numFmt w:val="bullet"/>
      <w:lvlText w:val="•"/>
      <w:lvlJc w:val="left"/>
      <w:pPr>
        <w:ind w:left="2130" w:hanging="315"/>
      </w:pPr>
      <w:rPr>
        <w:rFonts w:hint="default"/>
        <w:lang w:val="en-US" w:eastAsia="en-US" w:bidi="ar-SA"/>
      </w:rPr>
    </w:lvl>
    <w:lvl w:ilvl="3">
      <w:start w:val="0"/>
      <w:numFmt w:val="bullet"/>
      <w:lvlText w:val="•"/>
      <w:lvlJc w:val="left"/>
      <w:pPr>
        <w:ind w:left="3036" w:hanging="315"/>
      </w:pPr>
      <w:rPr>
        <w:rFonts w:hint="default"/>
        <w:lang w:val="en-US" w:eastAsia="en-US" w:bidi="ar-SA"/>
      </w:rPr>
    </w:lvl>
    <w:lvl w:ilvl="4">
      <w:start w:val="0"/>
      <w:numFmt w:val="bullet"/>
      <w:lvlText w:val="•"/>
      <w:lvlJc w:val="left"/>
      <w:pPr>
        <w:ind w:left="3941" w:hanging="315"/>
      </w:pPr>
      <w:rPr>
        <w:rFonts w:hint="default"/>
        <w:lang w:val="en-US" w:eastAsia="en-US" w:bidi="ar-SA"/>
      </w:rPr>
    </w:lvl>
    <w:lvl w:ilvl="5">
      <w:start w:val="0"/>
      <w:numFmt w:val="bullet"/>
      <w:lvlText w:val="•"/>
      <w:lvlJc w:val="left"/>
      <w:pPr>
        <w:ind w:left="4847" w:hanging="315"/>
      </w:pPr>
      <w:rPr>
        <w:rFonts w:hint="default"/>
        <w:lang w:val="en-US" w:eastAsia="en-US" w:bidi="ar-SA"/>
      </w:rPr>
    </w:lvl>
    <w:lvl w:ilvl="6">
      <w:start w:val="0"/>
      <w:numFmt w:val="bullet"/>
      <w:lvlText w:val="•"/>
      <w:lvlJc w:val="left"/>
      <w:pPr>
        <w:ind w:left="5752" w:hanging="315"/>
      </w:pPr>
      <w:rPr>
        <w:rFonts w:hint="default"/>
        <w:lang w:val="en-US" w:eastAsia="en-US" w:bidi="ar-SA"/>
      </w:rPr>
    </w:lvl>
    <w:lvl w:ilvl="7">
      <w:start w:val="0"/>
      <w:numFmt w:val="bullet"/>
      <w:lvlText w:val="•"/>
      <w:lvlJc w:val="left"/>
      <w:pPr>
        <w:ind w:left="6657" w:hanging="315"/>
      </w:pPr>
      <w:rPr>
        <w:rFonts w:hint="default"/>
        <w:lang w:val="en-US" w:eastAsia="en-US" w:bidi="ar-SA"/>
      </w:rPr>
    </w:lvl>
    <w:lvl w:ilvl="8">
      <w:start w:val="0"/>
      <w:numFmt w:val="bullet"/>
      <w:lvlText w:val="•"/>
      <w:lvlJc w:val="left"/>
      <w:pPr>
        <w:ind w:left="7563" w:hanging="315"/>
      </w:pPr>
      <w:rPr>
        <w:rFonts w:hint="default"/>
        <w:lang w:val="en-US" w:eastAsia="en-US" w:bidi="ar-SA"/>
      </w:rPr>
    </w:lvl>
  </w:abstractNum>
  <w:abstractNum w:abstractNumId="2">
    <w:nsid w:val="1F5EEA6E"/>
    <w:multiLevelType w:val="hybridMultilevel"/>
    <w:tmpl w:val="00000000"/>
    <w:lvl w:ilvl="0">
      <w:start w:val="5"/>
      <w:numFmt w:val="decimal"/>
      <w:lvlText w:val="%1"/>
      <w:lvlJc w:val="left"/>
      <w:pPr>
        <w:ind w:left="1912" w:hanging="735"/>
        <w:jc w:val="left"/>
      </w:pPr>
      <w:rPr>
        <w:rFonts w:hint="default"/>
        <w:lang w:val="en-US" w:eastAsia="en-US" w:bidi="ar-SA"/>
      </w:rPr>
    </w:lvl>
    <w:lvl w:ilvl="1">
      <w:start w:val="2"/>
      <w:numFmt w:val="decimal"/>
      <w:lvlText w:val="%1.%2"/>
      <w:lvlJc w:val="left"/>
      <w:pPr>
        <w:ind w:left="1912" w:hanging="735"/>
        <w:jc w:val="left"/>
      </w:pPr>
      <w:rPr>
        <w:rFonts w:hint="default"/>
        <w:lang w:val="en-US" w:eastAsia="en-US" w:bidi="ar-SA"/>
      </w:rPr>
    </w:lvl>
    <w:lvl w:ilvl="2">
      <w:start w:val="3"/>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1195"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082" w:hanging="946"/>
      </w:pPr>
      <w:rPr>
        <w:rFonts w:hint="default"/>
        <w:lang w:val="en-US" w:eastAsia="en-US" w:bidi="ar-SA"/>
      </w:rPr>
    </w:lvl>
    <w:lvl w:ilvl="5">
      <w:start w:val="0"/>
      <w:numFmt w:val="bullet"/>
      <w:lvlText w:val="•"/>
      <w:lvlJc w:val="left"/>
      <w:pPr>
        <w:ind w:left="6136" w:hanging="946"/>
      </w:pPr>
      <w:rPr>
        <w:rFonts w:hint="default"/>
        <w:lang w:val="en-US" w:eastAsia="en-US" w:bidi="ar-SA"/>
      </w:rPr>
    </w:lvl>
    <w:lvl w:ilvl="6">
      <w:start w:val="0"/>
      <w:numFmt w:val="bullet"/>
      <w:lvlText w:val="•"/>
      <w:lvlJc w:val="left"/>
      <w:pPr>
        <w:ind w:left="7190" w:hanging="946"/>
      </w:pPr>
      <w:rPr>
        <w:rFonts w:hint="default"/>
        <w:lang w:val="en-US" w:eastAsia="en-US" w:bidi="ar-SA"/>
      </w:rPr>
    </w:lvl>
    <w:lvl w:ilvl="7">
      <w:start w:val="0"/>
      <w:numFmt w:val="bullet"/>
      <w:lvlText w:val="•"/>
      <w:lvlJc w:val="left"/>
      <w:pPr>
        <w:ind w:left="8244" w:hanging="946"/>
      </w:pPr>
      <w:rPr>
        <w:rFonts w:hint="default"/>
        <w:lang w:val="en-US" w:eastAsia="en-US" w:bidi="ar-SA"/>
      </w:rPr>
    </w:lvl>
    <w:lvl w:ilvl="8">
      <w:start w:val="0"/>
      <w:numFmt w:val="bullet"/>
      <w:lvlText w:val="•"/>
      <w:lvlJc w:val="left"/>
      <w:pPr>
        <w:ind w:left="9298" w:hanging="946"/>
      </w:pPr>
      <w:rPr>
        <w:rFonts w:hint="default"/>
        <w:lang w:val="en-US" w:eastAsia="en-US" w:bidi="ar-SA"/>
      </w:rPr>
    </w:lvl>
  </w:abstractNum>
  <w:abstractNum w:abstractNumId="3">
    <w:nsid w:val="29CE4B71"/>
    <w:multiLevelType w:val="hybridMultilevel"/>
    <w:tmpl w:val="00000000"/>
    <w:lvl w:ilvl="0">
      <w:start w:val="2"/>
      <w:numFmt w:val="decimal"/>
      <w:lvlText w:val="%1."/>
      <w:lvlJc w:val="left"/>
      <w:pPr>
        <w:ind w:left="895" w:hanging="159"/>
        <w:jc w:val="left"/>
      </w:pPr>
      <w:rPr>
        <w:rFonts w:ascii="Times New Roman" w:eastAsia="Times New Roman" w:hAnsi="Times New Roman" w:cs="Times New Roman" w:hint="default"/>
        <w:spacing w:val="0"/>
        <w:w w:val="99"/>
        <w:sz w:val="19"/>
        <w:szCs w:val="19"/>
        <w:lang w:val="en-US" w:eastAsia="en-US" w:bidi="ar-SA"/>
      </w:rPr>
    </w:lvl>
    <w:lvl w:ilvl="1">
      <w:start w:val="0"/>
      <w:numFmt w:val="bullet"/>
      <w:lvlText w:val="•"/>
      <w:lvlJc w:val="left"/>
      <w:pPr>
        <w:ind w:left="1759" w:hanging="159"/>
      </w:pPr>
      <w:rPr>
        <w:rFonts w:hint="default"/>
        <w:lang w:val="en-US" w:eastAsia="en-US" w:bidi="ar-SA"/>
      </w:rPr>
    </w:lvl>
    <w:lvl w:ilvl="2">
      <w:start w:val="0"/>
      <w:numFmt w:val="bullet"/>
      <w:lvlText w:val="•"/>
      <w:lvlJc w:val="left"/>
      <w:pPr>
        <w:ind w:left="2618" w:hanging="159"/>
      </w:pPr>
      <w:rPr>
        <w:rFonts w:hint="default"/>
        <w:lang w:val="en-US" w:eastAsia="en-US" w:bidi="ar-SA"/>
      </w:rPr>
    </w:lvl>
    <w:lvl w:ilvl="3">
      <w:start w:val="0"/>
      <w:numFmt w:val="bullet"/>
      <w:lvlText w:val="•"/>
      <w:lvlJc w:val="left"/>
      <w:pPr>
        <w:ind w:left="3477" w:hanging="159"/>
      </w:pPr>
      <w:rPr>
        <w:rFonts w:hint="default"/>
        <w:lang w:val="en-US" w:eastAsia="en-US" w:bidi="ar-SA"/>
      </w:rPr>
    </w:lvl>
    <w:lvl w:ilvl="4">
      <w:start w:val="0"/>
      <w:numFmt w:val="bullet"/>
      <w:lvlText w:val="•"/>
      <w:lvlJc w:val="left"/>
      <w:pPr>
        <w:ind w:left="4337" w:hanging="159"/>
      </w:pPr>
      <w:rPr>
        <w:rFonts w:hint="default"/>
        <w:lang w:val="en-US" w:eastAsia="en-US" w:bidi="ar-SA"/>
      </w:rPr>
    </w:lvl>
    <w:lvl w:ilvl="5">
      <w:start w:val="0"/>
      <w:numFmt w:val="bullet"/>
      <w:lvlText w:val="•"/>
      <w:lvlJc w:val="left"/>
      <w:pPr>
        <w:ind w:left="5196" w:hanging="159"/>
      </w:pPr>
      <w:rPr>
        <w:rFonts w:hint="default"/>
        <w:lang w:val="en-US" w:eastAsia="en-US" w:bidi="ar-SA"/>
      </w:rPr>
    </w:lvl>
    <w:lvl w:ilvl="6">
      <w:start w:val="0"/>
      <w:numFmt w:val="bullet"/>
      <w:lvlText w:val="•"/>
      <w:lvlJc w:val="left"/>
      <w:pPr>
        <w:ind w:left="6055" w:hanging="159"/>
      </w:pPr>
      <w:rPr>
        <w:rFonts w:hint="default"/>
        <w:lang w:val="en-US" w:eastAsia="en-US" w:bidi="ar-SA"/>
      </w:rPr>
    </w:lvl>
    <w:lvl w:ilvl="7">
      <w:start w:val="0"/>
      <w:numFmt w:val="bullet"/>
      <w:lvlText w:val="•"/>
      <w:lvlJc w:val="left"/>
      <w:pPr>
        <w:ind w:left="6915" w:hanging="159"/>
      </w:pPr>
      <w:rPr>
        <w:rFonts w:hint="default"/>
        <w:lang w:val="en-US" w:eastAsia="en-US" w:bidi="ar-SA"/>
      </w:rPr>
    </w:lvl>
    <w:lvl w:ilvl="8">
      <w:start w:val="0"/>
      <w:numFmt w:val="bullet"/>
      <w:lvlText w:val="•"/>
      <w:lvlJc w:val="left"/>
      <w:pPr>
        <w:ind w:left="7774" w:hanging="159"/>
      </w:pPr>
      <w:rPr>
        <w:rFonts w:hint="default"/>
        <w:lang w:val="en-US" w:eastAsia="en-US" w:bidi="ar-SA"/>
      </w:rPr>
    </w:lvl>
  </w:abstractNum>
  <w:abstractNum w:abstractNumId="4">
    <w:nsid w:val="2EFDC878"/>
    <w:multiLevelType w:val="hybridMultilevel"/>
    <w:tmpl w:val="00000000"/>
    <w:lvl w:ilvl="0">
      <w:start w:val="1"/>
      <w:numFmt w:val="decimal"/>
      <w:lvlText w:val="%1"/>
      <w:lvlJc w:val="left"/>
      <w:pPr>
        <w:ind w:left="1492" w:hanging="315"/>
        <w:jc w:val="left"/>
      </w:pPr>
      <w:rPr>
        <w:rFonts w:ascii="宋体" w:eastAsia="宋体" w:hAnsi="宋体" w:cs="宋体" w:hint="default"/>
        <w:w w:val="99"/>
        <w:sz w:val="21"/>
        <w:szCs w:val="21"/>
        <w:lang w:val="en-US" w:eastAsia="en-US" w:bidi="ar-SA"/>
      </w:rPr>
    </w:lvl>
    <w:lvl w:ilvl="1">
      <w:start w:val="1"/>
      <w:numFmt w:val="decimal"/>
      <w:lvlText w:val="%1.%2"/>
      <w:lvlJc w:val="left"/>
      <w:pPr>
        <w:ind w:left="1903" w:hanging="526"/>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956" w:hanging="526"/>
      </w:pPr>
      <w:rPr>
        <w:rFonts w:hint="default"/>
        <w:lang w:val="en-US" w:eastAsia="en-US" w:bidi="ar-SA"/>
      </w:rPr>
    </w:lvl>
    <w:lvl w:ilvl="3">
      <w:start w:val="0"/>
      <w:numFmt w:val="bullet"/>
      <w:lvlText w:val="•"/>
      <w:lvlJc w:val="left"/>
      <w:pPr>
        <w:ind w:left="4012" w:hanging="526"/>
      </w:pPr>
      <w:rPr>
        <w:rFonts w:hint="default"/>
        <w:lang w:val="en-US" w:eastAsia="en-US" w:bidi="ar-SA"/>
      </w:rPr>
    </w:lvl>
    <w:lvl w:ilvl="4">
      <w:start w:val="0"/>
      <w:numFmt w:val="bullet"/>
      <w:lvlText w:val="•"/>
      <w:lvlJc w:val="left"/>
      <w:pPr>
        <w:ind w:left="5069" w:hanging="526"/>
      </w:pPr>
      <w:rPr>
        <w:rFonts w:hint="default"/>
        <w:lang w:val="en-US" w:eastAsia="en-US" w:bidi="ar-SA"/>
      </w:rPr>
    </w:lvl>
    <w:lvl w:ilvl="5">
      <w:start w:val="0"/>
      <w:numFmt w:val="bullet"/>
      <w:lvlText w:val="•"/>
      <w:lvlJc w:val="left"/>
      <w:pPr>
        <w:ind w:left="6125" w:hanging="526"/>
      </w:pPr>
      <w:rPr>
        <w:rFonts w:hint="default"/>
        <w:lang w:val="en-US" w:eastAsia="en-US" w:bidi="ar-SA"/>
      </w:rPr>
    </w:lvl>
    <w:lvl w:ilvl="6">
      <w:start w:val="0"/>
      <w:numFmt w:val="bullet"/>
      <w:lvlText w:val="•"/>
      <w:lvlJc w:val="left"/>
      <w:pPr>
        <w:ind w:left="7181" w:hanging="526"/>
      </w:pPr>
      <w:rPr>
        <w:rFonts w:hint="default"/>
        <w:lang w:val="en-US" w:eastAsia="en-US" w:bidi="ar-SA"/>
      </w:rPr>
    </w:lvl>
    <w:lvl w:ilvl="7">
      <w:start w:val="0"/>
      <w:numFmt w:val="bullet"/>
      <w:lvlText w:val="•"/>
      <w:lvlJc w:val="left"/>
      <w:pPr>
        <w:ind w:left="8238" w:hanging="526"/>
      </w:pPr>
      <w:rPr>
        <w:rFonts w:hint="default"/>
        <w:lang w:val="en-US" w:eastAsia="en-US" w:bidi="ar-SA"/>
      </w:rPr>
    </w:lvl>
    <w:lvl w:ilvl="8">
      <w:start w:val="0"/>
      <w:numFmt w:val="bullet"/>
      <w:lvlText w:val="•"/>
      <w:lvlJc w:val="left"/>
      <w:pPr>
        <w:ind w:left="9294" w:hanging="526"/>
      </w:pPr>
      <w:rPr>
        <w:rFonts w:hint="default"/>
        <w:lang w:val="en-US" w:eastAsia="en-US" w:bidi="ar-SA"/>
      </w:rPr>
    </w:lvl>
  </w:abstractNum>
  <w:abstractNum w:abstractNumId="5">
    <w:nsid w:val="35763CDA"/>
    <w:multiLevelType w:val="hybridMultilevel"/>
    <w:tmpl w:val="00000000"/>
    <w:lvl w:ilvl="0">
      <w:start w:val="8"/>
      <w:numFmt w:val="decimal"/>
      <w:lvlText w:val="%1"/>
      <w:lvlJc w:val="left"/>
      <w:pPr>
        <w:ind w:left="314" w:hanging="315"/>
        <w:jc w:val="left"/>
      </w:pPr>
      <w:rPr>
        <w:rFonts w:ascii="黑体" w:eastAsia="黑体" w:hAnsi="黑体" w:cs="黑体" w:hint="default"/>
        <w:w w:val="99"/>
        <w:sz w:val="21"/>
        <w:szCs w:val="21"/>
        <w:lang w:val="en-US" w:eastAsia="en-US" w:bidi="ar-SA"/>
      </w:rPr>
    </w:lvl>
    <w:lvl w:ilvl="1">
      <w:start w:val="1"/>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1739" w:hanging="735"/>
      </w:pPr>
      <w:rPr>
        <w:rFonts w:hint="default"/>
        <w:lang w:val="en-US" w:eastAsia="en-US" w:bidi="ar-SA"/>
      </w:rPr>
    </w:lvl>
    <w:lvl w:ilvl="4">
      <w:start w:val="0"/>
      <w:numFmt w:val="bullet"/>
      <w:lvlText w:val="•"/>
      <w:lvlJc w:val="left"/>
      <w:pPr>
        <w:ind w:left="2737" w:hanging="735"/>
      </w:pPr>
      <w:rPr>
        <w:rFonts w:hint="default"/>
        <w:lang w:val="en-US" w:eastAsia="en-US" w:bidi="ar-SA"/>
      </w:rPr>
    </w:lvl>
    <w:lvl w:ilvl="5">
      <w:start w:val="0"/>
      <w:numFmt w:val="bullet"/>
      <w:lvlText w:val="•"/>
      <w:lvlJc w:val="left"/>
      <w:pPr>
        <w:ind w:left="3736" w:hanging="735"/>
      </w:pPr>
      <w:rPr>
        <w:rFonts w:hint="default"/>
        <w:lang w:val="en-US" w:eastAsia="en-US" w:bidi="ar-SA"/>
      </w:rPr>
    </w:lvl>
    <w:lvl w:ilvl="6">
      <w:start w:val="0"/>
      <w:numFmt w:val="bullet"/>
      <w:lvlText w:val="•"/>
      <w:lvlJc w:val="left"/>
      <w:pPr>
        <w:ind w:left="4735" w:hanging="735"/>
      </w:pPr>
      <w:rPr>
        <w:rFonts w:hint="default"/>
        <w:lang w:val="en-US" w:eastAsia="en-US" w:bidi="ar-SA"/>
      </w:rPr>
    </w:lvl>
    <w:lvl w:ilvl="7">
      <w:start w:val="0"/>
      <w:numFmt w:val="bullet"/>
      <w:lvlText w:val="•"/>
      <w:lvlJc w:val="left"/>
      <w:pPr>
        <w:ind w:left="5734" w:hanging="735"/>
      </w:pPr>
      <w:rPr>
        <w:rFonts w:hint="default"/>
        <w:lang w:val="en-US" w:eastAsia="en-US" w:bidi="ar-SA"/>
      </w:rPr>
    </w:lvl>
    <w:lvl w:ilvl="8">
      <w:start w:val="0"/>
      <w:numFmt w:val="bullet"/>
      <w:lvlText w:val="•"/>
      <w:lvlJc w:val="left"/>
      <w:pPr>
        <w:ind w:left="6733" w:hanging="735"/>
      </w:pPr>
      <w:rPr>
        <w:rFonts w:hint="default"/>
        <w:lang w:val="en-US" w:eastAsia="en-US" w:bidi="ar-SA"/>
      </w:rPr>
    </w:lvl>
  </w:abstractNum>
  <w:abstractNum w:abstractNumId="6">
    <w:nsid w:val="377A2319"/>
    <w:multiLevelType w:val="hybridMultilevel"/>
    <w:tmpl w:val="00000000"/>
    <w:lvl w:ilvl="0">
      <w:start w:val="5"/>
      <w:numFmt w:val="decimal"/>
      <w:lvlText w:val="%1"/>
      <w:lvlJc w:val="left"/>
      <w:pPr>
        <w:ind w:left="525" w:hanging="526"/>
        <w:jc w:val="left"/>
      </w:pPr>
      <w:rPr>
        <w:rFonts w:hint="default"/>
        <w:lang w:val="en-US" w:eastAsia="en-US" w:bidi="ar-SA"/>
      </w:rPr>
    </w:lvl>
    <w:lvl w:ilvl="1">
      <w:start w:val="2"/>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945"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3074" w:hanging="946"/>
      </w:pPr>
      <w:rPr>
        <w:rFonts w:hint="default"/>
        <w:lang w:val="en-US" w:eastAsia="en-US" w:bidi="ar-SA"/>
      </w:rPr>
    </w:lvl>
    <w:lvl w:ilvl="5">
      <w:start w:val="0"/>
      <w:numFmt w:val="bullet"/>
      <w:lvlText w:val="•"/>
      <w:lvlJc w:val="left"/>
      <w:pPr>
        <w:ind w:left="4141" w:hanging="946"/>
      </w:pPr>
      <w:rPr>
        <w:rFonts w:hint="default"/>
        <w:lang w:val="en-US" w:eastAsia="en-US" w:bidi="ar-SA"/>
      </w:rPr>
    </w:lvl>
    <w:lvl w:ilvl="6">
      <w:start w:val="0"/>
      <w:numFmt w:val="bullet"/>
      <w:lvlText w:val="•"/>
      <w:lvlJc w:val="left"/>
      <w:pPr>
        <w:ind w:left="5209" w:hanging="946"/>
      </w:pPr>
      <w:rPr>
        <w:rFonts w:hint="default"/>
        <w:lang w:val="en-US" w:eastAsia="en-US" w:bidi="ar-SA"/>
      </w:rPr>
    </w:lvl>
    <w:lvl w:ilvl="7">
      <w:start w:val="0"/>
      <w:numFmt w:val="bullet"/>
      <w:lvlText w:val="•"/>
      <w:lvlJc w:val="left"/>
      <w:pPr>
        <w:ind w:left="6276" w:hanging="946"/>
      </w:pPr>
      <w:rPr>
        <w:rFonts w:hint="default"/>
        <w:lang w:val="en-US" w:eastAsia="en-US" w:bidi="ar-SA"/>
      </w:rPr>
    </w:lvl>
    <w:lvl w:ilvl="8">
      <w:start w:val="0"/>
      <w:numFmt w:val="bullet"/>
      <w:lvlText w:val="•"/>
      <w:lvlJc w:val="left"/>
      <w:pPr>
        <w:ind w:left="7343" w:hanging="946"/>
      </w:pPr>
      <w:rPr>
        <w:rFonts w:hint="default"/>
        <w:lang w:val="en-US" w:eastAsia="en-US" w:bidi="ar-SA"/>
      </w:rPr>
    </w:lvl>
  </w:abstractNum>
  <w:abstractNum w:abstractNumId="7">
    <w:nsid w:val="39A65E4D"/>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1"/>
      <w:numFmt w:val="decimal"/>
      <w:lvlText w:val="%1.%2"/>
      <w:lvlJc w:val="left"/>
      <w:pPr>
        <w:ind w:left="1696"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1700" w:hanging="735"/>
      </w:pPr>
      <w:rPr>
        <w:rFonts w:hint="default"/>
        <w:lang w:val="en-US" w:eastAsia="en-US" w:bidi="ar-SA"/>
      </w:rPr>
    </w:lvl>
    <w:lvl w:ilvl="4">
      <w:start w:val="0"/>
      <w:numFmt w:val="bullet"/>
      <w:lvlText w:val="•"/>
      <w:lvlJc w:val="left"/>
      <w:pPr>
        <w:ind w:left="1920" w:hanging="735"/>
      </w:pPr>
      <w:rPr>
        <w:rFonts w:hint="default"/>
        <w:lang w:val="en-US" w:eastAsia="en-US" w:bidi="ar-SA"/>
      </w:rPr>
    </w:lvl>
    <w:lvl w:ilvl="5">
      <w:start w:val="0"/>
      <w:numFmt w:val="bullet"/>
      <w:lvlText w:val="•"/>
      <w:lvlJc w:val="left"/>
      <w:pPr>
        <w:ind w:left="2000" w:hanging="735"/>
      </w:pPr>
      <w:rPr>
        <w:rFonts w:hint="default"/>
        <w:lang w:val="en-US" w:eastAsia="en-US" w:bidi="ar-SA"/>
      </w:rPr>
    </w:lvl>
    <w:lvl w:ilvl="6">
      <w:start w:val="0"/>
      <w:numFmt w:val="bullet"/>
      <w:lvlText w:val="•"/>
      <w:lvlJc w:val="left"/>
      <w:pPr>
        <w:ind w:left="3881" w:hanging="735"/>
      </w:pPr>
      <w:rPr>
        <w:rFonts w:hint="default"/>
        <w:lang w:val="en-US" w:eastAsia="en-US" w:bidi="ar-SA"/>
      </w:rPr>
    </w:lvl>
    <w:lvl w:ilvl="7">
      <w:start w:val="0"/>
      <w:numFmt w:val="bullet"/>
      <w:lvlText w:val="•"/>
      <w:lvlJc w:val="left"/>
      <w:pPr>
        <w:ind w:left="5762" w:hanging="735"/>
      </w:pPr>
      <w:rPr>
        <w:rFonts w:hint="default"/>
        <w:lang w:val="en-US" w:eastAsia="en-US" w:bidi="ar-SA"/>
      </w:rPr>
    </w:lvl>
    <w:lvl w:ilvl="8">
      <w:start w:val="0"/>
      <w:numFmt w:val="bullet"/>
      <w:lvlText w:val="•"/>
      <w:lvlJc w:val="left"/>
      <w:pPr>
        <w:ind w:left="7644" w:hanging="735"/>
      </w:pPr>
      <w:rPr>
        <w:rFonts w:hint="default"/>
        <w:lang w:val="en-US" w:eastAsia="en-US" w:bidi="ar-SA"/>
      </w:rPr>
    </w:lvl>
  </w:abstractNum>
  <w:abstractNum w:abstractNumId="8">
    <w:nsid w:val="3A8D0501"/>
    <w:multiLevelType w:val="hybridMultilevel"/>
    <w:tmpl w:val="00000000"/>
    <w:lvl w:ilvl="0">
      <w:start w:val="0"/>
      <w:numFmt w:val="bullet"/>
      <w:lvlText w:val="□"/>
      <w:lvlJc w:val="left"/>
      <w:pPr>
        <w:ind w:left="422" w:hanging="315"/>
      </w:pPr>
      <w:rPr>
        <w:rFonts w:ascii="宋体" w:eastAsia="宋体" w:hAnsi="宋体" w:cs="宋体" w:hint="default"/>
        <w:w w:val="99"/>
        <w:sz w:val="21"/>
        <w:szCs w:val="21"/>
        <w:lang w:val="en-US" w:eastAsia="en-US" w:bidi="ar-SA"/>
      </w:rPr>
    </w:lvl>
    <w:lvl w:ilvl="1">
      <w:start w:val="0"/>
      <w:numFmt w:val="bullet"/>
      <w:lvlText w:val="•"/>
      <w:lvlJc w:val="left"/>
      <w:pPr>
        <w:ind w:left="1327" w:hanging="315"/>
      </w:pPr>
      <w:rPr>
        <w:rFonts w:hint="default"/>
        <w:lang w:val="en-US" w:eastAsia="en-US" w:bidi="ar-SA"/>
      </w:rPr>
    </w:lvl>
    <w:lvl w:ilvl="2">
      <w:start w:val="0"/>
      <w:numFmt w:val="bullet"/>
      <w:lvlText w:val="•"/>
      <w:lvlJc w:val="left"/>
      <w:pPr>
        <w:ind w:left="2234" w:hanging="315"/>
      </w:pPr>
      <w:rPr>
        <w:rFonts w:hint="default"/>
        <w:lang w:val="en-US" w:eastAsia="en-US" w:bidi="ar-SA"/>
      </w:rPr>
    </w:lvl>
    <w:lvl w:ilvl="3">
      <w:start w:val="0"/>
      <w:numFmt w:val="bullet"/>
      <w:lvlText w:val="•"/>
      <w:lvlJc w:val="left"/>
      <w:pPr>
        <w:ind w:left="3141" w:hanging="315"/>
      </w:pPr>
      <w:rPr>
        <w:rFonts w:hint="default"/>
        <w:lang w:val="en-US" w:eastAsia="en-US" w:bidi="ar-SA"/>
      </w:rPr>
    </w:lvl>
    <w:lvl w:ilvl="4">
      <w:start w:val="0"/>
      <w:numFmt w:val="bullet"/>
      <w:lvlText w:val="•"/>
      <w:lvlJc w:val="left"/>
      <w:pPr>
        <w:ind w:left="4049" w:hanging="315"/>
      </w:pPr>
      <w:rPr>
        <w:rFonts w:hint="default"/>
        <w:lang w:val="en-US" w:eastAsia="en-US" w:bidi="ar-SA"/>
      </w:rPr>
    </w:lvl>
    <w:lvl w:ilvl="5">
      <w:start w:val="0"/>
      <w:numFmt w:val="bullet"/>
      <w:lvlText w:val="•"/>
      <w:lvlJc w:val="left"/>
      <w:pPr>
        <w:ind w:left="4956" w:hanging="315"/>
      </w:pPr>
      <w:rPr>
        <w:rFonts w:hint="default"/>
        <w:lang w:val="en-US" w:eastAsia="en-US" w:bidi="ar-SA"/>
      </w:rPr>
    </w:lvl>
    <w:lvl w:ilvl="6">
      <w:start w:val="0"/>
      <w:numFmt w:val="bullet"/>
      <w:lvlText w:val="•"/>
      <w:lvlJc w:val="left"/>
      <w:pPr>
        <w:ind w:left="5863" w:hanging="315"/>
      </w:pPr>
      <w:rPr>
        <w:rFonts w:hint="default"/>
        <w:lang w:val="en-US" w:eastAsia="en-US" w:bidi="ar-SA"/>
      </w:rPr>
    </w:lvl>
    <w:lvl w:ilvl="7">
      <w:start w:val="0"/>
      <w:numFmt w:val="bullet"/>
      <w:lvlText w:val="•"/>
      <w:lvlJc w:val="left"/>
      <w:pPr>
        <w:ind w:left="6771" w:hanging="315"/>
      </w:pPr>
      <w:rPr>
        <w:rFonts w:hint="default"/>
        <w:lang w:val="en-US" w:eastAsia="en-US" w:bidi="ar-SA"/>
      </w:rPr>
    </w:lvl>
    <w:lvl w:ilvl="8">
      <w:start w:val="0"/>
      <w:numFmt w:val="bullet"/>
      <w:lvlText w:val="•"/>
      <w:lvlJc w:val="left"/>
      <w:pPr>
        <w:ind w:left="7678" w:hanging="315"/>
      </w:pPr>
      <w:rPr>
        <w:rFonts w:hint="default"/>
        <w:lang w:val="en-US" w:eastAsia="en-US" w:bidi="ar-SA"/>
      </w:rPr>
    </w:lvl>
  </w:abstractNum>
  <w:abstractNum w:abstractNumId="9">
    <w:nsid w:val="3B1C2EDE"/>
    <w:multiLevelType w:val="hybridMultilevel"/>
    <w:tmpl w:val="00000000"/>
    <w:lvl w:ilvl="0">
      <w:start w:val="5"/>
      <w:numFmt w:val="decimal"/>
      <w:lvlText w:val="%1"/>
      <w:lvlJc w:val="left"/>
      <w:pPr>
        <w:ind w:left="734" w:hanging="735"/>
        <w:jc w:val="left"/>
      </w:pPr>
      <w:rPr>
        <w:rFonts w:hint="default"/>
        <w:lang w:val="en-US" w:eastAsia="en-US" w:bidi="ar-SA"/>
      </w:rPr>
    </w:lvl>
    <w:lvl w:ilvl="1">
      <w:start w:val="2"/>
      <w:numFmt w:val="decimal"/>
      <w:lvlText w:val="%1.%2"/>
      <w:lvlJc w:val="left"/>
      <w:pPr>
        <w:ind w:left="734" w:hanging="735"/>
        <w:jc w:val="left"/>
      </w:pPr>
      <w:rPr>
        <w:rFonts w:hint="default"/>
        <w:lang w:val="en-US" w:eastAsia="en-US" w:bidi="ar-SA"/>
      </w:rPr>
    </w:lvl>
    <w:lvl w:ilvl="2">
      <w:start w:val="2"/>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945"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2889" w:hanging="946"/>
      </w:pPr>
      <w:rPr>
        <w:rFonts w:hint="default"/>
        <w:lang w:val="en-US" w:eastAsia="en-US" w:bidi="ar-SA"/>
      </w:rPr>
    </w:lvl>
    <w:lvl w:ilvl="5">
      <w:start w:val="0"/>
      <w:numFmt w:val="bullet"/>
      <w:lvlText w:val="•"/>
      <w:lvlJc w:val="left"/>
      <w:pPr>
        <w:ind w:left="3539" w:hanging="946"/>
      </w:pPr>
      <w:rPr>
        <w:rFonts w:hint="default"/>
        <w:lang w:val="en-US" w:eastAsia="en-US" w:bidi="ar-SA"/>
      </w:rPr>
    </w:lvl>
    <w:lvl w:ilvl="6">
      <w:start w:val="0"/>
      <w:numFmt w:val="bullet"/>
      <w:lvlText w:val="•"/>
      <w:lvlJc w:val="left"/>
      <w:pPr>
        <w:ind w:left="4189" w:hanging="946"/>
      </w:pPr>
      <w:rPr>
        <w:rFonts w:hint="default"/>
        <w:lang w:val="en-US" w:eastAsia="en-US" w:bidi="ar-SA"/>
      </w:rPr>
    </w:lvl>
    <w:lvl w:ilvl="7">
      <w:start w:val="0"/>
      <w:numFmt w:val="bullet"/>
      <w:lvlText w:val="•"/>
      <w:lvlJc w:val="left"/>
      <w:pPr>
        <w:ind w:left="4838" w:hanging="946"/>
      </w:pPr>
      <w:rPr>
        <w:rFonts w:hint="default"/>
        <w:lang w:val="en-US" w:eastAsia="en-US" w:bidi="ar-SA"/>
      </w:rPr>
    </w:lvl>
    <w:lvl w:ilvl="8">
      <w:start w:val="0"/>
      <w:numFmt w:val="bullet"/>
      <w:lvlText w:val="•"/>
      <w:lvlJc w:val="left"/>
      <w:pPr>
        <w:ind w:left="5488" w:hanging="946"/>
      </w:pPr>
      <w:rPr>
        <w:rFonts w:hint="default"/>
        <w:lang w:val="en-US" w:eastAsia="en-US" w:bidi="ar-SA"/>
      </w:rPr>
    </w:lvl>
  </w:abstractNum>
  <w:abstractNum w:abstractNumId="10">
    <w:nsid w:val="3F0E13A9"/>
    <w:multiLevelType w:val="hybridMultilevel"/>
    <w:tmpl w:val="00000000"/>
    <w:lvl w:ilvl="0">
      <w:start w:val="1"/>
      <w:numFmt w:val="decimal"/>
      <w:lvlText w:val="%1."/>
      <w:lvlJc w:val="left"/>
      <w:pPr>
        <w:ind w:left="419" w:hanging="312"/>
        <w:jc w:val="left"/>
      </w:pPr>
      <w:rPr>
        <w:rFonts w:ascii="Times New Roman" w:eastAsia="Times New Roman" w:hAnsi="Times New Roman" w:cs="Times New Roman" w:hint="default"/>
        <w:spacing w:val="0"/>
        <w:w w:val="99"/>
        <w:sz w:val="21"/>
        <w:szCs w:val="21"/>
        <w:lang w:val="en-US" w:eastAsia="en-US" w:bidi="ar-SA"/>
      </w:rPr>
    </w:lvl>
    <w:lvl w:ilvl="1">
      <w:start w:val="0"/>
      <w:numFmt w:val="bullet"/>
      <w:lvlText w:val="•"/>
      <w:lvlJc w:val="left"/>
      <w:pPr>
        <w:ind w:left="1329" w:hanging="312"/>
      </w:pPr>
      <w:rPr>
        <w:rFonts w:hint="default"/>
        <w:lang w:val="en-US" w:eastAsia="en-US" w:bidi="ar-SA"/>
      </w:rPr>
    </w:lvl>
    <w:lvl w:ilvl="2">
      <w:start w:val="0"/>
      <w:numFmt w:val="bullet"/>
      <w:lvlText w:val="•"/>
      <w:lvlJc w:val="left"/>
      <w:pPr>
        <w:ind w:left="2239" w:hanging="312"/>
      </w:pPr>
      <w:rPr>
        <w:rFonts w:hint="default"/>
        <w:lang w:val="en-US" w:eastAsia="en-US" w:bidi="ar-SA"/>
      </w:rPr>
    </w:lvl>
    <w:lvl w:ilvl="3">
      <w:start w:val="0"/>
      <w:numFmt w:val="bullet"/>
      <w:lvlText w:val="•"/>
      <w:lvlJc w:val="left"/>
      <w:pPr>
        <w:ind w:left="3149" w:hanging="312"/>
      </w:pPr>
      <w:rPr>
        <w:rFonts w:hint="default"/>
        <w:lang w:val="en-US" w:eastAsia="en-US" w:bidi="ar-SA"/>
      </w:rPr>
    </w:lvl>
    <w:lvl w:ilvl="4">
      <w:start w:val="0"/>
      <w:numFmt w:val="bullet"/>
      <w:lvlText w:val="•"/>
      <w:lvlJc w:val="left"/>
      <w:pPr>
        <w:ind w:left="4059" w:hanging="312"/>
      </w:pPr>
      <w:rPr>
        <w:rFonts w:hint="default"/>
        <w:lang w:val="en-US" w:eastAsia="en-US" w:bidi="ar-SA"/>
      </w:rPr>
    </w:lvl>
    <w:lvl w:ilvl="5">
      <w:start w:val="0"/>
      <w:numFmt w:val="bullet"/>
      <w:lvlText w:val="•"/>
      <w:lvlJc w:val="left"/>
      <w:pPr>
        <w:ind w:left="4969" w:hanging="312"/>
      </w:pPr>
      <w:rPr>
        <w:rFonts w:hint="default"/>
        <w:lang w:val="en-US" w:eastAsia="en-US" w:bidi="ar-SA"/>
      </w:rPr>
    </w:lvl>
    <w:lvl w:ilvl="6">
      <w:start w:val="0"/>
      <w:numFmt w:val="bullet"/>
      <w:lvlText w:val="•"/>
      <w:lvlJc w:val="left"/>
      <w:pPr>
        <w:ind w:left="5878" w:hanging="312"/>
      </w:pPr>
      <w:rPr>
        <w:rFonts w:hint="default"/>
        <w:lang w:val="en-US" w:eastAsia="en-US" w:bidi="ar-SA"/>
      </w:rPr>
    </w:lvl>
    <w:lvl w:ilvl="7">
      <w:start w:val="0"/>
      <w:numFmt w:val="bullet"/>
      <w:lvlText w:val="•"/>
      <w:lvlJc w:val="left"/>
      <w:pPr>
        <w:ind w:left="6788" w:hanging="312"/>
      </w:pPr>
      <w:rPr>
        <w:rFonts w:hint="default"/>
        <w:lang w:val="en-US" w:eastAsia="en-US" w:bidi="ar-SA"/>
      </w:rPr>
    </w:lvl>
    <w:lvl w:ilvl="8">
      <w:start w:val="0"/>
      <w:numFmt w:val="bullet"/>
      <w:lvlText w:val="•"/>
      <w:lvlJc w:val="left"/>
      <w:pPr>
        <w:ind w:left="7698" w:hanging="312"/>
      </w:pPr>
      <w:rPr>
        <w:rFonts w:hint="default"/>
        <w:lang w:val="en-US" w:eastAsia="en-US" w:bidi="ar-SA"/>
      </w:rPr>
    </w:lvl>
  </w:abstractNum>
  <w:abstractNum w:abstractNumId="11">
    <w:nsid w:val="41775A26"/>
    <w:multiLevelType w:val="hybridMultilevel"/>
    <w:tmpl w:val="00000000"/>
    <w:lvl w:ilvl="0">
      <w:start w:val="7"/>
      <w:numFmt w:val="decimal"/>
      <w:lvlText w:val="%1"/>
      <w:lvlJc w:val="left"/>
      <w:pPr>
        <w:ind w:left="734" w:hanging="735"/>
        <w:jc w:val="left"/>
      </w:pPr>
      <w:rPr>
        <w:rFonts w:hint="default"/>
        <w:lang w:val="en-US" w:eastAsia="en-US" w:bidi="ar-SA"/>
      </w:rPr>
    </w:lvl>
    <w:lvl w:ilvl="1">
      <w:start w:val="2"/>
      <w:numFmt w:val="decimal"/>
      <w:lvlText w:val="%1.%2"/>
      <w:lvlJc w:val="left"/>
      <w:pPr>
        <w:ind w:left="734" w:hanging="735"/>
        <w:jc w:val="left"/>
      </w:pPr>
      <w:rPr>
        <w:rFonts w:hint="default"/>
        <w:lang w:val="en-US" w:eastAsia="en-US" w:bidi="ar-SA"/>
      </w:rPr>
    </w:lvl>
    <w:lvl w:ilvl="2">
      <w:start w:val="3"/>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3335" w:hanging="735"/>
      </w:pPr>
      <w:rPr>
        <w:rFonts w:hint="default"/>
        <w:lang w:val="en-US" w:eastAsia="en-US" w:bidi="ar-SA"/>
      </w:rPr>
    </w:lvl>
    <w:lvl w:ilvl="4">
      <w:start w:val="0"/>
      <w:numFmt w:val="bullet"/>
      <w:lvlText w:val="•"/>
      <w:lvlJc w:val="left"/>
      <w:pPr>
        <w:ind w:left="4200" w:hanging="735"/>
      </w:pPr>
      <w:rPr>
        <w:rFonts w:hint="default"/>
        <w:lang w:val="en-US" w:eastAsia="en-US" w:bidi="ar-SA"/>
      </w:rPr>
    </w:lvl>
    <w:lvl w:ilvl="5">
      <w:start w:val="0"/>
      <w:numFmt w:val="bullet"/>
      <w:lvlText w:val="•"/>
      <w:lvlJc w:val="left"/>
      <w:pPr>
        <w:ind w:left="5066" w:hanging="735"/>
      </w:pPr>
      <w:rPr>
        <w:rFonts w:hint="default"/>
        <w:lang w:val="en-US" w:eastAsia="en-US" w:bidi="ar-SA"/>
      </w:rPr>
    </w:lvl>
    <w:lvl w:ilvl="6">
      <w:start w:val="0"/>
      <w:numFmt w:val="bullet"/>
      <w:lvlText w:val="•"/>
      <w:lvlJc w:val="left"/>
      <w:pPr>
        <w:ind w:left="5931" w:hanging="735"/>
      </w:pPr>
      <w:rPr>
        <w:rFonts w:hint="default"/>
        <w:lang w:val="en-US" w:eastAsia="en-US" w:bidi="ar-SA"/>
      </w:rPr>
    </w:lvl>
    <w:lvl w:ilvl="7">
      <w:start w:val="0"/>
      <w:numFmt w:val="bullet"/>
      <w:lvlText w:val="•"/>
      <w:lvlJc w:val="left"/>
      <w:pPr>
        <w:ind w:left="6796" w:hanging="735"/>
      </w:pPr>
      <w:rPr>
        <w:rFonts w:hint="default"/>
        <w:lang w:val="en-US" w:eastAsia="en-US" w:bidi="ar-SA"/>
      </w:rPr>
    </w:lvl>
    <w:lvl w:ilvl="8">
      <w:start w:val="0"/>
      <w:numFmt w:val="bullet"/>
      <w:lvlText w:val="•"/>
      <w:lvlJc w:val="left"/>
      <w:pPr>
        <w:ind w:left="7661" w:hanging="735"/>
      </w:pPr>
      <w:rPr>
        <w:rFonts w:hint="default"/>
        <w:lang w:val="en-US" w:eastAsia="en-US" w:bidi="ar-SA"/>
      </w:rPr>
    </w:lvl>
  </w:abstractNum>
  <w:abstractNum w:abstractNumId="12">
    <w:nsid w:val="59AF53B0"/>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1"/>
      <w:numFmt w:val="decimal"/>
      <w:lvlText w:val="%1.%2"/>
      <w:lvlJc w:val="left"/>
      <w:pPr>
        <w:ind w:left="1696"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1700" w:hanging="735"/>
      </w:pPr>
      <w:rPr>
        <w:rFonts w:hint="default"/>
        <w:lang w:val="en-US" w:eastAsia="en-US" w:bidi="ar-SA"/>
      </w:rPr>
    </w:lvl>
    <w:lvl w:ilvl="4">
      <w:start w:val="0"/>
      <w:numFmt w:val="bullet"/>
      <w:lvlText w:val="•"/>
      <w:lvlJc w:val="left"/>
      <w:pPr>
        <w:ind w:left="1920" w:hanging="735"/>
      </w:pPr>
      <w:rPr>
        <w:rFonts w:hint="default"/>
        <w:lang w:val="en-US" w:eastAsia="en-US" w:bidi="ar-SA"/>
      </w:rPr>
    </w:lvl>
    <w:lvl w:ilvl="5">
      <w:start w:val="0"/>
      <w:numFmt w:val="bullet"/>
      <w:lvlText w:val="•"/>
      <w:lvlJc w:val="left"/>
      <w:pPr>
        <w:ind w:left="2000" w:hanging="735"/>
      </w:pPr>
      <w:rPr>
        <w:rFonts w:hint="default"/>
        <w:lang w:val="en-US" w:eastAsia="en-US" w:bidi="ar-SA"/>
      </w:rPr>
    </w:lvl>
    <w:lvl w:ilvl="6">
      <w:start w:val="0"/>
      <w:numFmt w:val="bullet"/>
      <w:lvlText w:val="•"/>
      <w:lvlJc w:val="left"/>
      <w:pPr>
        <w:ind w:left="3881" w:hanging="735"/>
      </w:pPr>
      <w:rPr>
        <w:rFonts w:hint="default"/>
        <w:lang w:val="en-US" w:eastAsia="en-US" w:bidi="ar-SA"/>
      </w:rPr>
    </w:lvl>
    <w:lvl w:ilvl="7">
      <w:start w:val="0"/>
      <w:numFmt w:val="bullet"/>
      <w:lvlText w:val="•"/>
      <w:lvlJc w:val="left"/>
      <w:pPr>
        <w:ind w:left="5762" w:hanging="735"/>
      </w:pPr>
      <w:rPr>
        <w:rFonts w:hint="default"/>
        <w:lang w:val="en-US" w:eastAsia="en-US" w:bidi="ar-SA"/>
      </w:rPr>
    </w:lvl>
    <w:lvl w:ilvl="8">
      <w:start w:val="0"/>
      <w:numFmt w:val="bullet"/>
      <w:lvlText w:val="•"/>
      <w:lvlJc w:val="left"/>
      <w:pPr>
        <w:ind w:left="7644" w:hanging="735"/>
      </w:pPr>
      <w:rPr>
        <w:rFonts w:hint="default"/>
        <w:lang w:val="en-US" w:eastAsia="en-US" w:bidi="ar-SA"/>
      </w:rPr>
    </w:lvl>
  </w:abstractNum>
  <w:abstractNum w:abstractNumId="13">
    <w:nsid w:val="6F7032AB"/>
    <w:multiLevelType w:val="hybridMultilevel"/>
    <w:tmpl w:val="00000000"/>
    <w:lvl w:ilvl="0">
      <w:start w:val="8"/>
      <w:numFmt w:val="decimal"/>
      <w:lvlText w:val="%1"/>
      <w:lvlJc w:val="left"/>
      <w:pPr>
        <w:ind w:left="525" w:hanging="526"/>
        <w:jc w:val="left"/>
      </w:pPr>
      <w:rPr>
        <w:rFonts w:hint="default"/>
        <w:lang w:val="en-US" w:eastAsia="en-US" w:bidi="ar-SA"/>
      </w:rPr>
    </w:lvl>
    <w:lvl w:ilvl="1">
      <w:start w:val="2"/>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2515" w:hanging="735"/>
      </w:pPr>
      <w:rPr>
        <w:rFonts w:hint="default"/>
        <w:lang w:val="en-US" w:eastAsia="en-US" w:bidi="ar-SA"/>
      </w:rPr>
    </w:lvl>
    <w:lvl w:ilvl="4">
      <w:start w:val="0"/>
      <w:numFmt w:val="bullet"/>
      <w:lvlText w:val="•"/>
      <w:lvlJc w:val="left"/>
      <w:pPr>
        <w:ind w:left="3403" w:hanging="735"/>
      </w:pPr>
      <w:rPr>
        <w:rFonts w:hint="default"/>
        <w:lang w:val="en-US" w:eastAsia="en-US" w:bidi="ar-SA"/>
      </w:rPr>
    </w:lvl>
    <w:lvl w:ilvl="5">
      <w:start w:val="0"/>
      <w:numFmt w:val="bullet"/>
      <w:lvlText w:val="•"/>
      <w:lvlJc w:val="left"/>
      <w:pPr>
        <w:ind w:left="4291" w:hanging="735"/>
      </w:pPr>
      <w:rPr>
        <w:rFonts w:hint="default"/>
        <w:lang w:val="en-US" w:eastAsia="en-US" w:bidi="ar-SA"/>
      </w:rPr>
    </w:lvl>
    <w:lvl w:ilvl="6">
      <w:start w:val="0"/>
      <w:numFmt w:val="bullet"/>
      <w:lvlText w:val="•"/>
      <w:lvlJc w:val="left"/>
      <w:pPr>
        <w:ind w:left="5179" w:hanging="735"/>
      </w:pPr>
      <w:rPr>
        <w:rFonts w:hint="default"/>
        <w:lang w:val="en-US" w:eastAsia="en-US" w:bidi="ar-SA"/>
      </w:rPr>
    </w:lvl>
    <w:lvl w:ilvl="7">
      <w:start w:val="0"/>
      <w:numFmt w:val="bullet"/>
      <w:lvlText w:val="•"/>
      <w:lvlJc w:val="left"/>
      <w:pPr>
        <w:ind w:left="6067" w:hanging="735"/>
      </w:pPr>
      <w:rPr>
        <w:rFonts w:hint="default"/>
        <w:lang w:val="en-US" w:eastAsia="en-US" w:bidi="ar-SA"/>
      </w:rPr>
    </w:lvl>
    <w:lvl w:ilvl="8">
      <w:start w:val="0"/>
      <w:numFmt w:val="bullet"/>
      <w:lvlText w:val="•"/>
      <w:lvlJc w:val="left"/>
      <w:pPr>
        <w:ind w:left="6955" w:hanging="735"/>
      </w:pPr>
      <w:rPr>
        <w:rFonts w:hint="default"/>
        <w:lang w:val="en-US" w:eastAsia="en-US" w:bidi="ar-SA"/>
      </w:rPr>
    </w:lvl>
  </w:abstractNum>
  <w:num w:numId="1">
    <w:abstractNumId w:val="3"/>
  </w:num>
  <w:num w:numId="2">
    <w:abstractNumId w:val="8"/>
  </w:num>
  <w:num w:numId="3">
    <w:abstractNumId w:val="0"/>
  </w:num>
  <w:num w:numId="4">
    <w:abstractNumId w:val="10"/>
  </w:num>
  <w:num w:numId="5">
    <w:abstractNumId w:val="13"/>
  </w:num>
  <w:num w:numId="6">
    <w:abstractNumId w:val="5"/>
  </w:num>
  <w:num w:numId="7">
    <w:abstractNumId w:val="11"/>
  </w:num>
  <w:num w:numId="8">
    <w:abstractNumId w:val="2"/>
  </w:num>
  <w:num w:numId="9">
    <w:abstractNumId w:val="9"/>
  </w:num>
  <w:num w:numId="10">
    <w:abstractNumId w:val="6"/>
  </w:num>
  <w:num w:numId="11">
    <w:abstractNumId w:val="12"/>
  </w:num>
  <w:num w:numId="12">
    <w:abstractNumId w:val="1"/>
  </w:num>
  <w:num w:numId="13">
    <w:abstractNumId w:val="4"/>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4"/>
      <w:ind w:left="302"/>
      <w:jc w:val="center"/>
      <w:outlineLvl w:val="0"/>
    </w:pPr>
    <w:rPr>
      <w:rFonts w:ascii="黑体" w:eastAsia="黑体" w:hAnsi="黑体" w:cs="黑体"/>
      <w:sz w:val="32"/>
      <w:szCs w:val="32"/>
      <w:lang w:val="en-US" w:eastAsia="en-US" w:bidi="ar-SA"/>
    </w:rPr>
  </w:style>
  <w:style w:type="paragraph" w:styleId="Heading2">
    <w:name w:val="heading 2"/>
    <w:basedOn w:val="Normal"/>
    <w:uiPriority w:val="1"/>
    <w:qFormat/>
    <w:pPr>
      <w:ind w:left="373"/>
      <w:jc w:val="center"/>
      <w:outlineLvl w:val="1"/>
    </w:pPr>
    <w:rPr>
      <w:rFonts w:ascii="宋体" w:eastAsia="宋体" w:hAnsi="宋体" w:cs="宋体"/>
      <w:b/>
      <w:b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257"/>
      <w:ind w:left="1159" w:right="715"/>
      <w:jc w:val="center"/>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ind w:left="1492" w:hanging="315"/>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846045232131010042" TargetMode="Externa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张鸿</dc:creator>
  <cp:revision>0</cp:revision>
  <dcterms:created xsi:type="dcterms:W3CDTF">2024-01-30T07:46:20Z</dcterms:created>
  <dcterms:modified xsi:type="dcterms:W3CDTF">2024-01-30T07:46:20Z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Aspose Ltd.</vt:lpwstr>
  </property>
  <property fmtid="{D5CDD505-2E9C-101B-9397-08002B2CF9AE}" pid="4" name="LastSaved">
    <vt:filetime>2024-01-30T00:00:00Z</vt:filetime>
  </property>
</Properties>
</file>