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5" w:lineRule="exact"/>
        <w:ind w:left="185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85pt;height:39.55pt;margin-top:350.75pt;margin-left:86.6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85pt;height:39.55pt;margin-top:316.2pt;margin-left:120.2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85pt;height:39.55pt;margin-top:281.65pt;margin-left:153.8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85pt;height:39.55pt;margin-top:385.3pt;margin-left:53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68.2pt;height:39.55pt;margin-top:514.9pt;margin-left:-72.95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wondershare_1" o:spid="_x0000_s1030" type="#_x0000_t202" style="width:68.2pt;height:39.55pt;margin-top:480.35pt;margin-left:-39.35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68.2pt;height:39.55pt;margin-top:445.8pt;margin-left:-5.7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76.6pt;height:30.9pt;margin-top:419.85pt;margin-left:27.8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247.05pt;margin-left:187.4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212.5pt;margin-left:221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169.3pt;margin-left:254.6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134.75pt;margin-left:296.6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100.2pt;margin-left:330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47" o:spid="_x0000_s1038" type="#_x0000_t12" style="width:396pt;height:1.35pt;margin-top:168.05pt;margin-left:0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75" o:spid="_x0000_s1039" type="#_x0000_t12" style="width:396.9pt;height:1.5pt;margin-top:385.45pt;margin-left:0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6"/>
          <w:u w:val="none"/>
        </w:rPr>
        <w:t>ICS</w:t>
      </w:r>
      <w:r>
        <w:rPr>
          <w:rFonts w:ascii="Calibri" w:hAnsi="Calibri" w:cs="Calibri"/>
          <w:color w:val="000000"/>
          <w:spacing w:val="0"/>
          <w:w w:val="223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33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.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060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.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01</w:t>
      </w:r>
    </w:p>
    <w:p>
      <w:pPr>
        <w:spacing w:before="0" w:after="0" w:line="372" w:lineRule="exact"/>
        <w:ind w:left="185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CCS</w:t>
      </w:r>
      <w:r>
        <w:rPr>
          <w:rFonts w:ascii="Calibri" w:hAnsi="Calibri" w:cs="Calibri"/>
          <w:color w:val="000000"/>
          <w:spacing w:val="0"/>
          <w:w w:val="217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M30</w:t>
      </w:r>
    </w:p>
    <w:p>
      <w:pPr>
        <w:spacing w:before="0" w:after="0" w:line="1028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72"/>
          <w:u w:val="none"/>
        </w:rPr>
        <w:t>T/SCTXXH</w:t>
      </w: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cols w:num="2" w:space="708" w:equalWidth="0">
            <w:col w:w="2892" w:space="0"/>
            <w:col w:w="4086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315" w:lineRule="exact"/>
        <w:ind w:firstLine="0"/>
      </w:pP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446" w:lineRule="exact"/>
        <w:ind w:left="60" w:firstLine="146"/>
        <w:jc w:val="left"/>
      </w:pPr>
      <w:r>
        <w:rPr>
          <w:rFonts w:ascii="黑体" w:eastAsia="黑体" w:hAnsi="黑体" w:cs="黑体"/>
          <w:color w:val="000000"/>
          <w:spacing w:val="0"/>
          <w:w w:val="125"/>
          <w:position w:val="0"/>
          <w:sz w:val="44"/>
          <w:u w:val="none"/>
        </w:rPr>
        <w:t>四川省通信学会团体标准</w:t>
      </w:r>
    </w:p>
    <w:p>
      <w:pPr>
        <w:spacing w:before="0" w:after="0" w:line="237" w:lineRule="exact"/>
        <w:ind w:left="60" w:firstLine="146"/>
      </w:pPr>
    </w:p>
    <w:p>
      <w:pPr>
        <w:spacing w:before="0" w:after="0" w:line="378" w:lineRule="exact"/>
        <w:ind w:left="60" w:firstLine="343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T/SCTXXH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6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－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2023</w:t>
      </w:r>
    </w:p>
    <w:p>
      <w:pPr>
        <w:spacing w:before="0" w:after="0" w:line="240" w:lineRule="exact"/>
        <w:ind w:left="60" w:firstLine="3437"/>
      </w:pPr>
    </w:p>
    <w:p>
      <w:pPr>
        <w:spacing w:before="0" w:after="0" w:line="240" w:lineRule="exact"/>
        <w:ind w:left="60" w:firstLine="3437"/>
      </w:pPr>
    </w:p>
    <w:p>
      <w:pPr>
        <w:spacing w:before="0" w:after="0" w:line="240" w:lineRule="exact"/>
        <w:ind w:left="60" w:firstLine="3437"/>
      </w:pPr>
    </w:p>
    <w:p>
      <w:pPr>
        <w:spacing w:before="0" w:after="0" w:line="240" w:lineRule="exact"/>
        <w:ind w:left="60" w:firstLine="3437"/>
      </w:pPr>
    </w:p>
    <w:p>
      <w:pPr>
        <w:spacing w:before="0" w:after="0" w:line="360" w:lineRule="exact"/>
        <w:ind w:left="60" w:firstLine="133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通信机房市电直接供电规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范</w:t>
      </w:r>
    </w:p>
    <w:p>
      <w:pPr>
        <w:spacing w:before="0" w:after="0" w:line="240" w:lineRule="exact"/>
        <w:ind w:left="60" w:firstLine="1330"/>
      </w:pPr>
    </w:p>
    <w:p>
      <w:pPr>
        <w:spacing w:before="0" w:after="0" w:line="240" w:lineRule="exact"/>
        <w:ind w:left="60" w:firstLine="1330"/>
      </w:pPr>
    </w:p>
    <w:p>
      <w:pPr>
        <w:spacing w:before="0" w:after="0" w:line="240" w:lineRule="exact"/>
        <w:ind w:left="60" w:firstLine="1330"/>
      </w:pPr>
    </w:p>
    <w:p>
      <w:pPr>
        <w:spacing w:before="0" w:after="0" w:line="451" w:lineRule="exact"/>
        <w:ind w:left="60" w:firstLine="1330"/>
      </w:pPr>
    </w:p>
    <w:p>
      <w:pPr>
        <w:spacing w:before="0" w:after="0" w:line="281" w:lineRule="exact"/>
        <w:ind w:left="60" w:firstLine="95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Technical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specification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direct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supply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grid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power</w:t>
      </w:r>
    </w:p>
    <w:p>
      <w:pPr>
        <w:spacing w:before="0" w:after="0" w:line="305" w:lineRule="exact"/>
        <w:ind w:left="60" w:firstLine="1949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telecommunication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stations</w:t>
      </w:r>
    </w:p>
    <w:p>
      <w:pPr>
        <w:spacing w:before="0" w:after="0" w:line="240" w:lineRule="exact"/>
        <w:ind w:left="60" w:firstLine="1949"/>
      </w:pPr>
    </w:p>
    <w:p>
      <w:pPr>
        <w:spacing w:before="0" w:after="0" w:line="240" w:lineRule="exact"/>
        <w:ind w:left="60" w:firstLine="1949"/>
      </w:pPr>
    </w:p>
    <w:p>
      <w:pPr>
        <w:spacing w:before="0" w:after="0" w:line="431" w:lineRule="exact"/>
        <w:ind w:left="60" w:firstLine="1949"/>
      </w:pPr>
    </w:p>
    <w:p>
      <w:pPr>
        <w:tabs>
          <w:tab w:val="left" w:pos="4404"/>
        </w:tabs>
        <w:spacing w:before="0" w:after="0" w:line="323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2023-12-11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2023-12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-11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实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施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4025"/>
        </w:tabs>
        <w:spacing w:before="0" w:after="0" w:line="307" w:lineRule="exact"/>
        <w:ind w:left="60" w:firstLine="1903"/>
        <w:jc w:val="left"/>
      </w:pPr>
      <w:r>
        <w:rPr>
          <w:rFonts w:ascii="黑体" w:eastAsia="黑体" w:hAnsi="黑体" w:cs="黑体"/>
          <w:color w:val="000000"/>
          <w:spacing w:val="18"/>
          <w:w w:val="100"/>
          <w:position w:val="0"/>
          <w:sz w:val="24"/>
          <w:u w:val="none"/>
        </w:rPr>
        <w:t>四川省通信学会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05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布</w:t>
      </w: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pgNumType w:start="3"/>
          <w:cols w:num="1" w:space="708" w:equalWidth="0">
            <w:col w:w="6978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1" w:name="2"/>
      <w:bookmarkEnd w:id="1"/>
      <w:r>
        <w:pict>
          <v:shape id="_x0000_s2065" o:spid="_x0000_s1040" type="#_x0000_t202" style="width:68.2pt;height:39.55pt;margin-top:514.9pt;margin-left:-72.95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66" o:spid="_x0000_s1041" type="#_x0000_t202" style="width:85pt;height:39.55pt;margin-top:350.75pt;margin-left:86.6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67" o:spid="_x0000_s1042" type="#_x0000_t202" style="width:85pt;height:39.55pt;margin-top:316.2pt;margin-left:120.2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85pt;height:39.55pt;margin-top:281.65pt;margin-left:153.8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85pt;height:39.55pt;margin-top:247.05pt;margin-left:187.4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85pt;height:39.55pt;margin-top:212.5pt;margin-left:221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76.6pt;height:48.2pt;margin-top:169.3pt;margin-left:254.6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68.2pt;height:39.55pt;margin-top:134.75pt;margin-left:296.6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68.2pt;height:39.55pt;margin-top:480.35pt;margin-left:-39.35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68.2pt;height:39.55pt;margin-top:445.8pt;margin-left:-5.75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76.6pt;height:30.9pt;margin-top:419.85pt;margin-left:27.8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385.3pt;margin-left:53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68.2pt;height:39.55pt;margin-top:100.2pt;margin-left:330.2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</w:p>
    <w:p>
      <w:pPr>
        <w:spacing w:before="0" w:after="0" w:line="240" w:lineRule="exact"/>
      </w:pP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99" w:lineRule="exact"/>
      </w:pPr>
    </w:p>
    <w:p>
      <w:pPr>
        <w:widowControl/>
        <w:jc w:val="left"/>
        <w:sectPr>
          <w:type w:val="continuous"/>
          <w:pgSz w:w="7938" w:h="11511"/>
          <w:pgMar w:top="666" w:right="626" w:bottom="426" w:left="986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378" w:lineRule="exact"/>
        <w:ind w:left="89" w:firstLine="2242"/>
        <w:jc w:val="left"/>
      </w:pPr>
      <w:r>
        <w:pict>
          <v:shape id="_x0000_s2078" o:spid="_x0000_s1053" type="#_x0000_t202" style="width:68.2pt;height:39.55pt;margin-top:514.9pt;margin-left:-72.95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68.2pt;height:39.55pt;margin-top:480.35pt;margin-left:-39.35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445.8pt;margin-left:-5.75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76.6pt;height:30.9pt;margin-top:419.85pt;margin-left:27.8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85pt;height:39.55pt;margin-top:385.3pt;margin-left:53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83" o:spid="_x0000_s1058" type="#_x0000_t202" style="width:85pt;height:39.55pt;margin-top:350.75pt;margin-left:86.6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85pt;height:39.55pt;margin-top:316.2pt;margin-left:120.2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85pt;height:39.55pt;margin-top:281.65pt;margin-left:153.8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85pt;height:39.55pt;margin-top:247.05pt;margin-left:187.4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85pt;height:39.55pt;margin-top:212.5pt;margin-left:221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76.6pt;height:48.2pt;margin-top:169.3pt;margin-left:254.6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68.2pt;height:39.55pt;margin-top:134.75pt;margin-left:296.6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68.2pt;height:39.55pt;margin-top:100.2pt;margin-left:330.2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前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  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言</w:t>
      </w:r>
    </w:p>
    <w:p>
      <w:pPr>
        <w:spacing w:before="0" w:after="0" w:line="424" w:lineRule="exact"/>
        <w:ind w:left="89" w:firstLine="40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本文件按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照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1.1—2020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《标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准化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工作导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则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部分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</w:t>
      </w:r>
    </w:p>
    <w:p>
      <w:pPr>
        <w:spacing w:before="0" w:after="0" w:line="355" w:lineRule="exact"/>
        <w:ind w:left="89" w:firstLine="2"/>
        <w:jc w:val="left"/>
      </w:pP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标准化文件的结构和起草规则》、四川省通信学会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2023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年发布的</w:t>
      </w:r>
    </w:p>
    <w:p>
      <w:pPr>
        <w:spacing w:before="0" w:after="0" w:line="322" w:lineRule="exact"/>
        <w:ind w:left="89" w:firstLine="2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《四川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省通信学会团体标准管理办法（修订稿）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》进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行起草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58" w:lineRule="exact"/>
        <w:ind w:left="89" w:firstLine="401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目前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多家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运营商已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在自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有的通信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机房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局部应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用市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电直供方</w:t>
      </w:r>
    </w:p>
    <w:p>
      <w:pPr>
        <w:spacing w:before="0" w:after="0" w:line="355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案，各个运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营商、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包括国内国外的方案差异性是比较大的，都有</w:t>
      </w:r>
    </w:p>
    <w:p>
      <w:pPr>
        <w:spacing w:before="0" w:after="0" w:line="358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各自的特点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。因此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需要建设统一规范，在通信行业及其他行业推</w:t>
      </w:r>
    </w:p>
    <w:p>
      <w:pPr>
        <w:spacing w:before="0" w:after="0" w:line="355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广市电直供技术的应用，作为各级通信机房的建设依据和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参考。</w:t>
      </w:r>
    </w:p>
    <w:p>
      <w:pPr>
        <w:spacing w:before="0" w:after="0" w:line="358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本文件规范通信机房市电直接供电技术，规定了通信机房多场景</w:t>
      </w:r>
    </w:p>
    <w:p>
      <w:pPr>
        <w:spacing w:before="0" w:after="0" w:line="391" w:lineRule="exact"/>
        <w:ind w:left="89" w:firstLine="2"/>
        <w:jc w:val="left"/>
      </w:pPr>
      <w:r>
        <w:rPr>
          <w:rFonts w:ascii="宋体" w:hAnsi="宋体" w:cs="宋体"/>
          <w:color w:val="000000"/>
          <w:spacing w:val="-8"/>
          <w:w w:val="100"/>
          <w:position w:val="3"/>
          <w:sz w:val="20"/>
          <w:u w:val="none"/>
        </w:rPr>
        <w:t>市电供电系统架构、市电直供对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IT</w:t>
      </w:r>
      <w:r>
        <w:rPr>
          <w:rFonts w:ascii="Calibri" w:hAnsi="Calibri" w:cs="Calibri"/>
          <w:color w:val="000000"/>
          <w:spacing w:val="0"/>
          <w:w w:val="214"/>
          <w:sz w:val="20"/>
          <w:u w:val="none"/>
        </w:rPr>
        <w:t> </w:t>
      </w:r>
      <w:r>
        <w:rPr>
          <w:rFonts w:ascii="宋体" w:hAnsi="宋体" w:cs="宋体"/>
          <w:color w:val="000000"/>
          <w:spacing w:val="-10"/>
          <w:w w:val="100"/>
          <w:position w:val="3"/>
          <w:sz w:val="20"/>
          <w:u w:val="none"/>
        </w:rPr>
        <w:t>设备的要求、市电直供对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UPS</w:t>
      </w:r>
    </w:p>
    <w:p>
      <w:pPr>
        <w:spacing w:before="0" w:after="0" w:line="322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电源供电要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求、市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电直供对精密空调供电要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求、市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电直供对其他</w:t>
      </w:r>
    </w:p>
    <w:p>
      <w:pPr>
        <w:spacing w:before="0" w:after="0" w:line="355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配套设备供电要求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、市电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直供对供配电系统供电要求及电气系统</w:t>
      </w:r>
    </w:p>
    <w:p>
      <w:pPr>
        <w:spacing w:before="0" w:after="0" w:line="358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整体质量治理等内容；提出了适用于通信运营商的通信机房市电</w:t>
      </w:r>
    </w:p>
    <w:p>
      <w:pPr>
        <w:spacing w:before="0" w:after="0" w:line="355" w:lineRule="exact"/>
        <w:ind w:left="89" w:firstLine="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直接供电的技术规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范。</w:t>
      </w:r>
    </w:p>
    <w:p>
      <w:pPr>
        <w:spacing w:before="0" w:after="0" w:line="358" w:lineRule="exact"/>
        <w:ind w:left="89" w:firstLine="401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本标准由四川省通信学会负责归口管理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55" w:lineRule="exact"/>
        <w:ind w:left="89" w:firstLine="427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文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起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草</w:t>
      </w:r>
      <w:r>
        <w:rPr>
          <w:rFonts w:ascii="Calibri" w:hAnsi="Calibri" w:cs="Calibri"/>
          <w:color w:val="000000"/>
          <w:spacing w:val="1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单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位：</w:t>
      </w:r>
    </w:p>
    <w:p>
      <w:pPr>
        <w:spacing w:before="0" w:after="0" w:line="361" w:lineRule="exact"/>
        <w:ind w:left="89" w:firstLine="422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中通服咨询设计研究院</w:t>
      </w:r>
      <w:r>
        <w:rPr>
          <w:rFonts w:ascii="宋体" w:hAnsi="宋体" w:cs="宋体"/>
          <w:color w:val="000000"/>
          <w:spacing w:val="4"/>
          <w:w w:val="100"/>
          <w:position w:val="0"/>
          <w:sz w:val="21"/>
          <w:u w:val="none"/>
        </w:rPr>
        <w:t>有限公司、四川邮电职业技术学</w:t>
      </w:r>
    </w:p>
    <w:p>
      <w:pPr>
        <w:spacing w:before="0" w:after="0" w:line="355" w:lineRule="exact"/>
        <w:ind w:left="89" w:firstLine="2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院、信息产业电子第十一设计研究院科技工程股份有限公司、</w:t>
      </w:r>
    </w:p>
    <w:p>
      <w:pPr>
        <w:spacing w:before="0" w:after="0" w:line="358" w:lineRule="exact"/>
        <w:ind w:left="89" w:firstLine="2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中国移动通信集团四川有限公司。</w:t>
      </w:r>
    </w:p>
    <w:p>
      <w:pPr>
        <w:spacing w:before="0" w:after="0" w:line="356" w:lineRule="exact"/>
        <w:ind w:left="89" w:firstLine="401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0"/>
          <w:u w:val="none"/>
        </w:rPr>
        <w:t>本文件主要起草人员：周丹、韦泽训、郭杰、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苟浩淞</w:t>
      </w:r>
      <w:r>
        <w:rPr>
          <w:rFonts w:ascii="宋体" w:hAnsi="宋体" w:cs="宋体"/>
          <w:color w:val="000000"/>
          <w:spacing w:val="-10"/>
          <w:w w:val="100"/>
          <w:position w:val="0"/>
          <w:sz w:val="20"/>
          <w:u w:val="none"/>
        </w:rPr>
        <w:t>、高瞻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</w:p>
    <w:p>
      <w:pPr>
        <w:spacing w:before="0" w:after="0" w:line="357" w:lineRule="exact"/>
        <w:ind w:left="8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王泽润。</w:t>
      </w:r>
    </w:p>
    <w:p>
      <w:pPr>
        <w:widowControl/>
        <w:jc w:val="left"/>
        <w:sectPr>
          <w:type w:val="continuous"/>
          <w:pgSz w:w="7938" w:h="11511"/>
          <w:pgMar w:top="666" w:right="626" w:bottom="426" w:left="986" w:header="0" w:footer="0" w:gutter="0"/>
          <w:pgNumType w:start="5"/>
          <w:cols w:num="1" w:space="708" w:equalWidth="0">
            <w:col w:w="632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54" w:lineRule="exact"/>
        <w:ind w:left="89" w:firstLine="0"/>
      </w:pPr>
    </w:p>
    <w:p>
      <w:pPr>
        <w:widowControl/>
        <w:jc w:val="left"/>
        <w:sectPr>
          <w:type w:val="continuous"/>
          <w:pgSz w:w="7938" w:h="11511"/>
          <w:pgMar w:top="666" w:right="626" w:bottom="426" w:left="986" w:header="0" w:footer="0" w:gutter="0"/>
          <w:pgNumType w:start="6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1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666" w:right="626" w:bottom="426" w:left="986" w:header="0" w:footer="0" w:gutter="0"/>
          <w:pgNumType w:start="7"/>
          <w:cols w:num="1" w:space="708" w:equalWidth="0">
            <w:col w:w="6325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3" w:name="4"/>
      <w:bookmarkEnd w:id="3"/>
      <w:r>
        <w:pict>
          <v:shape id="_x0000_s2091" o:spid="_x0000_s1066" type="#_x0000_t202" style="width:68.2pt;height:39.55pt;margin-top:514.9pt;margin-left:-72.95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85pt;height:39.55pt;margin-top:350.75pt;margin-left:86.6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85pt;height:39.55pt;margin-top:316.2pt;margin-left:120.2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85pt;height:39.55pt;margin-top:281.65pt;margin-left:153.8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85pt;height:39.55pt;margin-top:247.05pt;margin-left:187.4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85pt;height:39.55pt;margin-top:212.5pt;margin-left:221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76.6pt;height:48.2pt;margin-top:169.3pt;margin-left:254.6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68.2pt;height:39.55pt;margin-top:134.75pt;margin-left:296.6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68.2pt;height:39.55pt;margin-top:480.35pt;margin-left:-39.35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68.2pt;height:39.55pt;margin-top:445.8pt;margin-left:-5.75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76.6pt;height:30.9pt;margin-top:419.85pt;margin-left:27.8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85pt;height:39.55pt;margin-top:385.3pt;margin-left:53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68.2pt;height:39.55pt;margin-top:100.2pt;margin-left:330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</w:p>
    <w:p>
      <w:pPr>
        <w:spacing w:before="0" w:after="0" w:line="240" w:lineRule="exact"/>
      </w:pPr>
      <w:bookmarkStart w:id="4" w:name="5"/>
      <w:bookmarkEnd w:id="4"/>
      <w:bookmarkStart w:id="5" w:name="_GoBack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7938" w:h="11511"/>
          <w:pgMar w:top="666" w:right="626" w:bottom="426" w:left="986" w:header="0" w:footer="0" w:gutter="0"/>
          <w:pgNumType w:start="8"/>
          <w:cols w:num="1" w:space="720"/>
        </w:sectPr>
      </w:pPr>
    </w:p>
    <w:p>
      <w:pPr>
        <w:spacing w:before="0" w:after="0" w:line="471" w:lineRule="exact"/>
      </w:pPr>
    </w:p>
    <w:p>
      <w:pPr>
        <w:spacing w:before="0" w:after="0" w:line="378" w:lineRule="exact"/>
        <w:ind w:left="91" w:firstLine="2239"/>
        <w:jc w:val="left"/>
      </w:pPr>
      <w:r>
        <w:pict>
          <v:shape id="_x0000_s2104" o:spid="_x0000_s1079" type="#_x0000_t202" style="width:68.2pt;height:39.55pt;margin-top:445.8pt;margin-left:-5.75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68.2pt;height:39.55pt;margin-top:480.35pt;margin-left:-39.35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68.2pt;height:39.55pt;margin-top:514.9pt;margin-left:-72.95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76.6pt;height:30.9pt;margin-top:419.85pt;margin-left:27.8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385.3pt;margin-left:53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350.75pt;margin-left:86.6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85pt;height:39.55pt;margin-top:316.2pt;margin-left:120.2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85pt;height:39.55pt;margin-top:281.65pt;margin-left:153.8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85pt;height:39.55pt;margin-top:247.05pt;margin-left:187.4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85pt;height:39.55pt;margin-top:212.5pt;margin-left:221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76.6pt;height:48.2pt;margin-top:169.3pt;margin-left:254.6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134.75pt;margin-left:296.6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100.2pt;margin-left:330.2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目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  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次</w:t>
      </w:r>
    </w:p>
    <w:p>
      <w:pPr>
        <w:spacing w:before="0" w:after="0" w:line="240" w:lineRule="exact"/>
        <w:ind w:left="91" w:firstLine="2239"/>
      </w:pPr>
    </w:p>
    <w:p>
      <w:pPr>
        <w:spacing w:before="0" w:after="0" w:line="240" w:lineRule="exact"/>
        <w:ind w:left="91" w:firstLine="2239"/>
      </w:pPr>
    </w:p>
    <w:p>
      <w:pPr>
        <w:tabs>
          <w:tab w:val="left" w:pos="5774"/>
        </w:tabs>
        <w:spacing w:before="0" w:after="0" w:line="388" w:lineRule="exact"/>
        <w:ind w:left="91" w:firstLine="0"/>
        <w:jc w:val="left"/>
      </w:pP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范</w:t>
        </w:r>
      </w:hyperlink>
      <w:r>
        <w:rPr>
          <w:rFonts w:ascii="Calibri" w:hAnsi="Calibri" w:cs="Calibri"/>
          <w:color w:val="000000"/>
          <w:spacing w:val="0"/>
          <w:w w:val="372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围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1</w:t>
        </w:r>
      </w:hyperlink>
    </w:p>
    <w:p>
      <w:pPr>
        <w:tabs>
          <w:tab w:val="left" w:pos="5774"/>
        </w:tabs>
        <w:spacing w:before="0" w:after="0" w:line="355" w:lineRule="exact"/>
        <w:ind w:left="91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规范性引用文件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2</w:t>
        </w:r>
      </w:hyperlink>
    </w:p>
    <w:p>
      <w:pPr>
        <w:tabs>
          <w:tab w:val="left" w:pos="5774"/>
        </w:tabs>
        <w:spacing w:before="0" w:after="0" w:line="358" w:lineRule="exact"/>
        <w:ind w:left="91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术语和定义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3</w:t>
        </w:r>
      </w:hyperlink>
    </w:p>
    <w:p>
      <w:pPr>
        <w:tabs>
          <w:tab w:val="left" w:pos="5774"/>
        </w:tabs>
        <w:spacing w:before="0" w:after="0" w:line="355" w:lineRule="exact"/>
        <w:ind w:left="91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缩略语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5</w:t>
        </w:r>
      </w:hyperlink>
    </w:p>
    <w:p>
      <w:pPr>
        <w:tabs>
          <w:tab w:val="left" w:pos="5774"/>
        </w:tabs>
        <w:spacing w:before="0" w:after="0" w:line="358" w:lineRule="exact"/>
        <w:ind w:left="91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基本规定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6</w:t>
        </w:r>
      </w:hyperlink>
    </w:p>
    <w:p>
      <w:pPr>
        <w:tabs>
          <w:tab w:val="left" w:pos="5774"/>
        </w:tabs>
        <w:spacing w:before="0" w:after="0" w:line="325" w:lineRule="exact"/>
        <w:ind w:left="91" w:firstLine="199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一般性原则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6</w:t>
        </w:r>
      </w:hyperlink>
    </w:p>
    <w:p>
      <w:pPr>
        <w:tabs>
          <w:tab w:val="left" w:pos="4068"/>
        </w:tabs>
        <w:spacing w:before="0" w:after="0" w:line="355" w:lineRule="exact"/>
        <w:ind w:left="91" w:firstLine="19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5.2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标准适用规定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.....................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错误！未定义书签。</w:t>
      </w:r>
    </w:p>
    <w:p>
      <w:pPr>
        <w:tabs>
          <w:tab w:val="left" w:pos="5774"/>
        </w:tabs>
        <w:spacing w:before="0" w:after="0" w:line="358" w:lineRule="exact"/>
        <w:ind w:left="91" w:firstLine="199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5.3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标准应用要求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6</w:t>
        </w:r>
      </w:hyperlink>
    </w:p>
    <w:p>
      <w:pPr>
        <w:tabs>
          <w:tab w:val="left" w:pos="5774"/>
        </w:tabs>
        <w:spacing w:before="0" w:after="0" w:line="388" w:lineRule="exact"/>
        <w:ind w:left="91" w:firstLine="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通信机房多场景市电供电系统架构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8</w:t>
        </w:r>
      </w:hyperlink>
    </w:p>
    <w:p>
      <w:pPr>
        <w:tabs>
          <w:tab w:val="left" w:pos="5774"/>
        </w:tabs>
        <w:spacing w:before="0" w:after="0" w:line="325" w:lineRule="exact"/>
        <w:ind w:left="91" w:firstLine="199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双路供电市电直接供电架构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8</w:t>
        </w:r>
      </w:hyperlink>
    </w:p>
    <w:p>
      <w:pPr>
        <w:tabs>
          <w:tab w:val="left" w:pos="5774"/>
        </w:tabs>
        <w:spacing w:before="0" w:after="0" w:line="355" w:lineRule="exact"/>
        <w:ind w:left="91" w:firstLine="199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IT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设备内部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PSU</w:t>
        </w:r>
      </w:hyperlink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不同配置的市电直供架构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9</w:t>
        </w:r>
      </w:hyperlink>
    </w:p>
    <w:p>
      <w:pPr>
        <w:tabs>
          <w:tab w:val="left" w:pos="5674"/>
        </w:tabs>
        <w:spacing w:before="0" w:after="0" w:line="355" w:lineRule="exact"/>
        <w:ind w:left="91" w:firstLine="199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市电-UPS</w:t>
        </w:r>
      </w:hyperlink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工作模式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</w:t>
        </w:r>
      </w:hyperlink>
      <w:r>
        <w:rPr>
          <w:rFonts w:ascii="Calibri" w:hAnsi="Calibri" w:cs="Calibri"/>
          <w:color w:val="000000"/>
          <w:spacing w:val="0"/>
          <w:w w:val="185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10</w:t>
        </w:r>
      </w:hyperlink>
    </w:p>
    <w:p>
      <w:pPr>
        <w:tabs>
          <w:tab w:val="left" w:pos="5674"/>
        </w:tabs>
        <w:spacing w:before="0" w:after="0" w:line="391" w:lineRule="exact"/>
        <w:ind w:left="91" w:firstLine="0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市电直供对通信设备供电要求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12</w:t>
        </w:r>
      </w:hyperlink>
    </w:p>
    <w:p>
      <w:pPr>
        <w:tabs>
          <w:tab w:val="left" w:pos="5674"/>
        </w:tabs>
        <w:spacing w:before="0" w:after="0" w:line="322" w:lineRule="exact"/>
        <w:ind w:left="91" w:firstLine="199"/>
        <w:jc w:val="left"/>
      </w:pP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市电直供对通信设备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PSU</w:t>
        </w:r>
      </w:hyperlink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的要求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12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2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通信设备由双路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PSU</w:t>
        </w:r>
      </w:hyperlink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供电工作要求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14</w:t>
        </w:r>
      </w:hyperlink>
    </w:p>
    <w:p>
      <w:pPr>
        <w:tabs>
          <w:tab w:val="left" w:pos="5674"/>
        </w:tabs>
        <w:spacing w:before="0" w:after="0" w:line="391" w:lineRule="exact"/>
        <w:ind w:left="91" w:firstLine="0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市电直供对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UPS</w:t>
        </w:r>
      </w:hyperlink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电源供电要求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15</w:t>
        </w:r>
      </w:hyperlink>
    </w:p>
    <w:p>
      <w:pPr>
        <w:tabs>
          <w:tab w:val="left" w:pos="5674"/>
        </w:tabs>
        <w:spacing w:before="0" w:after="0" w:line="322" w:lineRule="exact"/>
        <w:ind w:left="91" w:firstLine="199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8.1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0"/>
            <w:sz w:val="20"/>
            <w:u w:val="none"/>
          </w:rPr>
          <w:t>对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UPS</w:t>
        </w:r>
      </w:hyperlink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设备的功能要求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15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8.2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UPS</w:t>
        </w:r>
      </w:hyperlink>
      <w:r>
        <w:rPr>
          <w:rFonts w:ascii="Calibri" w:hAnsi="Calibri" w:cs="Calibri"/>
          <w:color w:val="000000"/>
          <w:spacing w:val="0"/>
          <w:w w:val="215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ECO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功能要求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15</w:t>
        </w:r>
      </w:hyperlink>
    </w:p>
    <w:p>
      <w:pPr>
        <w:tabs>
          <w:tab w:val="left" w:pos="5674"/>
        </w:tabs>
        <w:spacing w:before="0" w:after="0" w:line="388" w:lineRule="exact"/>
        <w:ind w:left="91" w:firstLine="0"/>
        <w:jc w:val="left"/>
      </w:pP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9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市电直供对精密空调供电要求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17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9.1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精密空调市电供电范围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</w:t>
        </w:r>
      </w:hyperlink>
      <w:r>
        <w:rPr>
          <w:rFonts w:ascii="Calibri" w:hAnsi="Calibri" w:cs="Calibri"/>
          <w:color w:val="000000"/>
          <w:spacing w:val="0"/>
          <w:w w:val="185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17</w:t>
        </w:r>
      </w:hyperlink>
    </w:p>
    <w:p>
      <w:pPr>
        <w:spacing w:before="0" w:after="0" w:line="240" w:lineRule="exact"/>
        <w:ind w:left="91" w:firstLine="199"/>
      </w:pPr>
    </w:p>
    <w:p>
      <w:pPr>
        <w:spacing w:before="0" w:after="0" w:line="240" w:lineRule="exact"/>
        <w:ind w:left="91" w:firstLine="199"/>
      </w:pPr>
    </w:p>
    <w:p>
      <w:pPr>
        <w:spacing w:before="0" w:after="0" w:line="429" w:lineRule="exact"/>
        <w:ind w:left="91" w:firstLine="5724"/>
        <w:jc w:val="left"/>
        <w:sectPr>
          <w:type w:val="nextPage"/>
          <w:pgSz w:w="7938" w:h="11511"/>
          <w:pgMar w:top="666" w:right="626" w:bottom="426" w:left="986" w:header="0" w:footer="0" w:gutter="0"/>
          <w:pgNumType w:start="9"/>
          <w:cols w:num="1" w:space="720"/>
          <w:titlePg w:val="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400" w:lineRule="exact"/>
      </w:pPr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0"/>
          <w:cols w:num="1" w:space="720"/>
          <w:docGrid w:type="lines" w:linePitch="312" w:charSpace="0"/>
        </w:sectPr>
      </w:pPr>
    </w:p>
    <w:p>
      <w:pPr>
        <w:tabs>
          <w:tab w:val="left" w:pos="5642"/>
        </w:tabs>
        <w:spacing w:before="0" w:after="0" w:line="268" w:lineRule="exact"/>
        <w:ind w:left="60" w:firstLine="199"/>
        <w:jc w:val="left"/>
      </w:pPr>
      <w:r>
        <w:pict>
          <v:shape id="_x0000_s2117" o:spid="_x0000_s1092" type="#_x0000_t202" style="width:68.2pt;height:39.55pt;margin-top:514.9pt;margin-left:-72.95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68.2pt;height:39.55pt;margin-top:480.35pt;margin-left:-39.35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68.2pt;height:39.55pt;margin-top:445.8pt;margin-left:-5.75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76.6pt;height:30.9pt;margin-top:419.85pt;margin-left:27.8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385.3pt;margin-left:53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350.75pt;margin-left:86.6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316.2pt;margin-left:120.2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281.65pt;margin-left:153.8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85pt;height:39.55pt;margin-top:247.05pt;margin-left:187.4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85pt;height:39.55pt;margin-top:212.5pt;margin-left:221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76.6pt;height:48.2pt;margin-top:169.3pt;margin-left:254.6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68.2pt;height:39.55pt;margin-top:134.75pt;margin-left:296.6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68.2pt;height:39.55pt;margin-top:100.2pt;margin-left:330.2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9.2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精密空调配电设备配置要求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</w:t>
        </w:r>
      </w:hyperlink>
      <w:r>
        <w:rPr>
          <w:rFonts w:ascii="Calibri" w:hAnsi="Calibri" w:cs="Calibri"/>
          <w:color w:val="000000"/>
          <w:spacing w:val="0"/>
          <w:w w:val="183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17</w:t>
        </w:r>
      </w:hyperlink>
    </w:p>
    <w:p>
      <w:pPr>
        <w:tabs>
          <w:tab w:val="left" w:pos="5642"/>
        </w:tabs>
        <w:spacing w:before="0" w:after="0" w:line="355" w:lineRule="exact"/>
        <w:ind w:left="60" w:firstLine="0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10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市电直供对其他配套设备供电要求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18</w:t>
        </w:r>
      </w:hyperlink>
    </w:p>
    <w:p>
      <w:pPr>
        <w:tabs>
          <w:tab w:val="left" w:pos="5642"/>
        </w:tabs>
        <w:spacing w:before="0" w:after="0" w:line="358" w:lineRule="exact"/>
        <w:ind w:left="60" w:firstLine="199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10.1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其他配套设备市电供电范围</w:t>
        </w:r>
      </w:hyperlink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hyperlink w:anchor="2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</w:t>
        </w:r>
      </w:hyperlink>
      <w:r>
        <w:rPr>
          <w:rFonts w:ascii="Calibri" w:hAnsi="Calibri" w:cs="Calibri"/>
          <w:color w:val="000000"/>
          <w:spacing w:val="0"/>
          <w:w w:val="186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18</w:t>
        </w:r>
      </w:hyperlink>
    </w:p>
    <w:p>
      <w:pPr>
        <w:tabs>
          <w:tab w:val="left" w:pos="5642"/>
        </w:tabs>
        <w:spacing w:before="0" w:after="0" w:line="358" w:lineRule="exact"/>
        <w:ind w:left="60" w:firstLine="199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10.2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其他配套设备配置要求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</w:t>
        </w:r>
      </w:hyperlink>
      <w:r>
        <w:rPr>
          <w:rFonts w:ascii="Calibri" w:hAnsi="Calibri" w:cs="Calibri"/>
          <w:color w:val="000000"/>
          <w:spacing w:val="0"/>
          <w:w w:val="183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18</w:t>
        </w:r>
      </w:hyperlink>
    </w:p>
    <w:p>
      <w:pPr>
        <w:tabs>
          <w:tab w:val="left" w:pos="5642"/>
        </w:tabs>
        <w:spacing w:before="0" w:after="0" w:line="355" w:lineRule="exact"/>
        <w:ind w:left="60" w:firstLine="0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市电直供对供配电系统供电要求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19</w:t>
        </w:r>
      </w:hyperlink>
    </w:p>
    <w:p>
      <w:pPr>
        <w:tabs>
          <w:tab w:val="left" w:pos="5642"/>
        </w:tabs>
        <w:spacing w:before="0" w:after="0" w:line="358" w:lineRule="exact"/>
        <w:ind w:left="60" w:firstLine="199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2"/>
            <w:w w:val="100"/>
            <w:position w:val="0"/>
            <w:sz w:val="20"/>
            <w:u w:val="none"/>
          </w:rPr>
          <w:t>11.1</w:t>
        </w:r>
      </w:hyperlink>
      <w:r>
        <w:rPr>
          <w:rFonts w:ascii="Calibri" w:hAnsi="Calibri" w:cs="Calibri"/>
          <w:color w:val="000000"/>
          <w:spacing w:val="0"/>
          <w:w w:val="215"/>
          <w:sz w:val="20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对供配电系统的要求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19</w:t>
        </w:r>
      </w:hyperlink>
    </w:p>
    <w:p>
      <w:pPr>
        <w:tabs>
          <w:tab w:val="left" w:pos="5642"/>
        </w:tabs>
        <w:spacing w:before="0" w:after="0" w:line="355" w:lineRule="exact"/>
        <w:ind w:left="60" w:firstLine="199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2"/>
            <w:w w:val="100"/>
            <w:position w:val="0"/>
            <w:sz w:val="20"/>
            <w:u w:val="none"/>
          </w:rPr>
          <w:t>11.2</w:t>
        </w:r>
      </w:hyperlink>
      <w:r>
        <w:rPr>
          <w:rFonts w:ascii="Calibri" w:hAnsi="Calibri" w:cs="Calibri"/>
          <w:color w:val="000000"/>
          <w:spacing w:val="0"/>
          <w:w w:val="215"/>
          <w:sz w:val="20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对设备及元器件的要求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</w:t>
        </w:r>
      </w:hyperlink>
      <w:r>
        <w:rPr>
          <w:rFonts w:ascii="Calibri" w:hAnsi="Calibri" w:cs="Calibri"/>
          <w:color w:val="000000"/>
          <w:spacing w:val="0"/>
          <w:w w:val="204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19</w:t>
        </w:r>
      </w:hyperlink>
    </w:p>
    <w:p>
      <w:pPr>
        <w:tabs>
          <w:tab w:val="left" w:pos="5642"/>
        </w:tabs>
        <w:spacing w:before="0" w:after="0" w:line="355" w:lineRule="exact"/>
        <w:ind w:left="60" w:firstLine="0"/>
        <w:jc w:val="left"/>
      </w:pPr>
      <w:hyperlink w:anchor="2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供电系统整体质量治理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20</w:t>
        </w:r>
      </w:hyperlink>
    </w:p>
    <w:p>
      <w:pPr>
        <w:tabs>
          <w:tab w:val="left" w:pos="5642"/>
        </w:tabs>
        <w:spacing w:before="0" w:after="0" w:line="358" w:lineRule="exact"/>
        <w:ind w:left="60" w:firstLine="199"/>
        <w:jc w:val="left"/>
      </w:pPr>
      <w:hyperlink w:anchor="2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12.1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供电系统整体质量治理总体要求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</w:t>
        </w:r>
      </w:hyperlink>
      <w:r>
        <w:rPr>
          <w:rFonts w:ascii="Calibri" w:hAnsi="Calibri" w:cs="Calibri"/>
          <w:color w:val="000000"/>
          <w:spacing w:val="0"/>
          <w:w w:val="185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20</w:t>
        </w:r>
      </w:hyperlink>
    </w:p>
    <w:p>
      <w:pPr>
        <w:tabs>
          <w:tab w:val="left" w:pos="5642"/>
        </w:tabs>
        <w:spacing w:before="0" w:after="0" w:line="355" w:lineRule="exact"/>
        <w:ind w:left="60" w:firstLine="199"/>
        <w:jc w:val="left"/>
      </w:pPr>
      <w:hyperlink w:anchor="2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0"/>
            <w:u w:val="none"/>
          </w:rPr>
          <w:t>12.2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设备选型要求</w:t>
        </w:r>
      </w:hyperlink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</w:t>
        </w:r>
      </w:hyperlink>
      <w:r>
        <w:rPr>
          <w:rFonts w:ascii="Calibri" w:hAnsi="Calibri" w:cs="Calibri"/>
          <w:color w:val="000000"/>
          <w:spacing w:val="0"/>
          <w:w w:val="186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20</w:t>
        </w:r>
      </w:hyperlink>
    </w:p>
    <w:p>
      <w:pPr>
        <w:tabs>
          <w:tab w:val="left" w:pos="5642"/>
        </w:tabs>
        <w:spacing w:before="0" w:after="0" w:line="402" w:lineRule="exact"/>
        <w:ind w:left="60" w:firstLine="0"/>
        <w:jc w:val="left"/>
      </w:pPr>
      <w:hyperlink w:anchor="28" w:history="1">
        <w:r>
          <w:rPr>
            <w:rStyle w:val="Hyperlink"/>
            <w:rFonts w:ascii="黑体" w:eastAsia="黑体" w:hAnsi="黑体" w:cs="黑体"/>
            <w:color w:val="000000"/>
            <w:spacing w:val="-1"/>
            <w:w w:val="100"/>
            <w:position w:val="0"/>
            <w:sz w:val="20"/>
            <w:u w:val="none"/>
          </w:rPr>
          <w:t>本标准用词说明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22</w:t>
        </w:r>
      </w:hyperlink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1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44" w:lineRule="exact"/>
        <w:ind w:left="60" w:firstLine="0"/>
      </w:pPr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3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302" w:lineRule="exact"/>
        <w:ind w:left="89" w:firstLine="4814"/>
        <w:jc w:val="left"/>
      </w:pPr>
      <w:bookmarkStart w:id="7" w:name="7"/>
      <w:bookmarkEnd w:id="7"/>
      <w:r>
        <w:pict>
          <v:shape id="_x0000_s2130" o:spid="_x0000_s1105" type="#_x0000_t202" style="width:68.2pt;height:39.55pt;margin-top:514.9pt;margin-left:-72.95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68.2pt;height:39.55pt;margin-top:480.35pt;margin-left:-39.35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68.2pt;height:39.55pt;margin-top:445.8pt;margin-left:-5.75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76.6pt;height:30.9pt;margin-top:419.85pt;margin-left:27.8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85pt;height:39.55pt;margin-top:385.3pt;margin-left:53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85pt;height:39.55pt;margin-top:350.75pt;margin-left:86.6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85pt;height:39.55pt;margin-top:316.2pt;margin-left:120.2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281.65pt;margin-left:153.8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247.05pt;margin-left:187.4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212.5pt;margin-left:221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76.6pt;height:48.2pt;margin-top:169.3pt;margin-left:254.6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68.2pt;height:39.55pt;margin-top:134.75pt;margin-left:296.6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68.2pt;height:39.55pt;margin-top:100.2pt;margin-left:330.2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89" w:firstLine="4814"/>
      </w:pPr>
    </w:p>
    <w:p>
      <w:pPr>
        <w:spacing w:before="0" w:after="0" w:line="240" w:lineRule="exact"/>
        <w:ind w:left="89" w:firstLine="4814"/>
      </w:pPr>
    </w:p>
    <w:p>
      <w:pPr>
        <w:spacing w:before="0" w:after="0" w:line="240" w:lineRule="exact"/>
        <w:ind w:left="89" w:firstLine="4814"/>
      </w:pPr>
    </w:p>
    <w:p>
      <w:pPr>
        <w:tabs>
          <w:tab w:val="left" w:pos="2765"/>
          <w:tab w:val="left" w:pos="3338"/>
        </w:tabs>
        <w:spacing w:before="0" w:after="0" w:line="497" w:lineRule="exact"/>
        <w:ind w:left="89" w:firstLine="224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1</w:t>
      </w:r>
      <w:r>
        <w:rPr>
          <w:rFonts w:cs="Calibri"/>
          <w:color w:val="000000"/>
          <w:spacing w:val="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范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围</w:t>
      </w:r>
    </w:p>
    <w:p>
      <w:pPr>
        <w:spacing w:before="0" w:after="0" w:line="458" w:lineRule="exact"/>
        <w:ind w:left="89" w:firstLine="2246"/>
      </w:pPr>
    </w:p>
    <w:p>
      <w:pPr>
        <w:spacing w:before="0" w:after="0" w:line="275" w:lineRule="exact"/>
        <w:ind w:left="8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1.0.1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本文件规定了通信机房多场景市电供电系统架构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市电直</w:t>
      </w:r>
    </w:p>
    <w:p>
      <w:pPr>
        <w:spacing w:before="0" w:after="0" w:line="308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供对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IT</w:t>
      </w:r>
      <w:r>
        <w:rPr>
          <w:rFonts w:ascii="Calibri" w:hAnsi="Calibri" w:cs="Calibri"/>
          <w:color w:val="000000"/>
          <w:spacing w:val="0"/>
          <w:w w:val="23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设备的要求</w:t>
      </w:r>
      <w:r>
        <w:rPr>
          <w:rFonts w:ascii="宋体" w:hAnsi="宋体" w:cs="宋体"/>
          <w:color w:val="000000"/>
          <w:spacing w:val="-23"/>
          <w:w w:val="100"/>
          <w:position w:val="3"/>
          <w:sz w:val="20"/>
          <w:u w:val="none"/>
        </w:rPr>
        <w:t>、市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电直供对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UPS</w:t>
      </w:r>
      <w:r>
        <w:rPr>
          <w:rFonts w:ascii="Calibri" w:hAnsi="Calibri" w:cs="Calibri"/>
          <w:color w:val="000000"/>
          <w:spacing w:val="0"/>
          <w:w w:val="23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电源供电要求</w:t>
      </w:r>
      <w:r>
        <w:rPr>
          <w:rFonts w:ascii="宋体" w:hAnsi="宋体" w:cs="宋体"/>
          <w:color w:val="000000"/>
          <w:spacing w:val="-23"/>
          <w:w w:val="100"/>
          <w:position w:val="3"/>
          <w:sz w:val="20"/>
          <w:u w:val="none"/>
        </w:rPr>
        <w:t>、市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电直供</w:t>
      </w:r>
    </w:p>
    <w:p>
      <w:pPr>
        <w:spacing w:before="0" w:after="0" w:line="279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对精密空调供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电要求、市电直供对其他配套设备供电要求、市电</w:t>
      </w:r>
    </w:p>
    <w:p>
      <w:pPr>
        <w:spacing w:before="0" w:after="0" w:line="312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直供对供配电系统供电要求及电气系统整体质量治理等内</w:t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容。</w:t>
      </w:r>
    </w:p>
    <w:p>
      <w:pPr>
        <w:spacing w:before="0" w:after="0" w:line="349" w:lineRule="exact"/>
        <w:ind w:left="8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1.0.2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本文件适用于新建通信机房市电直供技术应用，改建和扩</w:t>
      </w:r>
    </w:p>
    <w:p>
      <w:pPr>
        <w:spacing w:before="0" w:after="0" w:line="275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建通信机房可参考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使用。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14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347" w:lineRule="exact"/>
        <w:ind w:left="89" w:firstLine="0"/>
      </w:pP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1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16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302" w:lineRule="exact"/>
        <w:ind w:left="60" w:firstLine="0"/>
        <w:jc w:val="left"/>
      </w:pPr>
      <w:bookmarkStart w:id="8" w:name="8"/>
      <w:bookmarkEnd w:id="8"/>
      <w:r>
        <w:pict>
          <v:shape id="_x0000_s2143" o:spid="_x0000_s1118" type="#_x0000_t202" style="width:68.2pt;height:39.55pt;margin-top:514.9pt;margin-left:-72.95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68.2pt;height:39.55pt;margin-top:480.35pt;margin-left:-39.35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445.8pt;margin-left:-5.75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76.6pt;height:30.9pt;margin-top:419.85pt;margin-left:27.8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85pt;height:39.55pt;margin-top:385.3pt;margin-left:53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85pt;height:39.55pt;margin-top:350.75pt;margin-left:86.6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85pt;height:39.55pt;margin-top:316.2pt;margin-left:120.2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85pt;height:39.55pt;margin-top:281.65pt;margin-left:153.8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85pt;height:39.55pt;margin-top:247.05pt;margin-left:187.4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85pt;height:39.55pt;margin-top:212.5pt;margin-left:221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76.6pt;height:48.2pt;margin-top:169.3pt;margin-left:254.6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68.2pt;height:39.55pt;margin-top:134.75pt;margin-left:296.6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68.2pt;height:39.55pt;margin-top:100.2pt;margin-left:330.2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2160"/>
        </w:tabs>
        <w:spacing w:before="0" w:after="0" w:line="413" w:lineRule="exact"/>
        <w:ind w:left="60" w:firstLine="167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规范性</w:t>
      </w:r>
      <w:r>
        <w:rPr>
          <w:rFonts w:ascii="宋体" w:eastAsia="宋体" w:hAnsi="宋体" w:cs="宋体"/>
          <w:color w:val="000000"/>
          <w:spacing w:val="2"/>
          <w:w w:val="100"/>
          <w:position w:val="4"/>
          <w:sz w:val="28"/>
          <w:u w:val="none"/>
        </w:rPr>
        <w:t>引用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文件</w:t>
      </w:r>
    </w:p>
    <w:p>
      <w:pPr>
        <w:spacing w:before="0" w:after="0" w:line="240" w:lineRule="exact"/>
        <w:ind w:left="60" w:firstLine="1670"/>
      </w:pPr>
    </w:p>
    <w:p>
      <w:pPr>
        <w:spacing w:before="0" w:after="0" w:line="299" w:lineRule="exact"/>
        <w:ind w:left="60" w:firstLine="413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下列文件中的内容通过文中的规范性引用而构成本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文件必不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可少的条款。所有引用文件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的现行版本既最新版本（包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括所有的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修改单）适用于本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文件。</w:t>
      </w:r>
    </w:p>
    <w:p>
      <w:pPr>
        <w:spacing w:before="0" w:after="0" w:line="345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14549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电能质量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公用电网谐波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24337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电能质量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公用电网间谐波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50052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供配电系统设计规范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50174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数据中心设计规范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51194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通信电源设备安装工程设计规范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1051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通信局（站）电源系统总技术要求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widowControl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17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40" w:lineRule="exact"/>
        <w:ind w:left="60" w:firstLine="413"/>
      </w:pPr>
    </w:p>
    <w:p>
      <w:pPr>
        <w:spacing w:before="0" w:after="0" w:line="297" w:lineRule="exact"/>
        <w:ind w:left="60" w:firstLine="413"/>
      </w:pPr>
    </w:p>
    <w:p>
      <w:pPr>
        <w:widowControl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19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302" w:lineRule="exact"/>
        <w:ind w:left="157" w:firstLine="4814"/>
        <w:jc w:val="left"/>
      </w:pPr>
      <w:bookmarkStart w:id="9" w:name="9"/>
      <w:bookmarkEnd w:id="9"/>
      <w:r>
        <w:pict>
          <v:shape id="_x0000_s2156" o:spid="_x0000_s1131" type="#_x0000_t202" style="width:68.2pt;height:39.55pt;margin-top:445.8pt;margin-left:-5.75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68.2pt;height:39.55pt;margin-top:514.9pt;margin-left:-72.95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68.2pt;height:39.55pt;margin-top:480.35pt;margin-left:-39.35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76.6pt;height:30.9pt;margin-top:419.85pt;margin-left:27.8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85pt;height:39.55pt;margin-top:385.3pt;margin-left:53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85pt;height:39.55pt;margin-top:350.75pt;margin-left:86.6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85pt;height:39.55pt;margin-top:316.2pt;margin-left:120.2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85pt;height:39.55pt;margin-top:281.65pt;margin-left:153.8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85pt;height:39.55pt;margin-top:247.05pt;margin-left:187.4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85pt;height:39.55pt;margin-top:212.5pt;margin-left:221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76.6pt;height:48.2pt;margin-top:169.3pt;margin-left:254.6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68.2pt;height:39.55pt;margin-top:134.75pt;margin-left:296.6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68.2pt;height:39.55pt;margin-top:100.2pt;margin-left:330.2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4814"/>
      </w:pPr>
    </w:p>
    <w:p>
      <w:pPr>
        <w:spacing w:before="0" w:after="0" w:line="240" w:lineRule="exact"/>
        <w:ind w:left="157" w:firstLine="4814"/>
      </w:pPr>
    </w:p>
    <w:p>
      <w:pPr>
        <w:spacing w:before="0" w:after="0" w:line="240" w:lineRule="exact"/>
        <w:ind w:left="157" w:firstLine="4814"/>
      </w:pPr>
    </w:p>
    <w:p>
      <w:pPr>
        <w:spacing w:before="0" w:after="0" w:line="240" w:lineRule="exact"/>
        <w:ind w:left="157" w:firstLine="4814"/>
      </w:pPr>
    </w:p>
    <w:p>
      <w:pPr>
        <w:tabs>
          <w:tab w:val="left" w:pos="2545"/>
        </w:tabs>
        <w:spacing w:before="0" w:after="0" w:line="413" w:lineRule="exact"/>
        <w:ind w:left="157" w:firstLine="195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3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术语和</w:t>
      </w:r>
      <w:r>
        <w:rPr>
          <w:rFonts w:ascii="宋体" w:eastAsia="宋体" w:hAnsi="宋体" w:cs="宋体"/>
          <w:color w:val="000000"/>
          <w:spacing w:val="2"/>
          <w:w w:val="100"/>
          <w:position w:val="4"/>
          <w:sz w:val="28"/>
          <w:u w:val="none"/>
        </w:rPr>
        <w:t>定义</w:t>
      </w:r>
    </w:p>
    <w:p>
      <w:pPr>
        <w:spacing w:before="0" w:after="0" w:line="240" w:lineRule="exact"/>
        <w:ind w:left="157" w:firstLine="1958"/>
      </w:pPr>
    </w:p>
    <w:p>
      <w:pPr>
        <w:spacing w:before="0" w:after="0" w:line="29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下列术语和定义适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用于本文件。</w:t>
      </w:r>
    </w:p>
    <w:p>
      <w:pPr>
        <w:spacing w:before="0" w:after="0" w:line="349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3.0.1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市电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grid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</w:p>
    <w:p>
      <w:pPr>
        <w:spacing w:before="0" w:after="0" w:line="275" w:lineRule="exact"/>
        <w:ind w:left="157" w:firstLine="29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由公共电网供给的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交流电力资源。常用电压等级主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要有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220kV、110kV、35kV、20kV</w:t>
      </w: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、10kV、220V/380V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，其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频率为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50Hz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49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3.0.2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不间断电源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uninterruptible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supply</w:t>
      </w:r>
    </w:p>
    <w:p>
      <w:pPr>
        <w:spacing w:before="0" w:after="0" w:line="306" w:lineRule="exact"/>
        <w:ind w:left="157" w:firstLine="413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由变流器、开关和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储能装置（如蓄电池）组合构成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的，在输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入电源故障时维持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负载电力连续性的电源设备。</w:t>
      </w:r>
    </w:p>
    <w:p>
      <w:pPr>
        <w:spacing w:before="0" w:after="0" w:line="378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3.0.3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自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换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开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电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器</w:t>
      </w:r>
      <w:r>
        <w:rPr>
          <w:rFonts w:ascii="Calibri" w:hAnsi="Calibri" w:cs="Calibri"/>
          <w:color w:val="000000"/>
          <w:spacing w:val="0"/>
          <w:w w:val="319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automatic</w:t>
      </w:r>
      <w:r>
        <w:rPr>
          <w:rFonts w:ascii="Calibri" w:hAnsi="Calibri" w:cs="Calibri"/>
          <w:color w:val="000000"/>
          <w:spacing w:val="0"/>
          <w:w w:val="171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0"/>
          <w:w w:val="172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switching</w:t>
      </w:r>
      <w:r>
        <w:rPr>
          <w:rFonts w:ascii="Calibri" w:hAnsi="Calibri" w:cs="Calibri"/>
          <w:color w:val="000000"/>
          <w:spacing w:val="0"/>
          <w:w w:val="172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equipment</w:t>
      </w:r>
    </w:p>
    <w:p>
      <w:pPr>
        <w:spacing w:before="0" w:after="0" w:line="308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ATSE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13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常用电源被监测到出现偏差时，能自行动作的转换开关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。PC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级自动转换开关是指能够接通和承载，但不用于分断短路电流的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自动转换开关电器</w:t>
      </w:r>
      <w:r>
        <w:rPr>
          <w:rFonts w:ascii="宋体" w:eastAsia="宋体" w:hAnsi="宋体" w:cs="宋体"/>
          <w:color w:val="000000"/>
          <w:spacing w:val="-14"/>
          <w:w w:val="100"/>
          <w:position w:val="0"/>
          <w:sz w:val="20"/>
          <w:u w:val="none"/>
        </w:rPr>
        <w:t>；CB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级自动转换开关是指能够接通和承载并分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断短路电流的，配备过电流脱扣器的自动转换开关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电器。</w:t>
      </w:r>
    </w:p>
    <w:p>
      <w:pPr>
        <w:spacing w:before="0" w:after="0" w:line="380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3.0.4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市电直供</w:t>
      </w:r>
      <w:r>
        <w:rPr>
          <w:rFonts w:ascii="Calibri" w:hAnsi="Calibri" w:cs="Calibri"/>
          <w:color w:val="000000"/>
          <w:spacing w:val="0"/>
          <w:w w:val="23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direct</w:t>
      </w:r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supply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grid</w:t>
      </w:r>
      <w:r>
        <w:rPr>
          <w:rFonts w:ascii="Calibri" w:hAnsi="Calibri" w:cs="Calibri"/>
          <w:color w:val="000000"/>
          <w:spacing w:val="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power</w:t>
      </w:r>
    </w:p>
    <w:p>
      <w:pPr>
        <w:spacing w:before="0" w:after="0" w:line="306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通信机房通信设备和重要辅助设施一般采用单路或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双路不间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断电源系统供电，市电直供是指在满足供电可用性前提下将为通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信设备和重要辅助设施的不间断电源系统替换为市电（或备用）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电源的供电方式。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在市电正常时，由市电承担部分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或全部负荷。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市电直供一般有三种供电状态：</w:t>
      </w:r>
    </w:p>
    <w:p>
      <w:pPr>
        <w:spacing w:before="0" w:after="0" w:line="407" w:lineRule="exact"/>
        <w:ind w:left="157" w:firstLine="41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市电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100%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供电，负载由市电供电，不间断电源系统处于</w:t>
      </w:r>
    </w:p>
    <w:p>
      <w:pPr>
        <w:spacing w:before="0" w:after="0" w:line="341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备用状态（如有）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；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409" w:lineRule="exact"/>
        <w:ind w:left="157" w:firstLine="5722"/>
        <w:jc w:val="left"/>
        <w:sectPr>
          <w:type w:val="continuous"/>
          <w:pgSz w:w="7938" w:h="11511"/>
          <w:pgMar w:top="481" w:right="561" w:bottom="241" w:left="921" w:header="0" w:footer="0" w:gutter="0"/>
          <w:pgNumType w:start="20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302" w:lineRule="exact"/>
        <w:ind w:left="157" w:firstLine="0"/>
        <w:jc w:val="left"/>
      </w:pPr>
      <w:bookmarkStart w:id="10" w:name="10"/>
      <w:bookmarkEnd w:id="10"/>
      <w:r>
        <w:pict>
          <v:shape id="_x0000_s2169" o:spid="_x0000_s1144" type="#_x0000_t202" style="width:68.2pt;height:39.55pt;margin-top:514.9pt;margin-left:-72.95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68.2pt;height:39.55pt;margin-top:480.35pt;margin-left:-39.35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68.2pt;height:39.55pt;margin-top:445.8pt;margin-left:-5.75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76.6pt;height:30.9pt;margin-top:419.85pt;margin-left:27.8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85pt;height:39.55pt;margin-top:385.3pt;margin-left:53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85pt;height:39.55pt;margin-top:350.75pt;margin-left:86.6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85pt;height:39.55pt;margin-top:316.2pt;margin-left:120.2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76" o:spid="_x0000_s1151" type="#_x0000_t202" style="width:85pt;height:39.55pt;margin-top:281.65pt;margin-left:153.8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85pt;height:39.55pt;margin-top:247.05pt;margin-left:187.4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85pt;height:39.55pt;margin-top:212.5pt;margin-left:221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76.6pt;height:48.2pt;margin-top:169.3pt;margin-left:254.6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0" o:spid="_x0000_s1155" type="#_x0000_t202" style="width:68.2pt;height:39.55pt;margin-top:134.75pt;margin-left:296.6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68.2pt;height:39.55pt;margin-top:100.2pt;margin-left:330.2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461" w:lineRule="exact"/>
        <w:ind w:left="157" w:firstLine="0"/>
      </w:pPr>
    </w:p>
    <w:p>
      <w:pPr>
        <w:spacing w:before="0" w:after="0" w:line="268" w:lineRule="exact"/>
        <w:ind w:left="157" w:firstLine="41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市电和不间断电源混合供电，负载由市电和不间断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0"/>
          <w:u w:val="none"/>
        </w:rPr>
        <w:t>电源共</w:t>
      </w:r>
    </w:p>
    <w:p>
      <w:pPr>
        <w:spacing w:before="0" w:after="0" w:line="341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同供电，各承担一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部分负载；</w:t>
      </w:r>
    </w:p>
    <w:p>
      <w:pPr>
        <w:spacing w:before="0" w:after="0" w:line="407" w:lineRule="exact"/>
        <w:ind w:left="157" w:firstLine="41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市电供电质量不满足通信设备供电要求或存在风险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0"/>
          <w:u w:val="none"/>
        </w:rPr>
        <w:t>时，由</w:t>
      </w:r>
    </w:p>
    <w:p>
      <w:pPr>
        <w:spacing w:before="0" w:after="0" w:line="341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不间断电源系统供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电（含电池放电状态）。</w:t>
      </w:r>
    </w:p>
    <w:p>
      <w:pPr>
        <w:spacing w:before="0" w:after="0" w:line="380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3.0.5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经济运行模式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economic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mode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ECO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06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指当市电质量能满足通信设备供电要求时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，UPS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由静态旁路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直接给通信设备供</w:t>
      </w:r>
      <w:r>
        <w:rPr>
          <w:rFonts w:ascii="宋体" w:eastAsia="宋体" w:hAnsi="宋体" w:cs="宋体"/>
          <w:color w:val="000000"/>
          <w:spacing w:val="0"/>
          <w:w w:val="84"/>
          <w:position w:val="0"/>
          <w:sz w:val="20"/>
          <w:u w:val="none"/>
        </w:rPr>
        <w:t>电，同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时主路通过整流器或逆变器为电池充电；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当旁路电源不满足通信设备供电要求或存在风险时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，UPS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自动切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换到主路或电池逆变器供电状态；当旁路电源恢复正常后（在允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许范围内）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，UPS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自动恢复到由静态旁路直接给通信设备供电状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态。</w:t>
      </w:r>
    </w:p>
    <w:p>
      <w:pPr>
        <w:spacing w:before="0" w:after="0" w:line="378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3.0.6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供电电源模块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supply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unit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PSU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08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是指通信设备的供电电源模块，将输入电源转换为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符合通信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设备供电要求的电</w:t>
      </w: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源。</w:t>
      </w:r>
    </w:p>
    <w:p>
      <w:pPr>
        <w:spacing w:before="0" w:after="0" w:line="378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3.0.7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集中式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PSU</w:t>
      </w:r>
    </w:p>
    <w:p>
      <w:pPr>
        <w:spacing w:before="0" w:after="0" w:line="308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通信设备无内置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PSU，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机柜内安装一套嵌入式变换设备将输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入电源转换为机柜内全部通信设备所需的供电电源，集中式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PSU</w:t>
      </w:r>
    </w:p>
    <w:p>
      <w:pPr>
        <w:spacing w:before="0" w:after="0" w:line="374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通常由多个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PSU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并联组成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78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3.0.8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静止无功发生器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static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var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generator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SVG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08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一种基于大功率逆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变器的无功补偿装置。</w:t>
      </w:r>
    </w:p>
    <w:p>
      <w:pPr>
        <w:widowControl/>
        <w:jc w:val="left"/>
        <w:sectPr>
          <w:type w:val="continuous"/>
          <w:pgSz w:w="7938" w:h="11510"/>
          <w:pgMar w:top="481" w:right="561" w:bottom="241" w:left="921" w:header="0" w:footer="0" w:gutter="0"/>
          <w:pgNumType w:start="21"/>
          <w:cols w:num="1" w:space="708" w:equalWidth="0">
            <w:col w:w="645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40" w:lineRule="exact"/>
        <w:ind w:left="157" w:firstLine="413"/>
      </w:pPr>
    </w:p>
    <w:p>
      <w:pPr>
        <w:spacing w:before="0" w:after="0" w:line="299" w:lineRule="exact"/>
        <w:ind w:left="157" w:firstLine="413"/>
      </w:pPr>
    </w:p>
    <w:p>
      <w:pPr>
        <w:widowControl/>
        <w:jc w:val="left"/>
        <w:sectPr>
          <w:type w:val="continuous"/>
          <w:pgSz w:w="7938" w:h="11510"/>
          <w:pgMar w:top="481" w:right="561" w:bottom="241" w:left="921" w:header="0" w:footer="0" w:gutter="0"/>
          <w:pgNumType w:start="22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continuous"/>
          <w:pgSz w:w="7938" w:h="11510"/>
          <w:pgMar w:top="481" w:right="561" w:bottom="241" w:left="921" w:header="0" w:footer="0" w:gutter="0"/>
          <w:pgNumType w:start="23"/>
          <w:cols w:num="1" w:space="708" w:equalWidth="0">
            <w:col w:w="6457" w:space="0"/>
          </w:cols>
          <w:docGrid w:type="lines" w:linePitch="312" w:charSpace="0"/>
        </w:sectPr>
      </w:pPr>
    </w:p>
    <w:p>
      <w:pPr>
        <w:spacing w:before="0" w:after="0" w:line="302" w:lineRule="exact"/>
        <w:ind w:left="89" w:firstLine="4814"/>
        <w:jc w:val="left"/>
      </w:pPr>
      <w:bookmarkStart w:id="11" w:name="11"/>
      <w:bookmarkEnd w:id="11"/>
      <w:r>
        <w:pict>
          <v:shape id="_x0000_s2182" o:spid="_x0000_s1157" type="#_x0000_t202" style="width:68.2pt;height:39.55pt;margin-top:514.9pt;margin-left:-72.95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68.2pt;height:39.55pt;margin-top:480.35pt;margin-left:-39.35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68.2pt;height:39.55pt;margin-top:445.8pt;margin-left:-5.75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76.6pt;height:30.9pt;margin-top:419.85pt;margin-left:27.8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85pt;height:39.55pt;margin-top:385.3pt;margin-left:53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85pt;height:39.55pt;margin-top:350.75pt;margin-left:86.6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85pt;height:39.55pt;margin-top:316.2pt;margin-left:120.2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85pt;height:39.55pt;margin-top:281.65pt;margin-left:153.8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85pt;height:39.55pt;margin-top:247.05pt;margin-left:187.4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91" o:spid="_x0000_s1166" type="#_x0000_t202" style="width:85pt;height:39.55pt;margin-top:212.5pt;margin-left:221pt;mso-height-relative:page;mso-position-horizontal-relative:page;mso-position-vertical-relative:page;mso-width-relative:page;position:absolute;z-index:-251513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76.6pt;height:48.2pt;margin-top:169.3pt;margin-left:254.6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93" o:spid="_x0000_s1168" type="#_x0000_t202" style="width:68.2pt;height:39.55pt;margin-top:134.75pt;margin-left:296.6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94" o:spid="_x0000_s1169" type="#_x0000_t202" style="width:68.2pt;height:39.55pt;margin-top:100.2pt;margin-left:330.2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89" w:firstLine="4814"/>
      </w:pPr>
    </w:p>
    <w:p>
      <w:pPr>
        <w:spacing w:before="0" w:after="0" w:line="240" w:lineRule="exact"/>
        <w:ind w:left="89" w:firstLine="4814"/>
      </w:pPr>
    </w:p>
    <w:p>
      <w:pPr>
        <w:spacing w:before="0" w:after="0" w:line="240" w:lineRule="exact"/>
        <w:ind w:left="89" w:firstLine="4814"/>
      </w:pPr>
    </w:p>
    <w:p>
      <w:pPr>
        <w:tabs>
          <w:tab w:val="left" w:pos="2765"/>
        </w:tabs>
        <w:spacing w:before="0" w:after="0" w:line="497" w:lineRule="exact"/>
        <w:ind w:left="89" w:firstLine="224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4</w:t>
      </w:r>
      <w:r>
        <w:rPr>
          <w:rFonts w:cs="Calibri"/>
          <w:color w:val="000000"/>
          <w:spacing w:val="13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2"/>
          <w:w w:val="100"/>
          <w:position w:val="4"/>
          <w:sz w:val="28"/>
          <w:u w:val="none"/>
        </w:rPr>
        <w:t>缩略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语</w:t>
      </w:r>
    </w:p>
    <w:p>
      <w:pPr>
        <w:spacing w:before="0" w:after="0" w:line="240" w:lineRule="exact"/>
        <w:ind w:left="89" w:firstLine="2246"/>
      </w:pPr>
    </w:p>
    <w:p>
      <w:pPr>
        <w:spacing w:before="0" w:after="0" w:line="240" w:lineRule="exact"/>
        <w:ind w:left="89" w:firstLine="2246"/>
      </w:pPr>
    </w:p>
    <w:p>
      <w:pPr>
        <w:spacing w:before="0" w:after="0" w:line="215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下列缩略语适用于</w:t>
      </w: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本文件。</w:t>
      </w:r>
    </w:p>
    <w:p>
      <w:pPr>
        <w:tabs>
          <w:tab w:val="left" w:pos="1306"/>
          <w:tab w:val="left" w:pos="4193"/>
        </w:tabs>
        <w:spacing w:before="0" w:after="0" w:line="312" w:lineRule="exact"/>
        <w:ind w:left="89" w:firstLine="108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英文缩写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英文全称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中文名称</w:t>
      </w:r>
    </w:p>
    <w:p>
      <w:pPr>
        <w:tabs>
          <w:tab w:val="left" w:pos="1306"/>
          <w:tab w:val="left" w:pos="4193"/>
        </w:tabs>
        <w:spacing w:before="0" w:after="0" w:line="345" w:lineRule="exact"/>
        <w:ind w:left="89" w:firstLine="10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UPS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Uninterruptible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Supply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0"/>
          <w:u w:val="none"/>
        </w:rPr>
        <w:t>不间断电源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4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tabs>
          <w:tab w:val="left" w:pos="1306"/>
        </w:tabs>
        <w:spacing w:before="0" w:after="0" w:line="312" w:lineRule="exact"/>
        <w:ind w:left="19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ATSE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Automatic</w:t>
      </w:r>
      <w:r>
        <w:rPr>
          <w:rFonts w:ascii="Calibri" w:hAnsi="Calibri" w:cs="Calibri"/>
          <w:color w:val="000000"/>
          <w:spacing w:val="0"/>
          <w:w w:val="293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0"/>
          <w:w w:val="29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Switching</w:t>
      </w:r>
    </w:p>
    <w:p>
      <w:pPr>
        <w:spacing w:before="0" w:after="0" w:line="279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自动转换开关电器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5"/>
          <w:cols w:num="2" w:space="708" w:equalWidth="0">
            <w:col w:w="4193" w:space="0"/>
            <w:col w:w="2128" w:space="0"/>
          </w:cols>
          <w:docGrid w:type="lines" w:linePitch="312" w:charSpace="0"/>
        </w:sectPr>
      </w:pPr>
    </w:p>
    <w:p>
      <w:pPr>
        <w:spacing w:before="0" w:after="0" w:line="312" w:lineRule="exact"/>
        <w:ind w:left="197" w:firstLine="1109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Equipment</w:t>
      </w:r>
    </w:p>
    <w:p>
      <w:pPr>
        <w:tabs>
          <w:tab w:val="left" w:pos="1306"/>
          <w:tab w:val="left" w:pos="4193"/>
        </w:tabs>
        <w:spacing w:before="0" w:after="0" w:line="312" w:lineRule="exact"/>
        <w:ind w:left="19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STS</w:t>
      </w:r>
      <w:r>
        <w:rPr>
          <w:rFonts w:cs="Calibri"/>
          <w:color w:val="000000"/>
          <w:spacing w:val="1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Static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Switch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静态转换开关</w:t>
      </w:r>
    </w:p>
    <w:p>
      <w:pPr>
        <w:tabs>
          <w:tab w:val="left" w:pos="1306"/>
          <w:tab w:val="left" w:pos="4193"/>
        </w:tabs>
        <w:spacing w:before="0" w:after="0" w:line="312" w:lineRule="exact"/>
        <w:ind w:left="19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ECO</w:t>
      </w:r>
      <w:r>
        <w:rPr>
          <w:rFonts w:cs="Calibri"/>
          <w:color w:val="000000"/>
          <w:spacing w:val="14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Economic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Mode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经济运行模式</w:t>
      </w:r>
    </w:p>
    <w:p>
      <w:pPr>
        <w:tabs>
          <w:tab w:val="left" w:pos="1306"/>
          <w:tab w:val="left" w:pos="4193"/>
        </w:tabs>
        <w:spacing w:before="0" w:after="0" w:line="312" w:lineRule="exact"/>
        <w:ind w:left="19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PSU</w:t>
      </w:r>
      <w:r>
        <w:rPr>
          <w:rFonts w:cs="Calibri"/>
          <w:color w:val="000000"/>
          <w:spacing w:val="8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Supply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Unit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供电电源模块</w:t>
      </w:r>
    </w:p>
    <w:p>
      <w:pPr>
        <w:tabs>
          <w:tab w:val="left" w:pos="1306"/>
          <w:tab w:val="left" w:pos="4193"/>
        </w:tabs>
        <w:spacing w:before="0" w:after="0" w:line="312" w:lineRule="exact"/>
        <w:ind w:left="19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SVG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Static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Var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Generator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静止无功发生器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6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240" w:lineRule="exact"/>
        <w:ind w:left="197" w:firstLine="0"/>
      </w:pPr>
    </w:p>
    <w:p>
      <w:pPr>
        <w:spacing w:before="0" w:after="0" w:line="338" w:lineRule="exact"/>
        <w:ind w:left="197" w:firstLine="0"/>
      </w:pP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7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1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8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302" w:lineRule="exact"/>
        <w:ind w:left="157" w:firstLine="0"/>
        <w:jc w:val="left"/>
      </w:pPr>
      <w:bookmarkStart w:id="12" w:name="12"/>
      <w:bookmarkEnd w:id="12"/>
      <w:r>
        <w:pict>
          <v:shape id="_x0000_s2195" o:spid="_x0000_s1170" type="#_x0000_t202" style="width:85pt;height:39.55pt;margin-top:350.75pt;margin-left:86.6pt;mso-height-relative:page;mso-position-horizontal-relative:page;mso-position-vertical-relative:page;mso-width-relative:page;position:absolute;z-index:-251509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68.2pt;height:39.55pt;margin-top:445.8pt;margin-left:-5.75pt;mso-height-relative:page;mso-position-horizontal-relative:page;mso-position-vertical-relative:page;mso-width-relative:page;position:absolute;z-index:-251508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68.2pt;height:39.55pt;margin-top:514.9pt;margin-left:-72.95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68.2pt;height:39.55pt;margin-top:480.35pt;margin-left:-39.35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76.6pt;height:30.9pt;margin-top:419.85pt;margin-left:27.8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85pt;height:39.55pt;margin-top:385.3pt;margin-left:53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85pt;height:39.55pt;margin-top:316.2pt;margin-left:120.2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85pt;height:39.55pt;margin-top:281.65pt;margin-left:153.8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03" o:spid="_x0000_s1178" type="#_x0000_t202" style="width:85pt;height:39.55pt;margin-top:247.05pt;margin-left:187.4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4" o:spid="_x0000_s1179" type="#_x0000_t202" style="width:85pt;height:39.55pt;margin-top:212.5pt;margin-left:221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05" o:spid="_x0000_s1180" type="#_x0000_t202" style="width:76.6pt;height:48.2pt;margin-top:169.3pt;margin-left:254.6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06" o:spid="_x0000_s1181" type="#_x0000_t202" style="width:68.2pt;height:39.55pt;margin-top:134.75pt;margin-left:296.6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07" o:spid="_x0000_s1182" type="#_x0000_t202" style="width:68.2pt;height:39.55pt;margin-top:100.2pt;margin-left:330.2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tabs>
          <w:tab w:val="left" w:pos="2687"/>
        </w:tabs>
        <w:spacing w:before="0" w:after="0" w:line="413" w:lineRule="exact"/>
        <w:ind w:left="157" w:firstLine="210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5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5"/>
          <w:w w:val="100"/>
          <w:position w:val="4"/>
          <w:sz w:val="28"/>
          <w:u w:val="none"/>
        </w:rPr>
        <w:t>基本规定</w:t>
      </w:r>
    </w:p>
    <w:p>
      <w:pPr>
        <w:spacing w:before="0" w:after="0" w:line="240" w:lineRule="exact"/>
        <w:ind w:left="157" w:firstLine="2102"/>
      </w:pPr>
    </w:p>
    <w:p>
      <w:pPr>
        <w:spacing w:before="0" w:after="0" w:line="299" w:lineRule="exact"/>
        <w:ind w:left="157" w:firstLine="216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一般性原则</w:t>
      </w:r>
    </w:p>
    <w:p>
      <w:pPr>
        <w:spacing w:before="0" w:after="0" w:line="233" w:lineRule="exact"/>
        <w:ind w:left="157" w:firstLine="2165"/>
      </w:pPr>
    </w:p>
    <w:p>
      <w:pPr>
        <w:spacing w:before="0" w:after="0" w:line="268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5.1.1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通信机房市电直接供电技术的设计和应用的建设应遵循国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家、行业现行标准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28" w:lineRule="exact"/>
        <w:ind w:left="157" w:firstLine="1543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5.2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标准场景分类及应用范围</w:t>
      </w:r>
    </w:p>
    <w:p>
      <w:pPr>
        <w:spacing w:before="0" w:after="0" w:line="233" w:lineRule="exact"/>
        <w:ind w:left="157" w:firstLine="1543"/>
      </w:pPr>
    </w:p>
    <w:p>
      <w:pPr>
        <w:spacing w:before="0" w:after="0" w:line="268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5.2.1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依据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通信电源设备安装工程设计规范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51194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）对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通信局站分类的规</w:t>
      </w:r>
      <w:r>
        <w:rPr>
          <w:rFonts w:ascii="宋体" w:eastAsia="宋体" w:hAnsi="宋体" w:cs="宋体"/>
          <w:color w:val="000000"/>
          <w:spacing w:val="-14"/>
          <w:w w:val="100"/>
          <w:position w:val="3"/>
          <w:sz w:val="20"/>
          <w:u w:val="none"/>
        </w:rPr>
        <w:t>定，对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通信局站分为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  <w:r>
        <w:rPr>
          <w:rFonts w:ascii="宋体" w:eastAsia="宋体" w:hAnsi="宋体" w:cs="宋体"/>
          <w:color w:val="000000"/>
          <w:spacing w:val="-23"/>
          <w:w w:val="100"/>
          <w:position w:val="3"/>
          <w:sz w:val="20"/>
          <w:u w:val="none"/>
        </w:rPr>
        <w:t>，包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括省级通信局站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地市级通信局站、县级通信局站以及移动通信基站。本标准针对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不同类型通信局站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采用不同的市电直接供电方案。</w:t>
      </w:r>
    </w:p>
    <w:p>
      <w:pPr>
        <w:spacing w:before="0" w:after="0" w:line="40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5.2.2</w:t>
      </w:r>
      <w:r>
        <w:rPr>
          <w:rFonts w:ascii="Calibri" w:hAnsi="Calibri" w:cs="Calibri"/>
          <w:color w:val="000000"/>
          <w:spacing w:val="0"/>
          <w:w w:val="247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省级通信局站均采用一类市电引入，可完全应用市电直接</w:t>
      </w:r>
    </w:p>
    <w:p>
      <w:pPr>
        <w:spacing w:before="0" w:after="0" w:line="327" w:lineRule="exact"/>
        <w:ind w:left="157" w:firstLine="413"/>
        <w:jc w:val="left"/>
      </w:pP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供电。</w:t>
      </w:r>
    </w:p>
    <w:p>
      <w:pPr>
        <w:spacing w:before="0" w:after="0" w:line="393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5.2.3</w:t>
      </w:r>
      <w:r>
        <w:rPr>
          <w:rFonts w:ascii="Calibri" w:hAnsi="Calibri" w:cs="Calibri"/>
          <w:color w:val="000000"/>
          <w:spacing w:val="0"/>
          <w:w w:val="247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地市级通信局站采用一类市电引入时，在市电条件满足要</w:t>
      </w:r>
    </w:p>
    <w:p>
      <w:pPr>
        <w:spacing w:before="0" w:after="0" w:line="327" w:lineRule="exact"/>
        <w:ind w:left="157" w:firstLine="413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求时，可应用市电</w:t>
      </w: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直接供电。</w:t>
      </w:r>
    </w:p>
    <w:p>
      <w:pPr>
        <w:spacing w:before="0" w:after="0" w:line="393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县级通信局站及移动通信基站不建议采用市电直接供电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423" w:lineRule="exact"/>
        <w:ind w:left="157" w:firstLine="206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5.3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标准应用要求</w:t>
      </w:r>
    </w:p>
    <w:p>
      <w:pPr>
        <w:spacing w:before="0" w:after="0" w:line="233" w:lineRule="exact"/>
        <w:ind w:left="157" w:firstLine="2062"/>
      </w:pPr>
    </w:p>
    <w:p>
      <w:pPr>
        <w:spacing w:before="0" w:after="0" w:line="268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设备或线路维护时，采用市电直接供电技术的供电系统应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可以保证后端用电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设备正常运行要求。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市电直接供电架构应满足后端用电设备正常运行的要求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5.3.3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通信机房的接入处功率因数和谐波含量应符合当地供电部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门的要求。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72" w:lineRule="exact"/>
        <w:ind w:left="157" w:firstLine="0"/>
        <w:jc w:val="left"/>
        <w:sectPr>
          <w:type w:val="continuous"/>
          <w:pgSz w:w="7938" w:h="11510"/>
          <w:pgMar w:top="481" w:right="561" w:bottom="241" w:left="921" w:header="0" w:footer="0" w:gutter="0"/>
          <w:pgNumType w:start="29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spacing w:before="0" w:after="0" w:line="302" w:lineRule="exact"/>
        <w:ind w:left="89" w:firstLine="4814"/>
        <w:jc w:val="left"/>
      </w:pPr>
      <w:bookmarkStart w:id="13" w:name="13"/>
      <w:bookmarkEnd w:id="13"/>
      <w:r>
        <w:pict>
          <v:shape id="_x0000_s2208" o:spid="_x0000_s1183" type="#_x0000_t202" style="width:68.2pt;height:39.55pt;margin-top:514.9pt;margin-left:-72.95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09" o:spid="_x0000_s1184" type="#_x0000_t202" style="width:68.2pt;height:39.55pt;margin-top:480.35pt;margin-left:-39.35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0" o:spid="_x0000_s1185" type="#_x0000_t202" style="width:68.2pt;height:39.55pt;margin-top:445.8pt;margin-left:-5.75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1" o:spid="_x0000_s1186" type="#_x0000_t202" style="width:76.6pt;height:30.9pt;margin-top:419.85pt;margin-left:27.8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12" o:spid="_x0000_s1187" type="#_x0000_t202" style="width:85pt;height:39.55pt;margin-top:385.3pt;margin-left:53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13" o:spid="_x0000_s1188" type="#_x0000_t202" style="width:85pt;height:39.55pt;margin-top:350.75pt;margin-left:86.6pt;mso-height-relative:page;mso-position-horizontal-relative:page;mso-position-vertic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14" o:spid="_x0000_s1189" type="#_x0000_t202" style="width:85pt;height:39.55pt;margin-top:316.2pt;margin-left:120.2pt;mso-height-relative:page;mso-position-horizontal-relative:page;mso-position-vertical-relative:page;mso-width-relative:page;position:absolute;z-index:-251490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15" o:spid="_x0000_s1190" type="#_x0000_t202" style="width:85pt;height:39.55pt;margin-top:281.65pt;margin-left:153.8pt;mso-height-relative:page;mso-position-horizontal-relative:page;mso-position-vertical-relative:page;mso-width-relative:page;position:absolute;z-index:-251489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16" o:spid="_x0000_s1191" type="#_x0000_t202" style="width:85pt;height:39.55pt;margin-top:247.05pt;margin-left:187.4pt;mso-height-relative:page;mso-position-horizontal-relative:page;mso-position-vertical-relative:page;mso-width-relative:page;position:absolute;z-index:-251488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17" o:spid="_x0000_s1192" type="#_x0000_t202" style="width:85pt;height:39.55pt;margin-top:212.5pt;margin-left:221pt;mso-height-relative:page;mso-position-horizontal-relative:page;mso-position-vertical-relative:page;mso-width-relative:page;position:absolute;z-index:-251487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18" o:spid="_x0000_s1193" type="#_x0000_t202" style="width:76.6pt;height:48.2pt;margin-top:169.3pt;margin-left:254.6pt;mso-height-relative:page;mso-position-horizontal-relative:page;mso-position-vertical-relative:page;mso-width-relative:page;position:absolute;z-index:-251486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19" o:spid="_x0000_s1194" type="#_x0000_t202" style="width:68.2pt;height:39.55pt;margin-top:134.75pt;margin-left:296.6pt;mso-height-relative:page;mso-position-horizontal-relative:page;mso-position-vertical-relative:page;mso-width-relative:page;position:absolute;z-index:-251485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20" o:spid="_x0000_s1195" type="#_x0000_t202" style="width:68.2pt;height:39.55pt;margin-top:100.2pt;margin-left:330.2pt;mso-height-relative:page;mso-position-horizontal-relative:page;mso-position-vertical-relative:page;mso-width-relative:page;position:absolute;z-index:-251484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89" w:firstLine="4814"/>
      </w:pPr>
    </w:p>
    <w:p>
      <w:pPr>
        <w:spacing w:before="0" w:after="0" w:line="457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5.3.4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采用市电直供供电架构的通信机房应采取措施避免容性负</w:t>
      </w:r>
    </w:p>
    <w:p>
      <w:pPr>
        <w:spacing w:before="0" w:after="0" w:line="312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载对发电机组供电产生不利影响，必要时可配置</w:t>
      </w:r>
      <w:r>
        <w:rPr>
          <w:rFonts w:ascii="Calibri" w:hAnsi="Calibri" w:cs="Calibri"/>
          <w:color w:val="000000"/>
          <w:spacing w:val="0"/>
          <w:w w:val="245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SVG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对容性负</w:t>
      </w:r>
    </w:p>
    <w:p>
      <w:pPr>
        <w:spacing w:before="0" w:after="0" w:line="279" w:lineRule="exact"/>
        <w:ind w:left="89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载进行补偿。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30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371" w:lineRule="exact"/>
        <w:ind w:left="89" w:firstLine="0"/>
      </w:pP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1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https://d.book118.com/846135010034010054</w:t>
        </w:r>
      </w:hyperlink>
    </w:p>
    <w:p>
      <w:pPr>
        <w:widowControl/>
        <w:jc w:val="left"/>
      </w:pPr>
    </w:p>
    <w:sectPr>
      <w:type w:val="continuous"/>
      <w:pgSz w:w="7938" w:h="11511"/>
      <w:pgMar w:top="481" w:right="629" w:bottom="241" w:left="989" w:header="0" w:footer="0" w:gutter="0"/>
      <w:pgNumType w:start="32"/>
      <w:cols w:num="1" w:space="708" w:equalWidth="0">
        <w:col w:w="6320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36F13AD2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46135010034010054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2024-03-03T02:09:20Z</dcterms:created>
  <dcterms:modified xsi:type="dcterms:W3CDTF">2024-03-03T02:09:29Z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E5CF763F66D148C1972356E6C8FAE788_12</vt:lpwstr>
  </property>
  <property fmtid="{D5CDD505-2E9C-101B-9397-08002B2CF9AE}" pid="3" name="KSOProductBuildVer">
    <vt:lpwstr>2052-12.1.0.16388</vt:lpwstr>
  </property>
</Properties>
</file>