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BE0A7C" w14:paraId="6ABD2896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第一章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项目基本信息</w:t>
      </w:r>
      <w:r>
        <w:br/>
      </w:r>
    </w:p>
    <w:p w:rsidR="00BE0A7C" w14:paraId="75CB02C4" w14:textId="77777777">
      <w:r>
        <w:rPr>
          <w:rFonts w:ascii="仿宋" w:eastAsia="仿宋" w:hAnsi="仿宋" w:cs="仿宋"/>
          <w:b/>
          <w:bCs/>
          <w:sz w:val="32"/>
          <w:szCs w:val="32"/>
        </w:rPr>
        <w:t>一、项目概况</w:t>
      </w:r>
    </w:p>
    <w:p w:rsidR="00BE0A7C" w14:paraId="0836183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（一）项目名称</w:t>
      </w:r>
    </w:p>
    <w:p w:rsidR="00BE0A7C" w14:paraId="1E4B7E9A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废纸浆项目</w:t>
      </w:r>
    </w:p>
    <w:p w:rsidR="00BE0A7C" w14:paraId="5144892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（二）项目选址</w:t>
      </w:r>
    </w:p>
    <w:p w:rsidR="00BE0A7C" w14:paraId="4D4E614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</w:t>
      </w:r>
    </w:p>
    <w:p w:rsidR="00BE0A7C" w14:paraId="52F6BEE7" w14:textId="77777777">
      <w:pPr>
        <w:ind w:firstLine="600"/>
      </w:pPr>
    </w:p>
    <w:p w:rsidR="00BE0A7C" w14:paraId="5F068326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（三）项目用地规模</w:t>
      </w:r>
    </w:p>
    <w:p w:rsidR="00BE0A7C" w14:paraId="17E243D7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项目总用地面积</w:t>
      </w:r>
      <w:r>
        <w:rPr>
          <w:rFonts w:ascii="仿宋" w:eastAsia="仿宋" w:hAnsi="仿宋" w:cs="仿宋"/>
          <w:sz w:val="30"/>
          <w:szCs w:val="30"/>
        </w:rPr>
        <w:t>45989.65</w:t>
      </w:r>
      <w:r>
        <w:rPr>
          <w:rFonts w:ascii="仿宋" w:eastAsia="仿宋" w:hAnsi="仿宋" w:cs="仿宋"/>
          <w:sz w:val="30"/>
          <w:szCs w:val="30"/>
        </w:rPr>
        <w:t>平方米（折合约</w:t>
      </w:r>
      <w:r>
        <w:rPr>
          <w:rFonts w:ascii="仿宋" w:eastAsia="仿宋" w:hAnsi="仿宋" w:cs="仿宋"/>
          <w:sz w:val="30"/>
          <w:szCs w:val="30"/>
        </w:rPr>
        <w:t>68.95</w:t>
      </w:r>
      <w:r>
        <w:rPr>
          <w:rFonts w:ascii="仿宋" w:eastAsia="仿宋" w:hAnsi="仿宋" w:cs="仿宋"/>
          <w:sz w:val="30"/>
          <w:szCs w:val="30"/>
        </w:rPr>
        <w:t>亩）。</w:t>
      </w:r>
    </w:p>
    <w:p w:rsidR="00BE0A7C" w14:paraId="5E514C5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（四）项目用地控制指标</w:t>
      </w:r>
    </w:p>
    <w:p w:rsidR="00BE0A7C" w14:paraId="6FE9CEF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该工程规划建筑系数</w:t>
      </w:r>
      <w:r>
        <w:rPr>
          <w:rFonts w:ascii="仿宋" w:eastAsia="仿宋" w:hAnsi="仿宋" w:cs="仿宋"/>
          <w:sz w:val="30"/>
          <w:szCs w:val="30"/>
        </w:rPr>
        <w:t>62.70%</w:t>
      </w:r>
      <w:r>
        <w:rPr>
          <w:rFonts w:ascii="仿宋" w:eastAsia="仿宋" w:hAnsi="仿宋" w:cs="仿宋"/>
          <w:sz w:val="30"/>
          <w:szCs w:val="30"/>
        </w:rPr>
        <w:t>，建筑容积率</w:t>
      </w:r>
      <w:r>
        <w:rPr>
          <w:rFonts w:ascii="仿宋" w:eastAsia="仿宋" w:hAnsi="仿宋" w:cs="仿宋"/>
          <w:sz w:val="30"/>
          <w:szCs w:val="30"/>
        </w:rPr>
        <w:t>1.06</w:t>
      </w:r>
      <w:r>
        <w:rPr>
          <w:rFonts w:ascii="仿宋" w:eastAsia="仿宋" w:hAnsi="仿宋" w:cs="仿宋"/>
          <w:sz w:val="30"/>
          <w:szCs w:val="30"/>
        </w:rPr>
        <w:t>，建设区域绿化覆盖率</w:t>
      </w:r>
      <w:r>
        <w:rPr>
          <w:rFonts w:ascii="仿宋" w:eastAsia="仿宋" w:hAnsi="仿宋" w:cs="仿宋"/>
          <w:sz w:val="30"/>
          <w:szCs w:val="30"/>
        </w:rPr>
        <w:t>7.18%</w:t>
      </w:r>
      <w:r>
        <w:rPr>
          <w:rFonts w:ascii="仿宋" w:eastAsia="仿宋" w:hAnsi="仿宋" w:cs="仿宋"/>
          <w:sz w:val="30"/>
          <w:szCs w:val="30"/>
        </w:rPr>
        <w:t>，固定资产投资强度</w:t>
      </w:r>
      <w:r>
        <w:rPr>
          <w:rFonts w:ascii="仿宋" w:eastAsia="仿宋" w:hAnsi="仿宋" w:cs="仿宋"/>
          <w:sz w:val="30"/>
          <w:szCs w:val="30"/>
        </w:rPr>
        <w:t>194.32</w:t>
      </w:r>
      <w:r>
        <w:rPr>
          <w:rFonts w:ascii="仿宋" w:eastAsia="仿宋" w:hAnsi="仿宋" w:cs="仿宋"/>
          <w:sz w:val="30"/>
          <w:szCs w:val="30"/>
        </w:rPr>
        <w:t>万元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亩。</w:t>
      </w:r>
    </w:p>
    <w:p w:rsidR="00BE0A7C" w14:paraId="77B69AA5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（五）土建工程指标</w:t>
      </w:r>
    </w:p>
    <w:p w:rsidR="00BE0A7C" w14:paraId="3357AAF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项目净用地面积</w:t>
      </w:r>
      <w:r>
        <w:rPr>
          <w:rFonts w:ascii="仿宋" w:eastAsia="仿宋" w:hAnsi="仿宋" w:cs="仿宋"/>
          <w:sz w:val="30"/>
          <w:szCs w:val="30"/>
        </w:rPr>
        <w:t>45989.65</w:t>
      </w:r>
      <w:r>
        <w:rPr>
          <w:rFonts w:ascii="仿宋" w:eastAsia="仿宋" w:hAnsi="仿宋" w:cs="仿宋"/>
          <w:sz w:val="30"/>
          <w:szCs w:val="30"/>
        </w:rPr>
        <w:t>平方米，建筑物基底占地面积</w:t>
      </w:r>
      <w:r>
        <w:rPr>
          <w:rFonts w:ascii="仿宋" w:eastAsia="仿宋" w:hAnsi="仿宋" w:cs="仿宋"/>
          <w:sz w:val="30"/>
          <w:szCs w:val="30"/>
        </w:rPr>
        <w:t>28835.51</w:t>
      </w:r>
      <w:r>
        <w:rPr>
          <w:rFonts w:ascii="仿宋" w:eastAsia="仿宋" w:hAnsi="仿宋" w:cs="仿宋"/>
          <w:sz w:val="30"/>
          <w:szCs w:val="30"/>
        </w:rPr>
        <w:t>平方米，总建筑面积</w:t>
      </w:r>
      <w:r>
        <w:rPr>
          <w:rFonts w:ascii="仿宋" w:eastAsia="仿宋" w:hAnsi="仿宋" w:cs="仿宋"/>
          <w:sz w:val="30"/>
          <w:szCs w:val="30"/>
        </w:rPr>
        <w:t>48749.03</w:t>
      </w:r>
      <w:r>
        <w:rPr>
          <w:rFonts w:ascii="仿宋" w:eastAsia="仿宋" w:hAnsi="仿宋" w:cs="仿宋"/>
          <w:sz w:val="30"/>
          <w:szCs w:val="30"/>
        </w:rPr>
        <w:t>平方米，其中：规划建设主体工程</w:t>
      </w:r>
      <w:r>
        <w:rPr>
          <w:rFonts w:ascii="仿宋" w:eastAsia="仿宋" w:hAnsi="仿宋" w:cs="仿宋"/>
          <w:sz w:val="30"/>
          <w:szCs w:val="30"/>
        </w:rPr>
        <w:t>38832.82</w:t>
      </w:r>
      <w:r>
        <w:rPr>
          <w:rFonts w:ascii="仿宋" w:eastAsia="仿宋" w:hAnsi="仿宋" w:cs="仿宋"/>
          <w:sz w:val="30"/>
          <w:szCs w:val="30"/>
        </w:rPr>
        <w:t>平方米，项目规划绿化面积</w:t>
      </w:r>
      <w:r>
        <w:rPr>
          <w:rFonts w:ascii="仿宋" w:eastAsia="仿宋" w:hAnsi="仿宋" w:cs="仿宋"/>
          <w:sz w:val="30"/>
          <w:szCs w:val="30"/>
        </w:rPr>
        <w:t>3501.70</w:t>
      </w:r>
      <w:r>
        <w:rPr>
          <w:rFonts w:ascii="仿宋" w:eastAsia="仿宋" w:hAnsi="仿宋" w:cs="仿宋"/>
          <w:sz w:val="30"/>
          <w:szCs w:val="30"/>
        </w:rPr>
        <w:t>平方米。</w:t>
      </w:r>
    </w:p>
    <w:p w:rsidR="00BE0A7C" w14:paraId="4545DB4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（六）设备选型方案</w:t>
      </w:r>
    </w:p>
    <w:p w:rsidR="00BE0A7C" w14:paraId="23F9488C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项目计划购置设备共计</w:t>
      </w:r>
      <w:r>
        <w:rPr>
          <w:rFonts w:ascii="仿宋" w:eastAsia="仿宋" w:hAnsi="仿宋" w:cs="仿宋"/>
          <w:sz w:val="30"/>
          <w:szCs w:val="30"/>
        </w:rPr>
        <w:t>158</w:t>
      </w:r>
      <w:r>
        <w:rPr>
          <w:rFonts w:ascii="仿宋" w:eastAsia="仿宋" w:hAnsi="仿宋" w:cs="仿宋"/>
          <w:sz w:val="30"/>
          <w:szCs w:val="30"/>
        </w:rPr>
        <w:t>台（套），设备购置费</w:t>
      </w:r>
      <w:r>
        <w:rPr>
          <w:rFonts w:ascii="仿宋" w:eastAsia="仿宋" w:hAnsi="仿宋" w:cs="仿宋"/>
          <w:sz w:val="30"/>
          <w:szCs w:val="30"/>
        </w:rPr>
        <w:t>5259.25</w:t>
      </w:r>
      <w:r>
        <w:rPr>
          <w:rFonts w:ascii="仿宋" w:eastAsia="仿宋" w:hAnsi="仿宋" w:cs="仿宋"/>
          <w:sz w:val="30"/>
          <w:szCs w:val="30"/>
        </w:rPr>
        <w:t>万元。</w:t>
      </w:r>
    </w:p>
    <w:p w:rsidR="00BE0A7C" w14:paraId="2D60E6F8" w14:textId="4F5720FD">
      <w:pPr>
        <w:ind w:firstLine="600"/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BE0A7C" w:rsidRPr="00BE0A7C" w14:paraId="6332A97C" w14:textId="299CE499">
                  <w:pPr>
                    <w:rPr>
                      <w:rFonts w:ascii="黑体" w:eastAsia="黑体"/>
                      <w:sz w:val="24"/>
                    </w:rPr>
                  </w:pPr>
                  <w:r w:rsidRPr="00BE0A7C">
                    <w:rPr>
                      <w:rFonts w:ascii="黑体" w:eastAsia="黑体" w:hint="eastAsia"/>
                      <w:sz w:val="24"/>
                    </w:rPr>
                    <w:t>废纸浆项目可行性分析报告 全文共1页，当前为第1页。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30"/>
          <w:szCs w:val="30"/>
        </w:rPr>
        <w:t>（七）节能分析</w:t>
      </w:r>
    </w:p>
    <w:p w:rsidR="00BE0A7C" w14:paraId="79899633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、项目年用电量</w:t>
      </w:r>
      <w:r>
        <w:rPr>
          <w:rFonts w:ascii="仿宋" w:eastAsia="仿宋" w:hAnsi="仿宋" w:cs="仿宋"/>
          <w:sz w:val="30"/>
          <w:szCs w:val="30"/>
        </w:rPr>
        <w:t>950436.25</w:t>
      </w:r>
      <w:r>
        <w:rPr>
          <w:rFonts w:ascii="仿宋" w:eastAsia="仿宋" w:hAnsi="仿宋" w:cs="仿宋"/>
          <w:sz w:val="30"/>
          <w:szCs w:val="30"/>
        </w:rPr>
        <w:t>千瓦时，折合</w:t>
      </w:r>
      <w:r>
        <w:rPr>
          <w:rFonts w:ascii="仿宋" w:eastAsia="仿宋" w:hAnsi="仿宋" w:cs="仿宋"/>
          <w:sz w:val="30"/>
          <w:szCs w:val="30"/>
        </w:rPr>
        <w:t>116.81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BE0A7C" w14:paraId="2E54282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、项目年总用水量</w:t>
      </w:r>
      <w:r>
        <w:rPr>
          <w:rFonts w:ascii="仿宋" w:eastAsia="仿宋" w:hAnsi="仿宋" w:cs="仿宋"/>
          <w:sz w:val="30"/>
          <w:szCs w:val="30"/>
        </w:rPr>
        <w:t>21932.31</w:t>
      </w:r>
      <w:r>
        <w:rPr>
          <w:rFonts w:ascii="仿宋" w:eastAsia="仿宋" w:hAnsi="仿宋" w:cs="仿宋"/>
          <w:sz w:val="30"/>
          <w:szCs w:val="30"/>
        </w:rPr>
        <w:t>立方米，折合</w:t>
      </w:r>
      <w:r>
        <w:rPr>
          <w:rFonts w:ascii="仿宋" w:eastAsia="仿宋" w:hAnsi="仿宋" w:cs="仿宋"/>
          <w:sz w:val="30"/>
          <w:szCs w:val="30"/>
        </w:rPr>
        <w:t>1.87</w:t>
      </w:r>
      <w:r>
        <w:rPr>
          <w:rFonts w:ascii="仿宋" w:eastAsia="仿宋" w:hAnsi="仿宋" w:cs="仿宋"/>
          <w:sz w:val="30"/>
          <w:szCs w:val="30"/>
        </w:rPr>
        <w:t>吨标准煤。</w:t>
      </w:r>
    </w:p>
    <w:p w:rsidR="00BE0A7C" w14:paraId="6D94285E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废纸浆项目投资建设项目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，年用电量</w:t>
      </w:r>
      <w:r>
        <w:rPr>
          <w:rFonts w:ascii="仿宋" w:eastAsia="仿宋" w:hAnsi="仿宋" w:cs="仿宋"/>
          <w:sz w:val="30"/>
          <w:szCs w:val="30"/>
        </w:rPr>
        <w:t>950436.25</w:t>
      </w:r>
      <w:r>
        <w:rPr>
          <w:rFonts w:ascii="仿宋" w:eastAsia="仿宋" w:hAnsi="仿宋" w:cs="仿宋"/>
          <w:sz w:val="30"/>
          <w:szCs w:val="30"/>
        </w:rPr>
        <w:t>千瓦时，年总用水量</w:t>
      </w:r>
      <w:r>
        <w:rPr>
          <w:rFonts w:ascii="仿宋" w:eastAsia="仿宋" w:hAnsi="仿宋" w:cs="仿宋"/>
          <w:sz w:val="30"/>
          <w:szCs w:val="30"/>
        </w:rPr>
        <w:t>21932.31</w:t>
      </w:r>
      <w:r>
        <w:rPr>
          <w:rFonts w:ascii="仿宋" w:eastAsia="仿宋" w:hAnsi="仿宋" w:cs="仿宋"/>
          <w:sz w:val="30"/>
          <w:szCs w:val="30"/>
        </w:rPr>
        <w:t>立方米，项目年综合总耗能量（当量值）</w:t>
      </w:r>
      <w:r>
        <w:rPr>
          <w:rFonts w:ascii="仿宋" w:eastAsia="仿宋" w:hAnsi="仿宋" w:cs="仿宋"/>
          <w:sz w:val="30"/>
          <w:szCs w:val="30"/>
        </w:rPr>
        <w:t>118.68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年。达产年综合节能量</w:t>
      </w:r>
      <w:r>
        <w:rPr>
          <w:rFonts w:ascii="仿宋" w:eastAsia="仿宋" w:hAnsi="仿宋" w:cs="仿宋"/>
          <w:sz w:val="30"/>
          <w:szCs w:val="30"/>
        </w:rPr>
        <w:t>31.55</w:t>
      </w:r>
      <w:r>
        <w:rPr>
          <w:rFonts w:ascii="仿宋" w:eastAsia="仿宋" w:hAnsi="仿宋" w:cs="仿宋"/>
          <w:sz w:val="30"/>
          <w:szCs w:val="30"/>
        </w:rPr>
        <w:t>吨标准煤</w:t>
      </w:r>
      <w:r>
        <w:rPr>
          <w:rFonts w:ascii="仿宋" w:eastAsia="仿宋" w:hAnsi="仿宋" w:cs="仿宋"/>
          <w:sz w:val="30"/>
          <w:szCs w:val="30"/>
        </w:rPr>
        <w:t>/</w:t>
      </w:r>
      <w:r>
        <w:rPr>
          <w:rFonts w:ascii="仿宋" w:eastAsia="仿宋" w:hAnsi="仿宋" w:cs="仿宋"/>
          <w:sz w:val="30"/>
          <w:szCs w:val="30"/>
        </w:rPr>
        <w:t>年，项目总节能率</w:t>
      </w:r>
      <w:r>
        <w:rPr>
          <w:rFonts w:ascii="仿宋" w:eastAsia="仿宋" w:hAnsi="仿宋" w:cs="仿宋"/>
          <w:sz w:val="30"/>
          <w:szCs w:val="30"/>
        </w:rPr>
        <w:t>21.13%</w:t>
      </w:r>
      <w:r>
        <w:rPr>
          <w:rFonts w:ascii="仿宋" w:eastAsia="仿宋" w:hAnsi="仿宋" w:cs="仿宋"/>
          <w:sz w:val="30"/>
          <w:szCs w:val="30"/>
        </w:rPr>
        <w:t>，能源利用效果良好。</w:t>
      </w:r>
    </w:p>
    <w:p w:rsidR="00BE0A7C" w14:paraId="67DD88B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（八）环境保护</w:t>
      </w:r>
    </w:p>
    <w:p w:rsidR="00BE0A7C" w14:paraId="38D1F9E5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经济园区发展规划，符合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经济园区产业结构调整规划和国家的产业发展政策；对产生的各类污染物都采取了切实可行的治理措施，严格控制在国家规定的排放标准内，项目建设不会对区域生态环境产生明显的影响。</w:t>
      </w:r>
    </w:p>
    <w:p w:rsidR="00BE0A7C" w14:paraId="6A6C88E0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（九）项目总投资及资金构成</w:t>
      </w:r>
    </w:p>
    <w:p w:rsidR="00BE0A7C" w14:paraId="60CBEC8A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项目预计总投资</w:t>
      </w:r>
      <w:r>
        <w:rPr>
          <w:rFonts w:ascii="仿宋" w:eastAsia="仿宋" w:hAnsi="仿宋" w:cs="仿宋"/>
          <w:sz w:val="30"/>
          <w:szCs w:val="30"/>
        </w:rPr>
        <w:t>17915.14</w:t>
      </w:r>
      <w:r>
        <w:rPr>
          <w:rFonts w:ascii="仿宋" w:eastAsia="仿宋" w:hAnsi="仿宋" w:cs="仿宋"/>
          <w:sz w:val="30"/>
          <w:szCs w:val="30"/>
        </w:rPr>
        <w:t>万元，其中：固定资产投资</w:t>
      </w:r>
      <w:r>
        <w:rPr>
          <w:rFonts w:ascii="仿宋" w:eastAsia="仿宋" w:hAnsi="仿宋" w:cs="仿宋"/>
          <w:sz w:val="30"/>
          <w:szCs w:val="30"/>
        </w:rPr>
        <w:t>13398.36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74.79%</w:t>
      </w:r>
      <w:r>
        <w:rPr>
          <w:rFonts w:ascii="仿宋" w:eastAsia="仿宋" w:hAnsi="仿宋" w:cs="仿宋"/>
          <w:sz w:val="30"/>
          <w:szCs w:val="30"/>
        </w:rPr>
        <w:t>；流动资金</w:t>
      </w:r>
      <w:r>
        <w:rPr>
          <w:rFonts w:ascii="仿宋" w:eastAsia="仿宋" w:hAnsi="仿宋" w:cs="仿宋"/>
          <w:sz w:val="30"/>
          <w:szCs w:val="30"/>
        </w:rPr>
        <w:t>4516.78</w:t>
      </w:r>
      <w:r>
        <w:rPr>
          <w:rFonts w:ascii="仿宋" w:eastAsia="仿宋" w:hAnsi="仿宋" w:cs="仿宋"/>
          <w:sz w:val="30"/>
          <w:szCs w:val="30"/>
        </w:rPr>
        <w:t>万元，占项目总投资的</w:t>
      </w:r>
      <w:r>
        <w:rPr>
          <w:rFonts w:ascii="仿宋" w:eastAsia="仿宋" w:hAnsi="仿宋" w:cs="仿宋"/>
          <w:sz w:val="30"/>
          <w:szCs w:val="30"/>
        </w:rPr>
        <w:t>25.21%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BE0A7C" w14:paraId="0A3E4AF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（十）资金筹措</w:t>
      </w:r>
    </w:p>
    <w:p w:rsidR="00BE0A7C" w14:paraId="12CDCD1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该项目现阶段投资均由企业自筹。</w:t>
      </w:r>
    </w:p>
    <w:p w:rsidR="00BE0A7C" w14:paraId="7C423835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（十一）项目预期经济效益规划目标</w:t>
      </w:r>
    </w:p>
    <w:p w:rsidR="00BE0A7C" w14:paraId="13733A53" w14:textId="02FA804D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BE0A7C" w:rsidRPr="00BE0A7C" w14:paraId="2E995250" w14:textId="4AF79297">
                  <w:pPr>
                    <w:rPr>
                      <w:rFonts w:ascii="黑体" w:eastAsia="黑体"/>
                      <w:sz w:val="24"/>
                    </w:rPr>
                  </w:pPr>
                  <w:r w:rsidRPr="00BE0A7C">
                    <w:rPr>
                      <w:rFonts w:ascii="黑体" w:eastAsia="黑体" w:hint="eastAsia"/>
                      <w:sz w:val="24"/>
                    </w:rPr>
                    <w:t>废纸浆项目可行性分析报告 全文共2页，当前为第2页。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预期达产年营业收入</w:t>
      </w:r>
      <w:r>
        <w:rPr>
          <w:rFonts w:ascii="仿宋" w:eastAsia="仿宋" w:hAnsi="仿宋" w:cs="仿宋"/>
          <w:sz w:val="30"/>
          <w:szCs w:val="30"/>
        </w:rPr>
        <w:t>35049.00</w:t>
      </w:r>
      <w:r>
        <w:rPr>
          <w:rFonts w:ascii="仿宋" w:eastAsia="仿宋" w:hAnsi="仿宋" w:cs="仿宋"/>
          <w:sz w:val="30"/>
          <w:szCs w:val="30"/>
        </w:rPr>
        <w:t>万元，总成本费用</w:t>
      </w:r>
      <w:r>
        <w:rPr>
          <w:rFonts w:ascii="仿宋" w:eastAsia="仿宋" w:hAnsi="仿宋" w:cs="仿宋"/>
          <w:sz w:val="30"/>
          <w:szCs w:val="30"/>
        </w:rPr>
        <w:t>26990.57</w:t>
      </w:r>
      <w:r>
        <w:rPr>
          <w:rFonts w:ascii="仿宋" w:eastAsia="仿宋" w:hAnsi="仿宋" w:cs="仿宋"/>
          <w:sz w:val="30"/>
          <w:szCs w:val="30"/>
        </w:rPr>
        <w:t>万元，税金及附加</w:t>
      </w:r>
      <w:r>
        <w:rPr>
          <w:rFonts w:ascii="仿宋" w:eastAsia="仿宋" w:hAnsi="仿宋" w:cs="仿宋"/>
          <w:sz w:val="30"/>
          <w:szCs w:val="30"/>
        </w:rPr>
        <w:t>317.34</w:t>
      </w:r>
      <w:r>
        <w:rPr>
          <w:rFonts w:ascii="仿宋" w:eastAsia="仿宋" w:hAnsi="仿宋" w:cs="仿宋"/>
          <w:sz w:val="30"/>
          <w:szCs w:val="30"/>
        </w:rPr>
        <w:t>万元，利润总额</w:t>
      </w:r>
      <w:r>
        <w:rPr>
          <w:rFonts w:ascii="仿宋" w:eastAsia="仿宋" w:hAnsi="仿宋" w:cs="仿宋"/>
          <w:sz w:val="30"/>
          <w:szCs w:val="30"/>
        </w:rPr>
        <w:t>8058.43</w:t>
      </w:r>
      <w:r>
        <w:rPr>
          <w:rFonts w:ascii="仿宋" w:eastAsia="仿宋" w:hAnsi="仿宋" w:cs="仿宋"/>
          <w:sz w:val="30"/>
          <w:szCs w:val="30"/>
        </w:rPr>
        <w:t>万元，利税总额</w:t>
      </w:r>
      <w:r>
        <w:rPr>
          <w:rFonts w:ascii="仿宋" w:eastAsia="仿宋" w:hAnsi="仿宋" w:cs="仿宋"/>
          <w:sz w:val="30"/>
          <w:szCs w:val="30"/>
        </w:rPr>
        <w:t>9487.28</w:t>
      </w:r>
    </w:p>
    <w:p w:rsidR="00BE0A7C" w14:textId="02FA804D">
      <w:pPr>
        <w:ind w:firstLine="600"/>
      </w:pPr>
      <w:r>
        <w:rPr>
          <w:rFonts w:ascii="仿宋" w:eastAsia="仿宋" w:hAnsi="仿宋" w:cs="仿宋"/>
          <w:sz w:val="30"/>
          <w:szCs w:val="30"/>
        </w:rPr>
        <w:t>万元，税后净利润</w:t>
      </w:r>
      <w:r>
        <w:rPr>
          <w:rFonts w:ascii="仿宋" w:eastAsia="仿宋" w:hAnsi="仿宋" w:cs="仿宋"/>
          <w:sz w:val="30"/>
          <w:szCs w:val="30"/>
        </w:rPr>
        <w:t>6043.82</w:t>
      </w:r>
      <w:r>
        <w:rPr>
          <w:rFonts w:ascii="仿宋" w:eastAsia="仿宋" w:hAnsi="仿宋" w:cs="仿宋"/>
          <w:sz w:val="30"/>
          <w:szCs w:val="30"/>
        </w:rPr>
        <w:t>万元，达产年纳税总额</w:t>
      </w:r>
      <w:r>
        <w:rPr>
          <w:rFonts w:ascii="仿宋" w:eastAsia="仿宋" w:hAnsi="仿宋" w:cs="仿宋"/>
          <w:sz w:val="30"/>
          <w:szCs w:val="30"/>
        </w:rPr>
        <w:t>3443.46</w:t>
      </w:r>
      <w:r>
        <w:rPr>
          <w:rFonts w:ascii="仿宋" w:eastAsia="仿宋" w:hAnsi="仿宋" w:cs="仿宋"/>
          <w:sz w:val="30"/>
          <w:szCs w:val="30"/>
        </w:rPr>
        <w:t>万元；达产年投资利</w:t>
      </w:r>
      <w:r>
        <w:rPr>
          <w:rFonts w:ascii="仿宋" w:eastAsia="仿宋" w:hAnsi="仿宋" w:cs="仿宋"/>
          <w:sz w:val="30"/>
          <w:szCs w:val="30"/>
        </w:rPr>
        <w:t>润率</w:t>
      </w:r>
      <w:r>
        <w:rPr>
          <w:rFonts w:ascii="仿宋" w:eastAsia="仿宋" w:hAnsi="仿宋" w:cs="仿宋"/>
          <w:sz w:val="30"/>
          <w:szCs w:val="30"/>
        </w:rPr>
        <w:t>44.98%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52.96%</w:t>
      </w:r>
      <w:r>
        <w:rPr>
          <w:rFonts w:ascii="仿宋" w:eastAsia="仿宋" w:hAnsi="仿宋" w:cs="仿宋"/>
          <w:sz w:val="30"/>
          <w:szCs w:val="30"/>
        </w:rPr>
        <w:t>，投资回报率</w:t>
      </w:r>
      <w:r>
        <w:rPr>
          <w:rFonts w:ascii="仿宋" w:eastAsia="仿宋" w:hAnsi="仿宋" w:cs="仿宋"/>
          <w:sz w:val="30"/>
          <w:szCs w:val="30"/>
        </w:rPr>
        <w:t>33.74%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4.46</w:t>
      </w:r>
      <w:r>
        <w:rPr>
          <w:rFonts w:ascii="仿宋" w:eastAsia="仿宋" w:hAnsi="仿宋" w:cs="仿宋"/>
          <w:sz w:val="30"/>
          <w:szCs w:val="30"/>
        </w:rPr>
        <w:t>年，提供就业职位</w:t>
      </w:r>
      <w:r>
        <w:rPr>
          <w:rFonts w:ascii="仿宋" w:eastAsia="仿宋" w:hAnsi="仿宋" w:cs="仿宋"/>
          <w:sz w:val="30"/>
          <w:szCs w:val="30"/>
        </w:rPr>
        <w:t>691</w:t>
      </w:r>
      <w:r>
        <w:rPr>
          <w:rFonts w:ascii="仿宋" w:eastAsia="仿宋" w:hAnsi="仿宋" w:cs="仿宋"/>
          <w:sz w:val="30"/>
          <w:szCs w:val="30"/>
        </w:rPr>
        <w:t>个。</w:t>
      </w:r>
    </w:p>
    <w:p w:rsidR="00BE0A7C" w14:paraId="46913960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（十二）进度规划</w:t>
      </w:r>
    </w:p>
    <w:p w:rsidR="00BE0A7C" w14:paraId="4C52ECB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本期工程项目建设期限规划</w:t>
      </w:r>
      <w:r>
        <w:rPr>
          <w:rFonts w:ascii="仿宋" w:eastAsia="仿宋" w:hAnsi="仿宋" w:cs="仿宋"/>
          <w:sz w:val="30"/>
          <w:szCs w:val="30"/>
        </w:rPr>
        <w:t>12</w:t>
      </w:r>
      <w:r>
        <w:rPr>
          <w:rFonts w:ascii="仿宋" w:eastAsia="仿宋" w:hAnsi="仿宋" w:cs="仿宋"/>
          <w:sz w:val="30"/>
          <w:szCs w:val="30"/>
        </w:rPr>
        <w:t>个月。</w:t>
      </w:r>
    </w:p>
    <w:p w:rsidR="00BE0A7C" w14:paraId="244F33D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项目承办单位要合理安排设计、采购和设备安装的时间，在工作上交叉进行，最大限度缩短建设周期。将投资密度比较大的部分工程尽量押后施工，诸如其他配套工程等。</w:t>
      </w:r>
    </w:p>
    <w:p w:rsidR="00BE0A7C" w14:paraId="0D83B9E3" w14:textId="77777777">
      <w:r>
        <w:rPr>
          <w:rFonts w:ascii="仿宋" w:eastAsia="仿宋" w:hAnsi="仿宋" w:cs="仿宋"/>
          <w:b/>
          <w:bCs/>
          <w:sz w:val="32"/>
          <w:szCs w:val="32"/>
        </w:rPr>
        <w:t>二、项目评价</w:t>
      </w:r>
    </w:p>
    <w:p w:rsidR="00BE0A7C" w14:paraId="117EEE98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/>
          <w:sz w:val="30"/>
          <w:szCs w:val="30"/>
        </w:rPr>
        <w:t>、本期工程项目符合国家产业发展政策和规划要求，符合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经济园区及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经济园区废纸浆行业布局和结构调整政策；项目的建设对促进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经济园区废纸浆产业结构、技术结构、组织结构、产品结构的调整优化有着积极的推动意义。</w:t>
      </w:r>
    </w:p>
    <w:p w:rsidR="00BE0A7C" w14:paraId="4D93E86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（集团）有限公司为适应国内外市场需求，拟建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废纸浆项目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，本期工程项目的建设能够有力促进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经济园区经济发展，为社会提供就业职位</w:t>
      </w:r>
      <w:r>
        <w:rPr>
          <w:rFonts w:ascii="仿宋" w:eastAsia="仿宋" w:hAnsi="仿宋" w:cs="仿宋"/>
          <w:sz w:val="30"/>
          <w:szCs w:val="30"/>
        </w:rPr>
        <w:t>691</w:t>
      </w:r>
      <w:r>
        <w:rPr>
          <w:rFonts w:ascii="仿宋" w:eastAsia="仿宋" w:hAnsi="仿宋" w:cs="仿宋"/>
          <w:sz w:val="30"/>
          <w:szCs w:val="30"/>
        </w:rPr>
        <w:t>个，达产年纳税总额</w:t>
      </w:r>
      <w:r>
        <w:rPr>
          <w:rFonts w:ascii="仿宋" w:eastAsia="仿宋" w:hAnsi="仿宋" w:cs="仿宋"/>
          <w:sz w:val="30"/>
          <w:szCs w:val="30"/>
        </w:rPr>
        <w:t>3443.46</w:t>
      </w:r>
      <w:r>
        <w:rPr>
          <w:rFonts w:ascii="仿宋" w:eastAsia="仿宋" w:hAnsi="仿宋" w:cs="仿宋"/>
          <w:sz w:val="30"/>
          <w:szCs w:val="30"/>
        </w:rPr>
        <w:t>万元，可以促进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经济园区区域经济的繁荣发展和社会稳定，为地方财政收入做出积极的贡献。</w:t>
      </w:r>
    </w:p>
    <w:p w:rsidR="00BE0A7C" w14:paraId="3E469CB1" w14:textId="77777777">
      <w:pPr>
        <w:ind w:firstLine="600"/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/>
          <w:sz w:val="30"/>
          <w:szCs w:val="30"/>
        </w:rPr>
        <w:t>、项目达产年投资利润率</w:t>
      </w:r>
      <w:r>
        <w:rPr>
          <w:rFonts w:ascii="仿宋" w:eastAsia="仿宋" w:hAnsi="仿宋" w:cs="仿宋"/>
          <w:sz w:val="30"/>
          <w:szCs w:val="30"/>
        </w:rPr>
        <w:t>44.98%</w:t>
      </w:r>
      <w:r>
        <w:rPr>
          <w:rFonts w:ascii="仿宋" w:eastAsia="仿宋" w:hAnsi="仿宋" w:cs="仿宋"/>
          <w:sz w:val="30"/>
          <w:szCs w:val="30"/>
        </w:rPr>
        <w:t>，投资利税率</w:t>
      </w:r>
      <w:r>
        <w:rPr>
          <w:rFonts w:ascii="仿宋" w:eastAsia="仿宋" w:hAnsi="仿宋" w:cs="仿宋"/>
          <w:sz w:val="30"/>
          <w:szCs w:val="30"/>
        </w:rPr>
        <w:t>52.96%</w:t>
      </w:r>
      <w:r>
        <w:rPr>
          <w:rFonts w:ascii="仿宋" w:eastAsia="仿宋" w:hAnsi="仿宋" w:cs="仿宋"/>
          <w:sz w:val="30"/>
          <w:szCs w:val="30"/>
        </w:rPr>
        <w:t>，全部投资回报率</w:t>
      </w:r>
      <w:r>
        <w:rPr>
          <w:rFonts w:ascii="仿宋" w:eastAsia="仿宋" w:hAnsi="仿宋" w:cs="仿宋"/>
          <w:sz w:val="30"/>
          <w:szCs w:val="30"/>
        </w:rPr>
        <w:t>33.74%</w:t>
      </w:r>
      <w:r>
        <w:rPr>
          <w:rFonts w:ascii="仿宋" w:eastAsia="仿宋" w:hAnsi="仿宋" w:cs="仿宋"/>
          <w:sz w:val="30"/>
          <w:szCs w:val="30"/>
        </w:rPr>
        <w:t>，全部投资回收期</w:t>
      </w:r>
      <w:r>
        <w:rPr>
          <w:rFonts w:ascii="仿宋" w:eastAsia="仿宋" w:hAnsi="仿宋" w:cs="仿宋"/>
          <w:sz w:val="30"/>
          <w:szCs w:val="30"/>
        </w:rPr>
        <w:t>4.46</w:t>
      </w:r>
      <w:r>
        <w:rPr>
          <w:rFonts w:ascii="仿宋" w:eastAsia="仿宋" w:hAnsi="仿宋" w:cs="仿宋"/>
          <w:sz w:val="30"/>
          <w:szCs w:val="30"/>
        </w:rPr>
        <w:t>年，固定资产投资回收期</w:t>
      </w:r>
      <w:r>
        <w:rPr>
          <w:rFonts w:ascii="仿宋" w:eastAsia="仿宋" w:hAnsi="仿宋" w:cs="仿宋"/>
          <w:sz w:val="30"/>
          <w:szCs w:val="30"/>
        </w:rPr>
        <w:t>4.46</w:t>
      </w:r>
      <w:r>
        <w:rPr>
          <w:rFonts w:ascii="仿宋" w:eastAsia="仿宋" w:hAnsi="仿宋" w:cs="仿宋"/>
          <w:sz w:val="30"/>
          <w:szCs w:val="30"/>
        </w:rPr>
        <w:t>年（含建设期），项目具有较强的盈利能力和抗风险能力。</w:t>
      </w:r>
    </w:p>
    <w:p w:rsidR="00BE0A7C" w14:paraId="35F608C5" w14:textId="16BF884B">
      <w:pPr>
        <w:ind w:firstLine="600"/>
      </w:pPr>
      <w:r>
        <w:rPr>
          <w:noProof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BE0A7C" w:rsidRPr="00BE0A7C" w14:paraId="3C9AECCF" w14:textId="1E7BA3BB">
                  <w:pPr>
                    <w:rPr>
                      <w:rFonts w:ascii="黑体" w:eastAsia="黑体"/>
                      <w:sz w:val="24"/>
                    </w:rPr>
                  </w:pPr>
                  <w:r w:rsidRPr="00BE0A7C">
                    <w:rPr>
                      <w:rFonts w:ascii="黑体" w:eastAsia="黑体" w:hint="eastAsia"/>
                      <w:sz w:val="24"/>
                    </w:rPr>
                    <w:t>废纸浆项目可行性分析报告 全文共3页，当前为第3页。</w:t>
                  </w:r>
                </w:p>
              </w:txbxContent>
            </v:textbox>
          </v:shape>
        </w:pict>
      </w:r>
    </w:p>
    <w:p w:rsidR="00BE0A7C" w14:paraId="3ABB3892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十二五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期间，全省制造业累计完成技术改造投资</w:t>
      </w:r>
      <w:r>
        <w:rPr>
          <w:rFonts w:ascii="仿宋" w:eastAsia="仿宋" w:hAnsi="仿宋" w:cs="仿宋"/>
          <w:sz w:val="30"/>
          <w:szCs w:val="30"/>
        </w:rPr>
        <w:t>4.9</w:t>
      </w:r>
      <w:r>
        <w:rPr>
          <w:rFonts w:ascii="仿宋" w:eastAsia="仿宋" w:hAnsi="仿宋" w:cs="仿宋"/>
          <w:sz w:val="30"/>
          <w:szCs w:val="30"/>
        </w:rPr>
        <w:t>万亿元，年均增长</w:t>
      </w:r>
      <w:r>
        <w:rPr>
          <w:rFonts w:ascii="仿宋" w:eastAsia="仿宋" w:hAnsi="仿宋" w:cs="仿宋"/>
          <w:sz w:val="30"/>
          <w:szCs w:val="30"/>
        </w:rPr>
        <w:t>19.3%</w:t>
      </w:r>
      <w:r>
        <w:rPr>
          <w:rFonts w:ascii="仿宋" w:eastAsia="仿宋" w:hAnsi="仿宋" w:cs="仿宋"/>
          <w:sz w:val="30"/>
          <w:szCs w:val="30"/>
        </w:rPr>
        <w:t>，一批高水平重大项目集群式落地，企业装备水平大幅提升，产业和产品结构明显优化。传统产业先进产能比重进一步上升。水泥行业结束了机立窑时代，钢铁行业</w:t>
      </w:r>
      <w:r>
        <w:rPr>
          <w:rFonts w:ascii="仿宋" w:eastAsia="仿宋" w:hAnsi="仿宋" w:cs="仿宋"/>
          <w:sz w:val="30"/>
          <w:szCs w:val="30"/>
        </w:rPr>
        <w:t>1000</w:t>
      </w:r>
      <w:r>
        <w:rPr>
          <w:rFonts w:ascii="仿宋" w:eastAsia="仿宋" w:hAnsi="仿宋" w:cs="仿宋"/>
          <w:sz w:val="30"/>
          <w:szCs w:val="30"/>
        </w:rPr>
        <w:t>立方以上炼铁高炉产能占比达到</w:t>
      </w:r>
      <w:r>
        <w:rPr>
          <w:rFonts w:ascii="仿宋" w:eastAsia="仿宋" w:hAnsi="仿宋" w:cs="仿宋"/>
          <w:sz w:val="30"/>
          <w:szCs w:val="30"/>
        </w:rPr>
        <w:t>50%</w:t>
      </w:r>
      <w:r>
        <w:rPr>
          <w:rFonts w:ascii="仿宋" w:eastAsia="仿宋" w:hAnsi="仿宋" w:cs="仿宋"/>
          <w:sz w:val="30"/>
          <w:szCs w:val="30"/>
        </w:rPr>
        <w:t>，</w:t>
      </w:r>
      <w:r>
        <w:rPr>
          <w:rFonts w:ascii="仿宋" w:eastAsia="仿宋" w:hAnsi="仿宋" w:cs="仿宋"/>
          <w:sz w:val="30"/>
          <w:szCs w:val="30"/>
        </w:rPr>
        <w:t>120</w:t>
      </w:r>
      <w:r>
        <w:rPr>
          <w:rFonts w:ascii="仿宋" w:eastAsia="仿宋" w:hAnsi="仿宋" w:cs="仿宋"/>
          <w:sz w:val="30"/>
          <w:szCs w:val="30"/>
        </w:rPr>
        <w:t>吨以上炼钢转炉产能占比达到</w:t>
      </w:r>
      <w:r>
        <w:rPr>
          <w:rFonts w:ascii="仿宋" w:eastAsia="仿宋" w:hAnsi="仿宋" w:cs="仿宋"/>
          <w:sz w:val="30"/>
          <w:szCs w:val="30"/>
        </w:rPr>
        <w:t>47%</w:t>
      </w:r>
      <w:r>
        <w:rPr>
          <w:rFonts w:ascii="仿宋" w:eastAsia="仿宋" w:hAnsi="仿宋" w:cs="仿宋"/>
          <w:sz w:val="30"/>
          <w:szCs w:val="30"/>
        </w:rPr>
        <w:t>，造纸企业产业集中度达到</w:t>
      </w:r>
      <w:r>
        <w:rPr>
          <w:rFonts w:ascii="仿宋" w:eastAsia="仿宋" w:hAnsi="仿宋" w:cs="仿宋"/>
          <w:sz w:val="30"/>
          <w:szCs w:val="30"/>
        </w:rPr>
        <w:t>71.5%</w:t>
      </w:r>
      <w:r>
        <w:rPr>
          <w:rFonts w:ascii="仿宋" w:eastAsia="仿宋" w:hAnsi="仿宋" w:cs="仿宋"/>
          <w:sz w:val="30"/>
          <w:szCs w:val="30"/>
        </w:rPr>
        <w:t>。高新技术产业占比提高。</w:t>
      </w:r>
      <w:r>
        <w:rPr>
          <w:rFonts w:ascii="仿宋" w:eastAsia="仿宋" w:hAnsi="仿宋" w:cs="仿宋"/>
          <w:sz w:val="30"/>
          <w:szCs w:val="30"/>
        </w:rPr>
        <w:t>2015</w:t>
      </w:r>
      <w:r>
        <w:rPr>
          <w:rFonts w:ascii="仿宋" w:eastAsia="仿宋" w:hAnsi="仿宋" w:cs="仿宋"/>
          <w:sz w:val="30"/>
          <w:szCs w:val="30"/>
        </w:rPr>
        <w:t>年，全省新口径高新技术产业产值占规模以上工业的</w:t>
      </w:r>
      <w:r>
        <w:rPr>
          <w:rFonts w:ascii="仿宋" w:eastAsia="仿宋" w:hAnsi="仿宋" w:cs="仿宋"/>
          <w:sz w:val="30"/>
          <w:szCs w:val="30"/>
        </w:rPr>
        <w:t>32.5%</w:t>
      </w:r>
      <w:r>
        <w:rPr>
          <w:rFonts w:ascii="仿宋" w:eastAsia="仿宋" w:hAnsi="仿宋" w:cs="仿宋"/>
          <w:sz w:val="30"/>
          <w:szCs w:val="30"/>
        </w:rPr>
        <w:t>，较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十二五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初期提高</w:t>
      </w:r>
      <w:r>
        <w:rPr>
          <w:rFonts w:ascii="仿宋" w:eastAsia="仿宋" w:hAnsi="仿宋" w:cs="仿宋"/>
          <w:sz w:val="30"/>
          <w:szCs w:val="30"/>
        </w:rPr>
        <w:t>5.2</w:t>
      </w:r>
      <w:r>
        <w:rPr>
          <w:rFonts w:ascii="仿宋" w:eastAsia="仿宋" w:hAnsi="仿宋" w:cs="仿宋"/>
          <w:sz w:val="30"/>
          <w:szCs w:val="30"/>
        </w:rPr>
        <w:t>个百分点；装备制造业增加值占规模以上工业比重达到</w:t>
      </w:r>
      <w:r>
        <w:rPr>
          <w:rFonts w:ascii="仿宋" w:eastAsia="仿宋" w:hAnsi="仿宋" w:cs="仿宋"/>
          <w:sz w:val="30"/>
          <w:szCs w:val="30"/>
        </w:rPr>
        <w:t>28.8%</w:t>
      </w:r>
      <w:r>
        <w:rPr>
          <w:rFonts w:ascii="仿宋" w:eastAsia="仿宋" w:hAnsi="仿宋" w:cs="仿宋"/>
          <w:sz w:val="30"/>
          <w:szCs w:val="30"/>
        </w:rPr>
        <w:t>，比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十一五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末提高</w:t>
      </w:r>
      <w:r>
        <w:rPr>
          <w:rFonts w:ascii="仿宋" w:eastAsia="仿宋" w:hAnsi="仿宋" w:cs="仿宋"/>
          <w:sz w:val="30"/>
          <w:szCs w:val="30"/>
        </w:rPr>
        <w:t>2.3</w:t>
      </w:r>
      <w:r>
        <w:rPr>
          <w:rFonts w:ascii="仿宋" w:eastAsia="仿宋" w:hAnsi="仿宋" w:cs="仿宋"/>
          <w:sz w:val="30"/>
          <w:szCs w:val="30"/>
        </w:rPr>
        <w:t>个百分点；工业总集成总承包、合同能源管理、工业研发设计等一大批新兴服务业态不断涌现，全省生产性服务业增加值占服务业的比重超过</w:t>
      </w:r>
      <w:r>
        <w:rPr>
          <w:rFonts w:ascii="仿宋" w:eastAsia="仿宋" w:hAnsi="仿宋" w:cs="仿宋"/>
          <w:sz w:val="30"/>
          <w:szCs w:val="30"/>
        </w:rPr>
        <w:t>50%</w:t>
      </w:r>
      <w:r>
        <w:rPr>
          <w:rFonts w:ascii="仿宋" w:eastAsia="仿宋" w:hAnsi="仿宋" w:cs="仿宋"/>
          <w:sz w:val="30"/>
          <w:szCs w:val="30"/>
        </w:rPr>
        <w:t>。企业组织体系呈现新格局。截至</w:t>
      </w:r>
      <w:r>
        <w:rPr>
          <w:rFonts w:ascii="仿宋" w:eastAsia="仿宋" w:hAnsi="仿宋" w:cs="仿宋"/>
          <w:sz w:val="30"/>
          <w:szCs w:val="30"/>
        </w:rPr>
        <w:t>2015</w:t>
      </w:r>
      <w:r>
        <w:rPr>
          <w:rFonts w:ascii="仿宋" w:eastAsia="仿宋" w:hAnsi="仿宋" w:cs="仿宋"/>
          <w:sz w:val="30"/>
          <w:szCs w:val="30"/>
        </w:rPr>
        <w:t>年，共有</w:t>
      </w:r>
      <w:r>
        <w:rPr>
          <w:rFonts w:ascii="仿宋" w:eastAsia="仿宋" w:hAnsi="仿宋" w:cs="仿宋"/>
          <w:sz w:val="30"/>
          <w:szCs w:val="30"/>
        </w:rPr>
        <w:t>51</w:t>
      </w:r>
      <w:r>
        <w:rPr>
          <w:rFonts w:ascii="仿宋" w:eastAsia="仿宋" w:hAnsi="仿宋" w:cs="仿宋"/>
          <w:sz w:val="30"/>
          <w:szCs w:val="30"/>
        </w:rPr>
        <w:t>家企业入围中国企业</w:t>
      </w:r>
      <w:r>
        <w:rPr>
          <w:rFonts w:ascii="仿宋" w:eastAsia="仿宋" w:hAnsi="仿宋" w:cs="仿宋"/>
          <w:sz w:val="30"/>
          <w:szCs w:val="30"/>
        </w:rPr>
        <w:t>500</w:t>
      </w:r>
      <w:r>
        <w:rPr>
          <w:rFonts w:ascii="仿宋" w:eastAsia="仿宋" w:hAnsi="仿宋" w:cs="仿宋"/>
          <w:sz w:val="30"/>
          <w:szCs w:val="30"/>
        </w:rPr>
        <w:t>强，我省能源集团、魏桥集团进入世界</w:t>
      </w:r>
      <w:r>
        <w:rPr>
          <w:rFonts w:ascii="仿宋" w:eastAsia="仿宋" w:hAnsi="仿宋" w:cs="仿宋"/>
          <w:sz w:val="30"/>
          <w:szCs w:val="30"/>
        </w:rPr>
        <w:t>500</w:t>
      </w:r>
      <w:r>
        <w:rPr>
          <w:rFonts w:ascii="仿宋" w:eastAsia="仿宋" w:hAnsi="仿宋" w:cs="仿宋"/>
          <w:sz w:val="30"/>
          <w:szCs w:val="30"/>
        </w:rPr>
        <w:t>强，营业收入过百亿元的工业企业达到</w:t>
      </w:r>
      <w:r>
        <w:rPr>
          <w:rFonts w:ascii="仿宋" w:eastAsia="仿宋" w:hAnsi="仿宋" w:cs="仿宋"/>
          <w:sz w:val="30"/>
          <w:szCs w:val="30"/>
        </w:rPr>
        <w:t>135</w:t>
      </w:r>
      <w:r>
        <w:rPr>
          <w:rFonts w:ascii="仿宋" w:eastAsia="仿宋" w:hAnsi="仿宋" w:cs="仿宋"/>
          <w:sz w:val="30"/>
          <w:szCs w:val="30"/>
        </w:rPr>
        <w:t>家，比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十一五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末增加了</w:t>
      </w:r>
      <w:r>
        <w:rPr>
          <w:rFonts w:ascii="仿宋" w:eastAsia="仿宋" w:hAnsi="仿宋" w:cs="仿宋"/>
          <w:sz w:val="30"/>
          <w:szCs w:val="30"/>
        </w:rPr>
        <w:t>58</w:t>
      </w:r>
      <w:r>
        <w:rPr>
          <w:rFonts w:ascii="仿宋" w:eastAsia="仿宋" w:hAnsi="仿宋" w:cs="仿宋"/>
          <w:sz w:val="30"/>
          <w:szCs w:val="30"/>
        </w:rPr>
        <w:t>家；全省中小企业户数、年销售收入过百亿元的产业集群数量均较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十一五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末翻了一番。</w:t>
      </w:r>
    </w:p>
    <w:p w:rsidR="00BE0A7C" w14:paraId="3B760C0F" w14:textId="77777777">
      <w:r>
        <w:rPr>
          <w:rFonts w:ascii="仿宋" w:eastAsia="仿宋" w:hAnsi="仿宋" w:cs="仿宋"/>
          <w:b/>
          <w:bCs/>
          <w:sz w:val="32"/>
          <w:szCs w:val="32"/>
        </w:rPr>
        <w:t>三、主要经济指标</w:t>
      </w:r>
      <w:r>
        <w:br/>
      </w:r>
    </w:p>
    <w:p w:rsidR="00BE0A7C" w14:paraId="3AB97F2E" w14:textId="0845114E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BE0A7C" w:rsidRPr="00BE0A7C" w14:paraId="15C07EAB" w14:textId="14C8266A">
                  <w:pPr>
                    <w:rPr>
                      <w:rFonts w:ascii="黑体" w:eastAsia="黑体"/>
                      <w:sz w:val="24"/>
                    </w:rPr>
                  </w:pPr>
                  <w:r w:rsidRPr="00BE0A7C">
                    <w:rPr>
                      <w:rFonts w:ascii="黑体" w:eastAsia="黑体" w:hint="eastAsia"/>
                      <w:sz w:val="24"/>
                    </w:rPr>
                    <w:t>废纸浆项目可行性分析报告 全文共4页，当前为第4页。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主要经济指标一览表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78AD010F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2000" w:type="dxa"/>
            <w:shd w:val="clear" w:color="auto" w:fill="auto"/>
            <w:vAlign w:val="center"/>
          </w:tcPr>
          <w:p w:rsidR="00BE0A7C" w:rsidRPr="00722E63" w14:paraId="7950D87B" w14:textId="77777777">
            <w:r w:rsidRPr="00722E63">
              <w:rPr>
                <w:rFonts w:ascii="仿宋" w:eastAsia="仿宋" w:hAnsi="仿宋"/>
                <w:b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E0A7C" w:rsidRPr="00722E63" w14:paraId="2D8DDF8B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E0A7C" w:rsidRPr="00722E63" w14:paraId="36C5B0E3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E0A7C" w:rsidRPr="00722E63" w14:paraId="591FC2B0" w14:textId="77777777"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E0A7C" w:rsidRPr="00722E63" w14:paraId="327CCC0E" w14:textId="77777777">
            <w:r w:rsidRPr="00722E63">
              <w:rPr>
                <w:rFonts w:ascii="仿宋" w:eastAsia="仿宋" w:hAnsi="仿宋"/>
                <w:b/>
              </w:rPr>
              <w:t>备注</w:t>
            </w:r>
          </w:p>
        </w:tc>
      </w:tr>
      <w:tr w14:paraId="429FE82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00EA3B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CAAB84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占地面积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C6B989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6C99FC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45989.65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004C90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68.95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</w:tr>
      <w:tr w14:paraId="4A3E8E8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B991FB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C63892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容积率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19066F1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BCA0EF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1.06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1AD8E73" w14:textId="77777777"/>
        </w:tc>
      </w:tr>
    </w:tbl>
    <w:p>
      <w:pPr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5D04EEE5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5CEF503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3E6745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建筑系数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B0A7704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B84918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62.70%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7CF7695" w14:textId="77777777"/>
        </w:tc>
      </w:tr>
      <w:tr w14:paraId="276F778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14DACF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BF08D0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投资强度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65EA8C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/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亩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87D70F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194.32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F64C1E7" w14:textId="77777777"/>
        </w:tc>
      </w:tr>
      <w:tr w14:paraId="7F590CE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7A499A9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4BC41D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基底面积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536846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781951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28835.51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14280EE" w14:textId="77777777"/>
        </w:tc>
      </w:tr>
      <w:tr w14:paraId="57F7385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65160C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AFA57D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总建筑面积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108604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962F5E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48749.03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47FDABD" w14:textId="77777777"/>
        </w:tc>
      </w:tr>
      <w:tr w14:paraId="2001342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423A080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751B50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绿化面积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49A9CE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平方米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A81BE6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3501.70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E716A2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绿化率</w:t>
            </w:r>
            <w:r w:rsidRPr="00722E63">
              <w:rPr>
                <w:rFonts w:ascii="仿宋" w:eastAsia="仿宋" w:hAnsi="仿宋"/>
                <w:sz w:val="20"/>
                <w:szCs w:val="20"/>
              </w:rPr>
              <w:t>7.18%</w:t>
            </w:r>
          </w:p>
        </w:tc>
      </w:tr>
      <w:tr w14:paraId="51866CF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9399C0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2244BD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57DEB3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AB4953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17915.14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CCD0D5D" w14:textId="77777777"/>
        </w:tc>
      </w:tr>
      <w:tr w14:paraId="56D09D0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D0F4B2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EC3B21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4943E1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62031A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13398.36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C1EDB51" w14:textId="77777777"/>
        </w:tc>
      </w:tr>
      <w:tr w14:paraId="59A41D7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C25C16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F7989C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4A7465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042A0D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3467.62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7224B00" w14:textId="77777777"/>
        </w:tc>
      </w:tr>
      <w:tr w14:paraId="4BC1AED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80BF9C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2.1.1.1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E796DE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土建工程投资占比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37A1C5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E9F401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19.36%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E6B0C3F" w14:textId="77777777"/>
        </w:tc>
      </w:tr>
      <w:tr w14:paraId="2C96811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05C714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572731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2B6A32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39D1E6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5259.25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DA42118" w14:textId="77777777"/>
        </w:tc>
      </w:tr>
      <w:tr w14:paraId="2B6AC15B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4E3345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B5C819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6E370D7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E6CC7C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29.36%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E39687F" w14:textId="77777777"/>
        </w:tc>
      </w:tr>
      <w:tr w14:paraId="63EB34C1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988853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56B81E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86406A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05F752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4671.49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91D4BA1" w14:textId="77777777"/>
        </w:tc>
      </w:tr>
      <w:tr w14:paraId="7117D7D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5153C51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2.1.3.1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5BC588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其它投资占比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59BDDDE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79B96C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26.08%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6F3C6A1" w14:textId="77777777"/>
        </w:tc>
      </w:tr>
      <w:tr w14:paraId="6B8A58F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AC04CA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2.1.4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E48FB0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固定资产投资占比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0D3385F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226860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74.79%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AF09B80" w14:textId="77777777"/>
        </w:tc>
      </w:tr>
      <w:tr w14:paraId="5B47C32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584B36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EE474C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D60CCC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59C1FD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4516.78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17E747E" w14:textId="77777777"/>
        </w:tc>
      </w:tr>
      <w:tr w14:paraId="1497841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B160CD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2.2.1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7F7D9B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流动资金占比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A6734B2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45D388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25.21%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74E5ECB" w14:textId="77777777"/>
        </w:tc>
      </w:tr>
      <w:tr w14:paraId="6B42623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3B3210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A06C5A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0D8CB9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808383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35049.00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E61DC04" w14:textId="77777777"/>
        </w:tc>
      </w:tr>
      <w:tr w14:paraId="22C8B43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CBEACD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9FADF9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总成本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85FC7E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D85611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26990.57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0EA2CE2" w14:textId="77777777"/>
        </w:tc>
      </w:tr>
      <w:tr w14:paraId="19E5F76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8B775B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12B69A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981481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FB88AE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8058.43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5B69E5C" w14:textId="77777777"/>
        </w:tc>
      </w:tr>
      <w:tr w14:paraId="6154BB0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651FFC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2CED78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42E31A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B33999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6043.82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597884D" w14:textId="77777777"/>
        </w:tc>
      </w:tr>
      <w:tr w14:paraId="039BCCF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A97D93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E747BA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所得税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5B9893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9D2F0D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1.06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C6ED986" w14:textId="77777777"/>
        </w:tc>
      </w:tr>
      <w:tr w14:paraId="3934C3B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B12C6B2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A5D5F8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增值税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B266EC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C7371C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1111.51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3E09158" w14:textId="77777777"/>
        </w:tc>
      </w:tr>
      <w:tr w14:paraId="35FD2D0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8445EA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1EF0D99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税金及附加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AE9688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75B8A2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317.34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DD02A8C" w14:textId="77777777"/>
        </w:tc>
      </w:tr>
      <w:tr w14:paraId="118E6068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4CB53C3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FD4A9B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纳税总额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C7F4B6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A7CE00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3443.46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3AA265B" w14:textId="77777777"/>
        </w:tc>
      </w:tr>
      <w:tr w14:paraId="2D54A50A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E15261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C63E01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利税总额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E984C4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3B3716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9487.28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6113616" w14:textId="77777777"/>
        </w:tc>
      </w:tr>
      <w:tr w14:paraId="578FB8A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34C293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BD58F0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投资利润率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ADDB36D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6391DE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44.98%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83E42A7" w14:textId="77777777"/>
        </w:tc>
      </w:tr>
      <w:tr w14:paraId="674FB92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FAB395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13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6C4205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投资利税率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D1A747D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AF3BE0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52.96%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3CE95A5" w14:textId="77777777"/>
        </w:tc>
      </w:tr>
    </w:tbl>
    <w:p>
      <w:pPr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00"/>
        <w:gridCol w:w="2000"/>
        <w:gridCol w:w="2000"/>
        <w:gridCol w:w="2000"/>
        <w:gridCol w:w="2000"/>
      </w:tblGrid>
      <w:tr w14:paraId="376608F0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787DE6D3" w14:textId="5D765E23">
            <w:r>
              <w:rPr>
                <w:rFonts w:ascii="仿宋" w:eastAsia="仿宋" w:hAnsi="仿宋"/>
                <w:noProof/>
                <w:sz w:val="20"/>
                <w:szCs w:val="20"/>
              </w:rPr>
              <w:pict>
                <v:shape id="PageShape5" o:spid="_x0000_s1029" type="#_x0000_t202" style="width:500pt;height:5pt;margin-top:787pt;margin-left:0;mso-wrap-style:square;position:absolute;visibility:hidden;z-index:251662336">
                  <v:textbox>
                    <w:txbxContent>
                      <w:p w:rsidR="00BE0A7C" w:rsidRPr="00BE0A7C" w14:paraId="5F0D9FB4" w14:textId="28B4B4A7">
                        <w:pPr>
                          <w:rPr>
                            <w:rFonts w:ascii="黑体" w:eastAsia="黑体"/>
                            <w:sz w:val="24"/>
                          </w:rPr>
                        </w:pPr>
                        <w:r w:rsidRPr="00BE0A7C">
                          <w:rPr>
                            <w:rFonts w:ascii="黑体" w:eastAsia="黑体" w:hint="eastAsia"/>
                            <w:sz w:val="24"/>
                          </w:rPr>
                          <w:t>废纸浆项目可行性分析报告 全文共5页，当前为第5页。</w:t>
                        </w:r>
                      </w:p>
                    </w:txbxContent>
                  </v:textbox>
                </v:shape>
              </w:pict>
            </w:r>
            <w:r w:rsidRPr="00722E63">
              <w:rPr>
                <w:rFonts w:ascii="仿宋" w:eastAsia="仿宋" w:hAnsi="仿宋"/>
                <w:sz w:val="20"/>
                <w:szCs w:val="20"/>
              </w:rPr>
              <w:t>14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10D239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投资回报率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01A2F58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797094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33.74%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84AC4A1" w14:textId="77777777"/>
        </w:tc>
      </w:tr>
      <w:tr w14:paraId="32A34160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071BEB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6AE8964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回收期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0D96E0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060202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4.46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2BE1E74" w14:textId="77777777"/>
        </w:tc>
      </w:tr>
      <w:tr w14:paraId="47C08A37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C0FD5A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16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684DA2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设备数量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1B1427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台（套）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84F893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158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E504053" w14:textId="77777777"/>
        </w:tc>
      </w:tr>
      <w:tr w14:paraId="27F3228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4083468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736A8F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年用电量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6FD4E2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千瓦时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EACAF2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950436.25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1C905DF" w14:textId="77777777"/>
        </w:tc>
      </w:tr>
      <w:tr w14:paraId="674624A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57FE80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6F48E9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年用水量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F0DEB1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立方米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402090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21932.31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D217303" w14:textId="77777777"/>
        </w:tc>
      </w:tr>
      <w:tr w14:paraId="6B95BCE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8F8664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19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C79265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总能耗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EC16C7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D6AF14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118.68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AB77879" w14:textId="77777777"/>
        </w:tc>
      </w:tr>
      <w:tr w14:paraId="652DF71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A7DE3C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A984A1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F5F5DC6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89D53D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21.13%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6A72471" w14:textId="77777777"/>
        </w:tc>
      </w:tr>
      <w:tr w14:paraId="09999093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F6DFB3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94C15A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节能量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6E65305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吨标准煤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D0BD3F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31.55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9D05D56" w14:textId="77777777"/>
        </w:tc>
      </w:tr>
      <w:tr w14:paraId="0D0445E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634C133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8893D0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员工数量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3F81E6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人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0B3008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691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E27195A" w14:textId="77777777"/>
        </w:tc>
      </w:tr>
    </w:tbl>
    <w:p w:rsidR="00BE0A7C" w14:paraId="77FB395C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 xml:space="preserve"> </w:t>
      </w:r>
      <w:r>
        <w:br/>
      </w:r>
    </w:p>
    <w:p w:rsidR="00BE0A7C" w14:paraId="7BD47B53" w14:textId="77777777">
      <w:pPr>
        <w:jc w:val="center"/>
      </w:pPr>
      <w:r>
        <w:rPr>
          <w:rFonts w:ascii="仿宋" w:eastAsia="仿宋" w:hAnsi="仿宋" w:cs="仿宋"/>
          <w:b/>
          <w:bCs/>
          <w:sz w:val="32"/>
          <w:szCs w:val="32"/>
        </w:rPr>
        <w:t>第二章</w:t>
      </w:r>
      <w:r>
        <w:rPr>
          <w:rFonts w:ascii="仿宋" w:eastAsia="仿宋" w:hAnsi="仿宋" w:cs="仿宋"/>
          <w:b/>
          <w:bCs/>
          <w:sz w:val="32"/>
          <w:szCs w:val="32"/>
        </w:rPr>
        <w:t xml:space="preserve">  </w:t>
      </w:r>
      <w:r>
        <w:rPr>
          <w:rFonts w:ascii="仿宋" w:eastAsia="仿宋" w:hAnsi="仿宋" w:cs="仿宋"/>
          <w:b/>
          <w:bCs/>
          <w:sz w:val="32"/>
          <w:szCs w:val="32"/>
        </w:rPr>
        <w:t>项目投资单位</w:t>
      </w:r>
      <w:r>
        <w:br/>
      </w:r>
    </w:p>
    <w:p w:rsidR="00BE0A7C" w14:paraId="218C1790" w14:textId="77777777">
      <w:r>
        <w:rPr>
          <w:rFonts w:ascii="仿宋" w:eastAsia="仿宋" w:hAnsi="仿宋" w:cs="仿宋"/>
          <w:b/>
          <w:bCs/>
          <w:sz w:val="32"/>
          <w:szCs w:val="32"/>
        </w:rPr>
        <w:t>一、项目承办单位基本情况</w:t>
      </w:r>
    </w:p>
    <w:p w:rsidR="00BE0A7C" w14:paraId="1670C542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（一）公司名称</w:t>
      </w:r>
    </w:p>
    <w:p w:rsidR="00BE0A7C" w14:paraId="7F4C3590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投资公司</w:t>
      </w:r>
    </w:p>
    <w:p w:rsidR="00BE0A7C" w14:paraId="29AFC52F" w14:textId="77777777">
      <w:pPr>
        <w:ind w:firstLine="600"/>
      </w:pPr>
      <w:r>
        <w:rPr>
          <w:rFonts w:ascii="仿宋" w:eastAsia="仿宋" w:hAnsi="仿宋" w:cs="仿宋"/>
          <w:b/>
          <w:bCs/>
          <w:sz w:val="30"/>
          <w:szCs w:val="30"/>
        </w:rPr>
        <w:t>（二）公司简介</w:t>
      </w:r>
    </w:p>
    <w:p w:rsidR="00BE0A7C" w14:paraId="572C56E4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公司坚持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以人为本，无为而治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的企业管理理念，以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走正道，负责任，心中有别人</w:t>
      </w:r>
      <w:r>
        <w:rPr>
          <w:rFonts w:ascii="仿宋" w:eastAsia="仿宋" w:hAnsi="仿宋" w:cs="仿宋"/>
          <w:sz w:val="30"/>
          <w:szCs w:val="30"/>
        </w:rPr>
        <w:t>”</w:t>
      </w:r>
      <w:r>
        <w:rPr>
          <w:rFonts w:ascii="仿宋" w:eastAsia="仿宋" w:hAnsi="仿宋" w:cs="仿宋"/>
          <w:sz w:val="30"/>
          <w:szCs w:val="30"/>
        </w:rPr>
        <w:t>的企业文化核心思想为指针，实现新的跨越，创造新的辉煌。热忱欢迎社会各界人士咨询与合作。</w:t>
      </w:r>
    </w:p>
    <w:p w:rsidR="00BE0A7C" w14:paraId="5B0E5938" w14:textId="3783329A">
      <w:pPr>
        <w:ind w:firstLine="600"/>
        <w:sectPr w:rsidSect="00A02F19">
          <w:headerReference w:type="default" r:id="rId9"/>
          <w:type w:val="nextPage"/>
          <w:pgSz w:w="12240" w:h="15840"/>
          <w:pgMar w:top="1800" w:right="1200" w:bottom="1200" w:left="1200" w:header="720" w:footer="720" w:gutter="0"/>
          <w:pgNumType w:start="6"/>
          <w:cols w:space="720"/>
          <w:titlePg w:val="0"/>
          <w:docGrid w:linePitch="360"/>
        </w:sectPr>
      </w:pPr>
      <w:r>
        <w:rPr>
          <w:rFonts w:ascii="仿宋" w:eastAsia="仿宋" w:hAnsi="仿宋" w:cs="仿宋"/>
          <w:noProof/>
          <w:sz w:val="30"/>
          <w:szCs w:val="30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BE0A7C" w:rsidRPr="00BE0A7C" w14:paraId="742A41AD" w14:textId="142679A5">
                  <w:pPr>
                    <w:rPr>
                      <w:rFonts w:ascii="黑体" w:eastAsia="黑体"/>
                      <w:sz w:val="24"/>
                    </w:rPr>
                  </w:pPr>
                  <w:r w:rsidRPr="00BE0A7C">
                    <w:rPr>
                      <w:rFonts w:ascii="黑体" w:eastAsia="黑体" w:hint="eastAsia"/>
                      <w:sz w:val="24"/>
                    </w:rPr>
                    <w:t>废纸浆项目可行性分析报告 全文共6页，当前为第6页。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sz w:val="30"/>
          <w:szCs w:val="30"/>
        </w:rPr>
        <w:t>公司根据市场调研，结合国家产业发展政策，在大力发展相关产业的同时，积极实施以</w:t>
      </w:r>
      <w:r>
        <w:rPr>
          <w:rFonts w:ascii="仿宋" w:eastAsia="仿宋" w:hAnsi="仿宋" w:cs="仿宋"/>
          <w:sz w:val="30"/>
          <w:szCs w:val="30"/>
        </w:rPr>
        <w:t>“</w:t>
      </w:r>
      <w:r>
        <w:rPr>
          <w:rFonts w:ascii="仿宋" w:eastAsia="仿宋" w:hAnsi="仿宋" w:cs="仿宋"/>
          <w:sz w:val="30"/>
          <w:szCs w:val="30"/>
        </w:rPr>
        <w:t>节能降耗、环境保护、清洁生产</w:t>
      </w:r>
      <w:r>
        <w:rPr>
          <w:rFonts w:ascii="仿宋" w:eastAsia="仿宋" w:hAnsi="仿宋" w:cs="仿宋"/>
          <w:sz w:val="30"/>
          <w:szCs w:val="30"/>
        </w:rPr>
        <w:t>”</w:t>
      </w:r>
    </w:p>
    <w:p w:rsidR="00BE0A7C" w14:textId="3783329A">
      <w:pPr>
        <w:ind w:firstLine="600"/>
      </w:pPr>
      <w:r>
        <w:rPr>
          <w:rFonts w:ascii="仿宋" w:eastAsia="仿宋" w:hAnsi="仿宋" w:cs="仿宋"/>
          <w:sz w:val="30"/>
          <w:szCs w:val="30"/>
        </w:rPr>
        <w:t>为重点的技术改造和产品升级换代，取得了较好的经济效益和社会效益；企业将以全国性的销售网络、现代化的物流运作、科学的管理、良好的经济效益、与客户双</w:t>
      </w:r>
      <w:r>
        <w:rPr>
          <w:rFonts w:ascii="仿宋" w:eastAsia="仿宋" w:hAnsi="仿宋" w:cs="仿宋"/>
          <w:sz w:val="30"/>
          <w:szCs w:val="30"/>
        </w:rPr>
        <w:t>赢的经营方针，努力把公司发展成为国内综合实力较强的相关行业领军企业之一。</w:t>
      </w:r>
    </w:p>
    <w:p w:rsidR="00BE0A7C" w14:paraId="5081A4DD" w14:textId="77777777">
      <w:r>
        <w:rPr>
          <w:rFonts w:ascii="仿宋" w:eastAsia="仿宋" w:hAnsi="仿宋" w:cs="仿宋"/>
          <w:b/>
          <w:bCs/>
          <w:sz w:val="32"/>
          <w:szCs w:val="32"/>
        </w:rPr>
        <w:t>二、公司经济效益分析</w:t>
      </w:r>
    </w:p>
    <w:p w:rsidR="00BE0A7C" w14:paraId="189EA53A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上一年度，</w:t>
      </w:r>
      <w:r>
        <w:rPr>
          <w:rFonts w:ascii="仿宋" w:eastAsia="仿宋" w:hAnsi="仿宋" w:cs="仿宋"/>
          <w:sz w:val="30"/>
          <w:szCs w:val="30"/>
        </w:rPr>
        <w:t>xxx</w:t>
      </w:r>
      <w:r>
        <w:rPr>
          <w:rFonts w:ascii="仿宋" w:eastAsia="仿宋" w:hAnsi="仿宋" w:cs="仿宋"/>
          <w:sz w:val="30"/>
          <w:szCs w:val="30"/>
        </w:rPr>
        <w:t>（集团）有限公司实现营业收入</w:t>
      </w:r>
      <w:r>
        <w:rPr>
          <w:rFonts w:ascii="仿宋" w:eastAsia="仿宋" w:hAnsi="仿宋" w:cs="仿宋"/>
          <w:sz w:val="30"/>
          <w:szCs w:val="30"/>
        </w:rPr>
        <w:t>21197.18</w:t>
      </w:r>
      <w:r>
        <w:rPr>
          <w:rFonts w:ascii="仿宋" w:eastAsia="仿宋" w:hAnsi="仿宋" w:cs="仿宋"/>
          <w:sz w:val="30"/>
          <w:szCs w:val="30"/>
        </w:rPr>
        <w:t>万元，同比增长</w:t>
      </w:r>
      <w:r>
        <w:rPr>
          <w:rFonts w:ascii="仿宋" w:eastAsia="仿宋" w:hAnsi="仿宋" w:cs="仿宋"/>
          <w:sz w:val="30"/>
          <w:szCs w:val="30"/>
        </w:rPr>
        <w:t>11.64%</w:t>
      </w:r>
      <w:r>
        <w:rPr>
          <w:rFonts w:ascii="仿宋" w:eastAsia="仿宋" w:hAnsi="仿宋" w:cs="仿宋"/>
          <w:sz w:val="30"/>
          <w:szCs w:val="30"/>
        </w:rPr>
        <w:t>（</w:t>
      </w:r>
      <w:r>
        <w:rPr>
          <w:rFonts w:ascii="仿宋" w:eastAsia="仿宋" w:hAnsi="仿宋" w:cs="仿宋"/>
          <w:sz w:val="30"/>
          <w:szCs w:val="30"/>
        </w:rPr>
        <w:t>2209.83</w:t>
      </w:r>
      <w:r>
        <w:rPr>
          <w:rFonts w:ascii="仿宋" w:eastAsia="仿宋" w:hAnsi="仿宋" w:cs="仿宋"/>
          <w:sz w:val="30"/>
          <w:szCs w:val="30"/>
        </w:rPr>
        <w:t>万元）。其中，主营业业务废纸浆生产及销售收入为</w:t>
      </w:r>
      <w:r>
        <w:rPr>
          <w:rFonts w:ascii="仿宋" w:eastAsia="仿宋" w:hAnsi="仿宋" w:cs="仿宋"/>
          <w:sz w:val="30"/>
          <w:szCs w:val="30"/>
        </w:rPr>
        <w:t>17866.23</w:t>
      </w:r>
      <w:r>
        <w:rPr>
          <w:rFonts w:ascii="仿宋" w:eastAsia="仿宋" w:hAnsi="仿宋" w:cs="仿宋"/>
          <w:sz w:val="30"/>
          <w:szCs w:val="30"/>
        </w:rPr>
        <w:t>万元，占营业总收入的</w:t>
      </w:r>
      <w:r>
        <w:rPr>
          <w:rFonts w:ascii="仿宋" w:eastAsia="仿宋" w:hAnsi="仿宋" w:cs="仿宋"/>
          <w:sz w:val="30"/>
          <w:szCs w:val="30"/>
        </w:rPr>
        <w:t>84.29%</w:t>
      </w:r>
      <w:r>
        <w:rPr>
          <w:rFonts w:ascii="仿宋" w:eastAsia="仿宋" w:hAnsi="仿宋" w:cs="仿宋"/>
          <w:sz w:val="30"/>
          <w:szCs w:val="30"/>
        </w:rPr>
        <w:t>。</w:t>
      </w:r>
    </w:p>
    <w:p w:rsidR="00BE0A7C" w14:paraId="19356DFA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根据初步统计测算，公司实现利润总额</w:t>
      </w:r>
      <w:r>
        <w:rPr>
          <w:rFonts w:ascii="仿宋" w:eastAsia="仿宋" w:hAnsi="仿宋" w:cs="仿宋"/>
          <w:sz w:val="30"/>
          <w:szCs w:val="30"/>
        </w:rPr>
        <w:t>5871.14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433.55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7.97%</w:t>
      </w:r>
      <w:r>
        <w:rPr>
          <w:rFonts w:ascii="仿宋" w:eastAsia="仿宋" w:hAnsi="仿宋" w:cs="仿宋"/>
          <w:sz w:val="30"/>
          <w:szCs w:val="30"/>
        </w:rPr>
        <w:t>；实现净利润</w:t>
      </w:r>
      <w:r>
        <w:rPr>
          <w:rFonts w:ascii="仿宋" w:eastAsia="仿宋" w:hAnsi="仿宋" w:cs="仿宋"/>
          <w:sz w:val="30"/>
          <w:szCs w:val="30"/>
        </w:rPr>
        <w:t>4403.36</w:t>
      </w:r>
      <w:r>
        <w:rPr>
          <w:rFonts w:ascii="仿宋" w:eastAsia="仿宋" w:hAnsi="仿宋" w:cs="仿宋"/>
          <w:sz w:val="30"/>
          <w:szCs w:val="30"/>
        </w:rPr>
        <w:t>万元，较去年同期相比增长</w:t>
      </w:r>
      <w:r>
        <w:rPr>
          <w:rFonts w:ascii="仿宋" w:eastAsia="仿宋" w:hAnsi="仿宋" w:cs="仿宋"/>
          <w:sz w:val="30"/>
          <w:szCs w:val="30"/>
        </w:rPr>
        <w:t>906.27</w:t>
      </w:r>
      <w:r>
        <w:rPr>
          <w:rFonts w:ascii="仿宋" w:eastAsia="仿宋" w:hAnsi="仿宋" w:cs="仿宋"/>
          <w:sz w:val="30"/>
          <w:szCs w:val="30"/>
        </w:rPr>
        <w:t>万元，增长率</w:t>
      </w:r>
      <w:r>
        <w:rPr>
          <w:rFonts w:ascii="仿宋" w:eastAsia="仿宋" w:hAnsi="仿宋" w:cs="仿宋"/>
          <w:sz w:val="30"/>
          <w:szCs w:val="30"/>
        </w:rPr>
        <w:t>25.92%</w:t>
      </w:r>
      <w:r>
        <w:rPr>
          <w:rFonts w:ascii="仿宋" w:eastAsia="仿宋" w:hAnsi="仿宋" w:cs="仿宋"/>
          <w:sz w:val="30"/>
          <w:szCs w:val="30"/>
        </w:rPr>
        <w:t>。</w:t>
      </w:r>
      <w:r>
        <w:br/>
      </w:r>
    </w:p>
    <w:p w:rsidR="00BE0A7C" w14:paraId="31C8C35F" w14:textId="231562B8">
      <w:pPr>
        <w:jc w:val="center"/>
      </w:pPr>
      <w:r>
        <w:rPr>
          <w:rFonts w:ascii="仿宋" w:eastAsia="仿宋" w:hAnsi="仿宋" w:cs="仿宋"/>
          <w:b/>
          <w:bCs/>
          <w:noProof/>
          <w:sz w:val="28"/>
          <w:szCs w:val="28"/>
        </w:rPr>
        <w:pict>
          <v:shape id="PageShape7" o:spid="_x0000_s1031" type="#_x0000_t202" style="width:500pt;height:5pt;margin-top:787pt;margin-left:0;mso-wrap-style:square;position:absolute;visibility:hidden;z-index:251664384">
            <v:textbox>
              <w:txbxContent>
                <w:p w:rsidR="00BE0A7C" w:rsidRPr="00BE0A7C" w14:paraId="69DE0080" w14:textId="04C61289">
                  <w:pPr>
                    <w:rPr>
                      <w:rFonts w:ascii="黑体" w:eastAsia="黑体"/>
                      <w:sz w:val="24"/>
                    </w:rPr>
                  </w:pPr>
                  <w:r w:rsidRPr="00BE0A7C">
                    <w:rPr>
                      <w:rFonts w:ascii="黑体" w:eastAsia="黑体" w:hint="eastAsia"/>
                      <w:sz w:val="24"/>
                    </w:rPr>
                    <w:t>废纸浆项目可行性分析报告 全文共7页，当前为第7页。</w:t>
                  </w:r>
                </w:p>
              </w:txbxContent>
            </v:textbox>
          </v:shape>
        </w:pict>
      </w:r>
      <w:r>
        <w:rPr>
          <w:rFonts w:ascii="仿宋" w:eastAsia="仿宋" w:hAnsi="仿宋" w:cs="仿宋"/>
          <w:b/>
          <w:bCs/>
          <w:sz w:val="28"/>
          <w:szCs w:val="28"/>
        </w:rPr>
        <w:t>上年度主要经济指标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3350"/>
        <w:gridCol w:w="3350"/>
        <w:gridCol w:w="3350"/>
      </w:tblGrid>
      <w:tr w14:paraId="41F5EADB" w14:textId="77777777" w:rsidTr="007F1D13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c>
          <w:tcPr>
            <w:tcW w:w="3350" w:type="dxa"/>
            <w:shd w:val="clear" w:color="auto" w:fill="auto"/>
            <w:vAlign w:val="center"/>
          </w:tcPr>
          <w:p w:rsidR="00BE0A7C" w:rsidRPr="00722E63" w14:paraId="7DFBEC26" w14:textId="77777777">
            <w:r w:rsidRPr="00722E63">
              <w:rPr>
                <w:rFonts w:ascii="仿宋" w:eastAsia="仿宋" w:hAnsi="仿宋"/>
                <w:b/>
              </w:rPr>
              <w:t>项目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E0A7C" w:rsidRPr="00722E63" w14:paraId="449F6970" w14:textId="77777777">
            <w:r w:rsidRPr="00722E63">
              <w:rPr>
                <w:rFonts w:ascii="仿宋" w:eastAsia="仿宋" w:hAnsi="仿宋"/>
                <w:b/>
              </w:rPr>
              <w:t>单位</w:t>
            </w:r>
          </w:p>
        </w:tc>
        <w:tc>
          <w:tcPr>
            <w:tcW w:w="3350" w:type="dxa"/>
            <w:shd w:val="clear" w:color="auto" w:fill="auto"/>
            <w:vAlign w:val="center"/>
          </w:tcPr>
          <w:p w:rsidR="00BE0A7C" w:rsidRPr="00722E63" w14:paraId="329CBC70" w14:textId="77777777">
            <w:pPr>
              <w:jc w:val="center"/>
            </w:pPr>
            <w:r w:rsidRPr="00722E63">
              <w:rPr>
                <w:rFonts w:ascii="仿宋" w:eastAsia="仿宋" w:hAnsi="仿宋"/>
                <w:b/>
              </w:rPr>
              <w:t>指标</w:t>
            </w:r>
          </w:p>
        </w:tc>
      </w:tr>
      <w:tr w14:paraId="64AB22D4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23FA90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完成营业收入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F453B3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DFE024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21197.18</w:t>
            </w:r>
          </w:p>
        </w:tc>
      </w:tr>
      <w:tr w14:paraId="071EB33D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4641D9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完成主营业务收入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FCF3BD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C384E4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17866.23</w:t>
            </w:r>
          </w:p>
        </w:tc>
      </w:tr>
      <w:tr w14:paraId="0C7028C5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FCED14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主营业务收入占比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C403BE7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7471151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84.29%</w:t>
            </w:r>
          </w:p>
        </w:tc>
      </w:tr>
      <w:tr w14:paraId="2ED758D6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45D8C6F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营业收入增长率（同比）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2855AA74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978EADF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11.64%</w:t>
            </w:r>
          </w:p>
        </w:tc>
      </w:tr>
      <w:tr w14:paraId="6DED156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1677CBE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营业收入增长量（同比）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0CD645A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133B886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2209.83</w:t>
            </w:r>
          </w:p>
        </w:tc>
      </w:tr>
      <w:tr w14:paraId="1F6DC9D2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B5C35BE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B867B96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14000DC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5871.14</w:t>
            </w:r>
          </w:p>
        </w:tc>
      </w:tr>
      <w:tr w14:paraId="1BA8D6C9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51E44538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利润总额增长率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D405D92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95276E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7.97%</w:t>
            </w:r>
          </w:p>
        </w:tc>
      </w:tr>
      <w:tr w14:paraId="4E6C117E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3744A67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利润总额增长量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FB263EA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59AFF58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433.55</w:t>
            </w:r>
          </w:p>
        </w:tc>
      </w:tr>
      <w:tr w14:paraId="0A98234C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22E7DE80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344F922B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万元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6BA741E7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4403.36</w:t>
            </w:r>
          </w:p>
        </w:tc>
      </w:tr>
      <w:tr w14:paraId="2946D4DF" w14:textId="77777777" w:rsidTr="007F1D13">
        <w:tblPrEx>
          <w:tblW w:w="0" w:type="auto"/>
          <w:tblLook w:val="04A0"/>
        </w:tblPrEx>
        <w:tc>
          <w:tcPr>
            <w:tcW w:w="0" w:type="dxa"/>
            <w:shd w:val="clear" w:color="auto" w:fill="auto"/>
            <w:vAlign w:val="center"/>
          </w:tcPr>
          <w:p w:rsidR="00BE0A7C" w:rsidRPr="00722E63" w14:paraId="098ECF23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净利润增长率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46AD31DA" w14:textId="77777777"/>
        </w:tc>
        <w:tc>
          <w:tcPr>
            <w:tcW w:w="0" w:type="dxa"/>
            <w:shd w:val="clear" w:color="auto" w:fill="auto"/>
            <w:vAlign w:val="center"/>
          </w:tcPr>
          <w:p w:rsidR="00BE0A7C" w:rsidRPr="00722E63" w14:paraId="7D5E649D" w14:textId="77777777">
            <w:r w:rsidRPr="00722E63">
              <w:rPr>
                <w:rFonts w:ascii="仿宋" w:eastAsia="仿宋" w:hAnsi="仿宋"/>
                <w:sz w:val="20"/>
                <w:szCs w:val="20"/>
              </w:rPr>
              <w:t>25.92%</w:t>
            </w:r>
          </w:p>
        </w:tc>
      </w:tr>
    </w:tbl>
    <w:p>
      <w:r>
        <w:br/>
      </w:r>
      <w:r>
        <w:br/>
      </w:r>
    </w:p>
    <w:p>
      <w:pPr>
        <w:spacing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https://d.book118.com/846152223224010032</w:t>
        </w:r>
      </w:hyperlink>
    </w:p>
    <w:p/>
    <w:sectPr w:rsidSect="00A02F19">
      <w:headerReference w:type="default" r:id="rId11"/>
      <w:type w:val="nextPage"/>
      <w:pgSz w:w="12240" w:h="15840"/>
      <w:pgMar w:top="1800" w:right="1200" w:bottom="1200" w:left="1200" w:header="720" w:footer="720" w:gutter="0"/>
      <w:pgNumType w:start="7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paraId="6CD0BF5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0A7C" w:rsidP="00BE0A7C" w14:textId="6B8102D9">
    <w:pPr>
      <w:jc w:val="center"/>
    </w:pPr>
    <w:r>
      <w:rPr>
        <w:rFonts w:ascii="仿宋" w:eastAsia="仿宋" w:hAnsi="仿宋" w:cs="仿宋" w:hint="eastAsia"/>
        <w:sz w:val="20"/>
        <w:szCs w:val="20"/>
      </w:rPr>
      <w:t>废纸浆项目可行性分析报告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42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722E63"/>
    <w:rsid w:val="00A02F19"/>
    <w:rsid w:val="00A94AF2"/>
    <w:rsid w:val="00BE0A7C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276146"/>
  <w15:docId w15:val="{32D43062-6CDD-4E1A-836C-EEE055B2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E0A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E0A7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E0A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E0A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46152223224010032" TargetMode="External" /><Relationship Id="rId11" Type="http://schemas.openxmlformats.org/officeDocument/2006/relationships/header" Target="header7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9381</Words>
  <Characters>11070</Characters>
  <Application>Microsoft Office Word</Application>
  <DocSecurity>0</DocSecurity>
  <Lines>851</Lines>
  <Paragraphs>929</Paragraphs>
  <ScaleCrop>false</ScaleCrop>
  <Company>officegen</Company>
  <LinksUpToDate>false</LinksUpToDate>
  <CharactersWithSpaces>19522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2024-01-05T09:16:00Z</dcterms:created>
  <dcterms:modified xsi:type="dcterms:W3CDTF">2024-01-05T09:16:00Z</dcterms:modified>
</cp:coreProperties>
</file>