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65" w:lineRule="exact"/>
        <w:ind w:left="8030"/>
        <w:rPr>
          <w:rFonts w:ascii="SimHei" w:eastAsia="SimHei" w:hAnsi="SimHei" w:cs="SimHei"/>
          <w:sz w:val="20"/>
          <w:szCs w:val="20"/>
        </w:rPr>
      </w:pPr>
      <w:r>
        <w:rPr>
          <w:rFonts w:ascii="SimHei" w:eastAsia="SimHei" w:hAnsi="SimHei" w:cs="SimHei"/>
          <w:position w:val="1"/>
          <w:sz w:val="20"/>
          <w:szCs w:val="20"/>
        </w:rPr>
        <w:t>CH</w:t>
      </w:r>
      <w:r>
        <w:rPr>
          <w:rFonts w:ascii="SimHei" w:eastAsia="SimHei" w:hAnsi="SimHei" w:cs="SimHei"/>
          <w:spacing w:val="20"/>
          <w:position w:val="1"/>
          <w:sz w:val="20"/>
          <w:szCs w:val="20"/>
        </w:rPr>
        <w:t>/</w:t>
      </w:r>
      <w:r>
        <w:rPr>
          <w:rFonts w:ascii="SimHei" w:eastAsia="SimHei" w:hAnsi="SimHei" w:cs="SimHei"/>
          <w:position w:val="1"/>
          <w:sz w:val="20"/>
          <w:szCs w:val="20"/>
        </w:rPr>
        <w:t>T</w:t>
      </w:r>
      <w:r>
        <w:rPr>
          <w:rFonts w:ascii="SimHei" w:eastAsia="SimHei" w:hAnsi="SimHei" w:cs="SimHei"/>
          <w:spacing w:val="20"/>
          <w:position w:val="1"/>
          <w:sz w:val="20"/>
          <w:szCs w:val="20"/>
        </w:rPr>
        <w:t xml:space="preserve"> </w:t>
      </w:r>
      <w:r>
        <w:rPr>
          <w:rFonts w:ascii="SimHei" w:eastAsia="SimHei" w:hAnsi="SimHei" w:cs="SimHei"/>
          <w:position w:val="1"/>
          <w:sz w:val="20"/>
          <w:szCs w:val="20"/>
        </w:rPr>
        <w:t>XXXX</w:t>
      </w:r>
      <w:r>
        <w:rPr>
          <w:rFonts w:ascii="SimHei" w:eastAsia="SimHei" w:hAnsi="SimHei" w:cs="SimHei"/>
          <w:spacing w:val="20"/>
          <w:position w:val="1"/>
          <w:sz w:val="20"/>
          <w:szCs w:val="20"/>
        </w:rPr>
        <w:t>-</w:t>
      </w:r>
      <w:r>
        <w:rPr>
          <w:rFonts w:ascii="SimHei" w:eastAsia="SimHei" w:hAnsi="SimHei" w:cs="SimHei"/>
          <w:position w:val="1"/>
          <w:sz w:val="20"/>
          <w:szCs w:val="20"/>
        </w:rPr>
        <w:t>XXXX</w:t>
      </w:r>
    </w:p>
    <w:p>
      <w:pPr>
        <w:spacing w:before="246" w:line="226" w:lineRule="auto"/>
        <w:ind w:left="1885"/>
        <w:outlineLvl w:val="0"/>
        <w:rPr>
          <w:rFonts w:ascii="SimHei" w:eastAsia="SimHei" w:hAnsi="SimHei" w:cs="SimHei"/>
          <w:sz w:val="31"/>
          <w:szCs w:val="31"/>
        </w:rPr>
      </w:pPr>
      <w:r>
        <w:rPr>
          <w:rFonts w:ascii="SimHei" w:eastAsia="SimHei" w:hAnsi="SimHei" w:cs="SimHei"/>
          <w:spacing w:val="8"/>
          <w:sz w:val="31"/>
          <w:szCs w:val="31"/>
        </w:rPr>
        <w:t>高光谱卫星遥感监测土壤有机质技术规范</w:t>
      </w:r>
    </w:p>
    <w:p>
      <w:pPr>
        <w:spacing w:line="465" w:lineRule="auto"/>
        <w:rPr>
          <w:rFonts w:ascii="Arial"/>
          <w:sz w:val="21"/>
        </w:rPr>
      </w:pPr>
    </w:p>
    <w:p>
      <w:pPr>
        <w:spacing w:before="65" w:line="231" w:lineRule="auto"/>
        <w:ind w:left="16"/>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pStyle w:val="BodyText"/>
        <w:spacing w:before="261" w:line="244" w:lineRule="auto"/>
        <w:ind w:left="6" w:right="112" w:firstLine="420"/>
      </w:pPr>
      <w:r>
        <w:rPr>
          <w:spacing w:val="11"/>
        </w:rPr>
        <w:t>本文件确立了高光谱卫星遥感监测土壤有机质的总体要求和监测流程，并规定</w:t>
      </w:r>
      <w:r>
        <w:rPr>
          <w:spacing w:val="10"/>
        </w:rPr>
        <w:t>了资料收集与整理、</w:t>
      </w:r>
      <w:r>
        <w:t xml:space="preserve"> </w:t>
      </w:r>
      <w:r>
        <w:rPr>
          <w:spacing w:val="11"/>
        </w:rPr>
        <w:t>数据获取与预处理、土壤样品采集与有机质测定、模型构建与模型应用、精度</w:t>
      </w:r>
      <w:r>
        <w:rPr>
          <w:spacing w:val="10"/>
        </w:rPr>
        <w:t>验证、成果整理与资料归</w:t>
      </w:r>
      <w:r>
        <w:t xml:space="preserve"> </w:t>
      </w:r>
      <w:r>
        <w:rPr>
          <w:spacing w:val="5"/>
        </w:rPr>
        <w:t>档等内容。</w:t>
      </w:r>
    </w:p>
    <w:p>
      <w:pPr>
        <w:pStyle w:val="BodyText"/>
        <w:spacing w:before="23" w:line="239" w:lineRule="auto"/>
        <w:ind w:left="6" w:right="111" w:firstLine="420"/>
      </w:pPr>
      <w:r>
        <w:rPr>
          <w:spacing w:val="13"/>
        </w:rPr>
        <w:t>本文件适用于空间分辨率不低于30m、包含可见光至短波红外谱段范围高光谱卫</w:t>
      </w:r>
      <w:r>
        <w:rPr>
          <w:spacing w:val="12"/>
        </w:rPr>
        <w:t>星遥感数据的耕地</w:t>
      </w:r>
      <w:r>
        <w:t xml:space="preserve"> </w:t>
      </w:r>
      <w:r>
        <w:rPr>
          <w:spacing w:val="7"/>
        </w:rPr>
        <w:t>土壤有机质监测。</w:t>
      </w:r>
    </w:p>
    <w:p>
      <w:pPr>
        <w:spacing w:before="267" w:line="230" w:lineRule="auto"/>
        <w:ind w:left="3"/>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pStyle w:val="BodyText"/>
        <w:spacing w:before="261" w:line="244" w:lineRule="auto"/>
        <w:ind w:left="3" w:firstLine="428"/>
        <w:jc w:val="both"/>
      </w:pPr>
      <w:r>
        <w:rPr>
          <w:spacing w:val="8"/>
        </w:rPr>
        <w:t>下列文件中的内容通过文中的规范性引用而构成本文件必不可少的条款。其中，注日期的引用文件，</w:t>
      </w:r>
      <w:r>
        <w:rPr>
          <w:spacing w:val="18"/>
        </w:rPr>
        <w:t xml:space="preserve"> </w:t>
      </w:r>
      <w:r>
        <w:rPr>
          <w:spacing w:val="11"/>
        </w:rPr>
        <w:t>仅该日期对应的版本适用于本文件；不注日期的引用文件，其最新版本（包括所有</w:t>
      </w:r>
      <w:r>
        <w:rPr>
          <w:spacing w:val="10"/>
        </w:rPr>
        <w:t>的修改单）适用于本</w:t>
      </w:r>
      <w:r>
        <w:t xml:space="preserve">  </w:t>
      </w:r>
      <w:r>
        <w:rPr>
          <w:spacing w:val="3"/>
        </w:rPr>
        <w:t>文件。</w:t>
      </w:r>
    </w:p>
    <w:p>
      <w:pPr>
        <w:pStyle w:val="BodyText"/>
        <w:spacing w:before="26" w:line="228" w:lineRule="auto"/>
        <w:ind w:left="423"/>
      </w:pPr>
      <w:r>
        <w:t>GB</w:t>
      </w:r>
      <w:r>
        <w:rPr>
          <w:spacing w:val="7"/>
        </w:rPr>
        <w:t>/T 30115—2013  卫星遥感影像植被指数产品规范</w:t>
      </w:r>
    </w:p>
    <w:p>
      <w:pPr>
        <w:pStyle w:val="BodyText"/>
        <w:spacing w:before="24" w:line="228" w:lineRule="auto"/>
        <w:ind w:left="423"/>
      </w:pPr>
      <w:r>
        <w:t>GB</w:t>
      </w:r>
      <w:r>
        <w:rPr>
          <w:spacing w:val="6"/>
        </w:rPr>
        <w:t>/T 41475  1：25 000～1：500</w:t>
      </w:r>
      <w:r>
        <w:rPr>
          <w:spacing w:val="32"/>
        </w:rPr>
        <w:t xml:space="preserve"> </w:t>
      </w:r>
      <w:r>
        <w:rPr>
          <w:spacing w:val="6"/>
        </w:rPr>
        <w:t>000</w:t>
      </w:r>
      <w:r>
        <w:rPr>
          <w:spacing w:val="-39"/>
        </w:rPr>
        <w:t xml:space="preserve"> </w:t>
      </w:r>
      <w:r>
        <w:rPr>
          <w:spacing w:val="6"/>
        </w:rPr>
        <w:t>土壤养分图用色与图例规范</w:t>
      </w:r>
    </w:p>
    <w:p>
      <w:pPr>
        <w:pStyle w:val="BodyText"/>
        <w:spacing w:before="27" w:line="239" w:lineRule="auto"/>
        <w:ind w:left="419" w:right="1578" w:firstLine="4"/>
      </w:pPr>
      <w:r>
        <w:t>CH</w:t>
      </w:r>
      <w:r>
        <w:rPr>
          <w:spacing w:val="7"/>
        </w:rPr>
        <w:t>/T 3019—2018  1：25 000</w:t>
      </w:r>
      <w:r>
        <w:rPr>
          <w:spacing w:val="28"/>
        </w:rPr>
        <w:t xml:space="preserve"> </w:t>
      </w:r>
      <w:r>
        <w:rPr>
          <w:spacing w:val="7"/>
        </w:rPr>
        <w:t>1</w:t>
      </w:r>
      <w:r>
        <w:rPr>
          <w:spacing w:val="6"/>
        </w:rPr>
        <w:t>：50 000</w:t>
      </w:r>
      <w:r>
        <w:rPr>
          <w:spacing w:val="-39"/>
        </w:rPr>
        <w:t xml:space="preserve"> </w:t>
      </w:r>
      <w:r>
        <w:rPr>
          <w:spacing w:val="6"/>
        </w:rPr>
        <w:t>光学遥感测绘卫星影像产品生产技术规范</w:t>
      </w:r>
      <w:r>
        <w:t xml:space="preserve"> </w:t>
      </w:r>
      <w:r>
        <w:t>NY</w:t>
      </w:r>
      <w:r>
        <w:rPr>
          <w:spacing w:val="8"/>
        </w:rPr>
        <w:t>/T 1121.1—2006  土壤检测 第1部分：土壤样品的采集、处理</w:t>
      </w:r>
      <w:r>
        <w:rPr>
          <w:spacing w:val="7"/>
        </w:rPr>
        <w:t>和贮存</w:t>
      </w:r>
    </w:p>
    <w:p>
      <w:pPr>
        <w:pStyle w:val="BodyText"/>
        <w:spacing w:before="27" w:line="227" w:lineRule="auto"/>
        <w:ind w:left="419"/>
      </w:pPr>
      <w:r>
        <w:t>NY</w:t>
      </w:r>
      <w:r>
        <w:rPr>
          <w:spacing w:val="8"/>
        </w:rPr>
        <w:t>/T 1121.6—2006  土壤检测 第</w:t>
      </w:r>
      <w:r>
        <w:rPr>
          <w:spacing w:val="7"/>
        </w:rPr>
        <w:t>6部分：土壤有机质的测定</w:t>
      </w:r>
    </w:p>
    <w:p>
      <w:pPr>
        <w:spacing w:before="265" w:line="231" w:lineRule="auto"/>
        <w:ind w:left="5"/>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pStyle w:val="BodyText"/>
        <w:spacing w:before="264" w:line="227" w:lineRule="auto"/>
        <w:ind w:left="432"/>
        <w:outlineLvl w:val="1"/>
      </w:pPr>
      <w:r>
        <w:rPr>
          <w:spacing w:val="8"/>
        </w:rPr>
        <w:t>下列术语和定义适用于本文件。</w:t>
      </w:r>
    </w:p>
    <w:p>
      <w:pPr>
        <w:spacing w:before="56" w:line="191" w:lineRule="auto"/>
        <w:ind w:left="5"/>
        <w:outlineLvl w:val="1"/>
        <w:rPr>
          <w:rFonts w:ascii="SimHei" w:eastAsia="SimHei" w:hAnsi="SimHei" w:cs="SimHei"/>
          <w:sz w:val="20"/>
          <w:szCs w:val="20"/>
        </w:rPr>
      </w:pPr>
      <w:r>
        <w:rPr>
          <w:rFonts w:ascii="SimHei" w:eastAsia="SimHei" w:hAnsi="SimHei" w:cs="SimHei"/>
          <w:spacing w:val="2"/>
          <w:sz w:val="20"/>
          <w:szCs w:val="20"/>
        </w:rPr>
        <w:t>3.1</w:t>
      </w:r>
    </w:p>
    <w:p>
      <w:pPr>
        <w:spacing w:before="36" w:line="226" w:lineRule="auto"/>
        <w:ind w:left="431"/>
        <w:outlineLvl w:val="1"/>
        <w:rPr>
          <w:rFonts w:ascii="SimHei" w:eastAsia="SimHei" w:hAnsi="SimHei" w:cs="SimHei"/>
          <w:sz w:val="20"/>
          <w:szCs w:val="20"/>
        </w:rPr>
      </w:pPr>
      <w:r>
        <w:rPr>
          <w:rFonts w:ascii="SimHei" w:eastAsia="SimHei" w:hAnsi="SimHei" w:cs="SimHei"/>
          <w:spacing w:val="20"/>
          <w:sz w:val="20"/>
          <w:szCs w:val="20"/>
        </w:rPr>
        <w:t>高光谱卫星遥感</w:t>
      </w:r>
      <w:r>
        <w:rPr>
          <w:rFonts w:ascii="SimHei" w:eastAsia="SimHei" w:hAnsi="SimHei" w:cs="SimHei"/>
          <w:spacing w:val="20"/>
          <w:sz w:val="20"/>
          <w:szCs w:val="20"/>
        </w:rPr>
        <w:t xml:space="preserve">  </w:t>
      </w:r>
      <w:r>
        <w:rPr>
          <w:rFonts w:ascii="SimHei" w:eastAsia="SimHei" w:hAnsi="SimHei" w:cs="SimHei"/>
          <w:sz w:val="20"/>
          <w:szCs w:val="20"/>
        </w:rPr>
        <w:t>hyperspectral</w:t>
      </w:r>
      <w:r>
        <w:rPr>
          <w:rFonts w:ascii="SimHei" w:eastAsia="SimHei" w:hAnsi="SimHei" w:cs="SimHei"/>
          <w:spacing w:val="20"/>
          <w:sz w:val="20"/>
          <w:szCs w:val="20"/>
        </w:rPr>
        <w:t xml:space="preserve"> </w:t>
      </w:r>
      <w:r>
        <w:rPr>
          <w:rFonts w:ascii="SimHei" w:eastAsia="SimHei" w:hAnsi="SimHei" w:cs="SimHei"/>
          <w:sz w:val="20"/>
          <w:szCs w:val="20"/>
        </w:rPr>
        <w:t>satellite</w:t>
      </w:r>
      <w:r>
        <w:rPr>
          <w:rFonts w:ascii="SimHei" w:eastAsia="SimHei" w:hAnsi="SimHei" w:cs="SimHei"/>
          <w:spacing w:val="35"/>
          <w:sz w:val="20"/>
          <w:szCs w:val="20"/>
        </w:rPr>
        <w:t xml:space="preserve"> </w:t>
      </w:r>
      <w:r>
        <w:rPr>
          <w:rFonts w:ascii="SimHei" w:eastAsia="SimHei" w:hAnsi="SimHei" w:cs="SimHei"/>
          <w:sz w:val="20"/>
          <w:szCs w:val="20"/>
        </w:rPr>
        <w:t>remote</w:t>
      </w:r>
      <w:r>
        <w:rPr>
          <w:rFonts w:ascii="SimHei" w:eastAsia="SimHei" w:hAnsi="SimHei" w:cs="SimHei"/>
          <w:spacing w:val="20"/>
          <w:sz w:val="20"/>
          <w:szCs w:val="20"/>
        </w:rPr>
        <w:t xml:space="preserve"> </w:t>
      </w:r>
      <w:r>
        <w:rPr>
          <w:rFonts w:ascii="SimHei" w:eastAsia="SimHei" w:hAnsi="SimHei" w:cs="SimHei"/>
          <w:sz w:val="20"/>
          <w:szCs w:val="20"/>
        </w:rPr>
        <w:t>sensing</w:t>
      </w:r>
    </w:p>
    <w:p>
      <w:pPr>
        <w:pStyle w:val="BodyText"/>
        <w:spacing w:before="26" w:line="239" w:lineRule="auto"/>
        <w:ind w:left="5" w:right="112" w:firstLine="419"/>
        <w:outlineLvl w:val="1"/>
      </w:pPr>
      <w:r>
        <w:rPr>
          <w:spacing w:val="10"/>
        </w:rPr>
        <w:t>在电磁波谱的可见光、近红外等波段范围内，</w:t>
      </w:r>
      <w:r>
        <w:rPr>
          <w:spacing w:val="-60"/>
        </w:rPr>
        <w:t xml:space="preserve"> </w:t>
      </w:r>
      <w:r>
        <w:rPr>
          <w:spacing w:val="10"/>
        </w:rPr>
        <w:t>以人造地球卫星作为遥感平台，利用高光</w:t>
      </w:r>
      <w:r>
        <w:rPr>
          <w:spacing w:val="9"/>
        </w:rPr>
        <w:t>谱分辨率影</w:t>
      </w:r>
      <w:r>
        <w:t xml:space="preserve"> </w:t>
      </w:r>
      <w:r>
        <w:rPr>
          <w:spacing w:val="8"/>
        </w:rPr>
        <w:t>像进行地物目标分析的技术。</w:t>
      </w:r>
    </w:p>
    <w:p>
      <w:pPr>
        <w:spacing w:before="58" w:line="191" w:lineRule="auto"/>
        <w:ind w:left="5"/>
        <w:outlineLvl w:val="1"/>
        <w:rPr>
          <w:rFonts w:ascii="SimHei" w:eastAsia="SimHei" w:hAnsi="SimHei" w:cs="SimHei"/>
          <w:sz w:val="20"/>
          <w:szCs w:val="20"/>
        </w:rPr>
      </w:pPr>
      <w:r>
        <w:rPr>
          <w:rFonts w:ascii="SimHei" w:eastAsia="SimHei" w:hAnsi="SimHei" w:cs="SimHei"/>
          <w:spacing w:val="2"/>
          <w:sz w:val="20"/>
          <w:szCs w:val="20"/>
        </w:rPr>
        <w:t>3.2</w:t>
      </w:r>
    </w:p>
    <w:p>
      <w:pPr>
        <w:spacing w:before="34" w:line="231" w:lineRule="auto"/>
        <w:ind w:left="423"/>
        <w:outlineLvl w:val="1"/>
        <w:rPr>
          <w:rFonts w:ascii="SimHei" w:eastAsia="SimHei" w:hAnsi="SimHei" w:cs="SimHei"/>
          <w:sz w:val="20"/>
          <w:szCs w:val="20"/>
        </w:rPr>
      </w:pPr>
      <w:r>
        <w:rPr>
          <w:rFonts w:ascii="SimHei" w:eastAsia="SimHei" w:hAnsi="SimHei" w:cs="SimHei"/>
          <w:spacing w:val="12"/>
          <w:sz w:val="20"/>
          <w:szCs w:val="20"/>
        </w:rPr>
        <w:t>耕地</w:t>
      </w:r>
      <w:r>
        <w:rPr>
          <w:rFonts w:ascii="SimHei" w:eastAsia="SimHei" w:hAnsi="SimHei" w:cs="SimHei"/>
          <w:spacing w:val="12"/>
          <w:sz w:val="20"/>
          <w:szCs w:val="20"/>
        </w:rPr>
        <w:t xml:space="preserve">  </w:t>
      </w:r>
      <w:r>
        <w:rPr>
          <w:rFonts w:ascii="SimHei" w:eastAsia="SimHei" w:hAnsi="SimHei" w:cs="SimHei"/>
          <w:sz w:val="20"/>
          <w:szCs w:val="20"/>
        </w:rPr>
        <w:t>cultivated</w:t>
      </w:r>
      <w:r>
        <w:rPr>
          <w:rFonts w:ascii="SimHei" w:eastAsia="SimHei" w:hAnsi="SimHei" w:cs="SimHei"/>
          <w:spacing w:val="49"/>
          <w:sz w:val="20"/>
          <w:szCs w:val="20"/>
        </w:rPr>
        <w:t xml:space="preserve"> </w:t>
      </w:r>
      <w:r>
        <w:rPr>
          <w:rFonts w:ascii="SimHei" w:eastAsia="SimHei" w:hAnsi="SimHei" w:cs="SimHei"/>
          <w:sz w:val="20"/>
          <w:szCs w:val="20"/>
        </w:rPr>
        <w:t>land</w:t>
      </w:r>
    </w:p>
    <w:p>
      <w:pPr>
        <w:pStyle w:val="BodyText"/>
        <w:spacing w:before="22" w:line="228" w:lineRule="auto"/>
        <w:ind w:left="425"/>
        <w:outlineLvl w:val="1"/>
      </w:pPr>
      <w:r>
        <w:rPr>
          <w:spacing w:val="7"/>
        </w:rPr>
        <w:t>种植农作物的土地。</w:t>
      </w:r>
    </w:p>
    <w:p>
      <w:pPr>
        <w:spacing w:before="58" w:line="191" w:lineRule="auto"/>
        <w:ind w:left="5"/>
        <w:outlineLvl w:val="1"/>
        <w:rPr>
          <w:rFonts w:ascii="SimHei" w:eastAsia="SimHei" w:hAnsi="SimHei" w:cs="SimHei"/>
          <w:sz w:val="20"/>
          <w:szCs w:val="20"/>
        </w:rPr>
      </w:pPr>
      <w:r>
        <w:rPr>
          <w:rFonts w:ascii="SimHei" w:eastAsia="SimHei" w:hAnsi="SimHei" w:cs="SimHei"/>
          <w:spacing w:val="2"/>
          <w:sz w:val="20"/>
          <w:szCs w:val="20"/>
        </w:rPr>
        <w:t>3.3</w:t>
      </w:r>
    </w:p>
    <w:p>
      <w:pPr>
        <w:spacing w:before="34" w:line="226" w:lineRule="auto"/>
        <w:ind w:left="425"/>
        <w:outlineLvl w:val="1"/>
        <w:rPr>
          <w:rFonts w:ascii="SimHei" w:eastAsia="SimHei" w:hAnsi="SimHei" w:cs="SimHei"/>
          <w:sz w:val="20"/>
          <w:szCs w:val="20"/>
        </w:rPr>
      </w:pPr>
      <w:r>
        <w:rPr>
          <w:rFonts w:ascii="SimHei" w:eastAsia="SimHei" w:hAnsi="SimHei" w:cs="SimHei"/>
          <w:spacing w:val="17"/>
          <w:sz w:val="20"/>
          <w:szCs w:val="20"/>
        </w:rPr>
        <w:t>土壤有机质</w:t>
      </w:r>
      <w:r>
        <w:rPr>
          <w:rFonts w:ascii="SimHei" w:eastAsia="SimHei" w:hAnsi="SimHei" w:cs="SimHei"/>
          <w:spacing w:val="17"/>
          <w:sz w:val="20"/>
          <w:szCs w:val="20"/>
        </w:rPr>
        <w:t xml:space="preserve">  </w:t>
      </w:r>
      <w:r>
        <w:rPr>
          <w:rFonts w:ascii="SimHei" w:eastAsia="SimHei" w:hAnsi="SimHei" w:cs="SimHei"/>
          <w:sz w:val="20"/>
          <w:szCs w:val="20"/>
        </w:rPr>
        <w:t>soil</w:t>
      </w:r>
      <w:r>
        <w:rPr>
          <w:rFonts w:ascii="SimHei" w:eastAsia="SimHei" w:hAnsi="SimHei" w:cs="SimHei"/>
          <w:spacing w:val="17"/>
          <w:sz w:val="20"/>
          <w:szCs w:val="20"/>
        </w:rPr>
        <w:t xml:space="preserve"> </w:t>
      </w:r>
      <w:r>
        <w:rPr>
          <w:rFonts w:ascii="SimHei" w:eastAsia="SimHei" w:hAnsi="SimHei" w:cs="SimHei"/>
          <w:sz w:val="20"/>
          <w:szCs w:val="20"/>
        </w:rPr>
        <w:t>organic</w:t>
      </w:r>
      <w:r>
        <w:rPr>
          <w:rFonts w:ascii="SimHei" w:eastAsia="SimHei" w:hAnsi="SimHei" w:cs="SimHei"/>
          <w:spacing w:val="8"/>
          <w:sz w:val="20"/>
          <w:szCs w:val="20"/>
        </w:rPr>
        <w:t xml:space="preserve"> </w:t>
      </w:r>
      <w:r>
        <w:rPr>
          <w:rFonts w:ascii="SimHei" w:eastAsia="SimHei" w:hAnsi="SimHei" w:cs="SimHei"/>
          <w:sz w:val="20"/>
          <w:szCs w:val="20"/>
        </w:rPr>
        <w:t>matter</w:t>
      </w:r>
    </w:p>
    <w:p>
      <w:pPr>
        <w:pStyle w:val="BodyText"/>
        <w:spacing w:before="26"/>
        <w:ind w:left="4" w:right="112" w:firstLine="421"/>
        <w:outlineLvl w:val="1"/>
      </w:pPr>
      <w:r>
        <w:rPr>
          <w:spacing w:val="11"/>
        </w:rPr>
        <w:t>土壤中形成的和外加入的所有动植物残体不同阶段的各种分解产物和合成产物</w:t>
      </w:r>
      <w:r>
        <w:rPr>
          <w:spacing w:val="10"/>
        </w:rPr>
        <w:t>的总称，包括高度腐</w:t>
      </w:r>
      <w:r>
        <w:t xml:space="preserve"> </w:t>
      </w:r>
      <w:r>
        <w:rPr>
          <w:spacing w:val="9"/>
        </w:rPr>
        <w:t>解的腐殖物质、解剖结构尚可辨认的有机残体和各种微生物体。</w:t>
      </w:r>
    </w:p>
    <w:p>
      <w:pPr>
        <w:pStyle w:val="BodyText"/>
        <w:spacing w:before="25" w:line="221" w:lineRule="auto"/>
        <w:ind w:left="434"/>
        <w:outlineLvl w:val="1"/>
        <w:rPr>
          <w:rFonts w:ascii="Times New Roman" w:eastAsia="Times New Roman" w:hAnsi="Times New Roman" w:cs="Times New Roman"/>
        </w:rPr>
      </w:pPr>
      <w:r>
        <w:rPr>
          <w:rFonts w:ascii="Times New Roman" w:eastAsia="Times New Roman" w:hAnsi="Times New Roman" w:cs="Times New Roman"/>
          <w:spacing w:val="4"/>
        </w:rPr>
        <w:t>[</w:t>
      </w:r>
      <w:r>
        <w:rPr>
          <w:spacing w:val="4"/>
        </w:rPr>
        <w:t>来源：</w:t>
      </w:r>
      <w:r>
        <w:rPr>
          <w:rFonts w:ascii="Times New Roman" w:eastAsia="Times New Roman" w:hAnsi="Times New Roman" w:cs="Times New Roman"/>
        </w:rPr>
        <w:t>GB</w:t>
      </w:r>
      <w:r>
        <w:rPr>
          <w:rFonts w:ascii="Times New Roman" w:eastAsia="Times New Roman" w:hAnsi="Times New Roman" w:cs="Times New Roman"/>
          <w:spacing w:val="4"/>
        </w:rPr>
        <w:t>/T 33469</w:t>
      </w:r>
      <w:r>
        <w:rPr>
          <w:spacing w:val="4"/>
        </w:rPr>
        <w:t>—</w:t>
      </w:r>
      <w:r>
        <w:rPr>
          <w:rFonts w:ascii="Times New Roman" w:eastAsia="Times New Roman" w:hAnsi="Times New Roman" w:cs="Times New Roman"/>
          <w:spacing w:val="4"/>
        </w:rPr>
        <w:t>2016</w:t>
      </w:r>
      <w:r>
        <w:rPr>
          <w:rFonts w:ascii="Times New Roman" w:eastAsia="Times New Roman" w:hAnsi="Times New Roman" w:cs="Times New Roman"/>
          <w:spacing w:val="-20"/>
        </w:rPr>
        <w:t xml:space="preserve"> </w:t>
      </w:r>
      <w:r>
        <w:rPr>
          <w:spacing w:val="4"/>
        </w:rPr>
        <w:t>，</w:t>
      </w:r>
      <w:r>
        <w:rPr>
          <w:rFonts w:ascii="Times New Roman" w:eastAsia="Times New Roman" w:hAnsi="Times New Roman" w:cs="Times New Roman"/>
          <w:spacing w:val="4"/>
        </w:rPr>
        <w:t>3.9]</w:t>
      </w:r>
    </w:p>
    <w:p>
      <w:pPr>
        <w:spacing w:before="274" w:line="229" w:lineRule="auto"/>
        <w:outlineLvl w:val="0"/>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8"/>
          <w:sz w:val="20"/>
          <w:szCs w:val="20"/>
        </w:rPr>
        <w:t xml:space="preserve">  </w:t>
      </w:r>
      <w:r>
        <w:rPr>
          <w:rFonts w:ascii="SimHei" w:eastAsia="SimHei" w:hAnsi="SimHei" w:cs="SimHei"/>
          <w:spacing w:val="6"/>
          <w:sz w:val="20"/>
          <w:szCs w:val="20"/>
        </w:rPr>
        <w:t>缩略语</w:t>
      </w:r>
    </w:p>
    <w:p>
      <w:pPr>
        <w:pStyle w:val="BodyText"/>
        <w:spacing w:before="263" w:line="227" w:lineRule="auto"/>
        <w:ind w:left="432"/>
        <w:sectPr>
          <w:footerReference w:type="default" r:id="rId4"/>
          <w:pgSz w:w="11906" w:h="16839"/>
          <w:pgMar w:top="1406" w:right="1022" w:bottom="1428" w:left="1279" w:header="0" w:footer="1249" w:gutter="0"/>
          <w:cols w:space="708"/>
        </w:sectPr>
      </w:pPr>
      <w:r>
        <w:rPr>
          <w:spacing w:val="7"/>
        </w:rPr>
        <w:t>下列缩略语适用于本文件。</w:t>
      </w:r>
    </w:p>
    <w:p>
      <w:pPr>
        <w:pStyle w:val="BodyText"/>
        <w:spacing w:before="28" w:line="271" w:lineRule="exact"/>
        <w:ind w:left="423"/>
      </w:pPr>
      <w:r>
        <w:rPr>
          <w:position w:val="4"/>
        </w:rPr>
        <w:t>CGCS</w:t>
      </w:r>
      <w:r>
        <w:rPr>
          <w:spacing w:val="12"/>
          <w:position w:val="4"/>
        </w:rPr>
        <w:t>2000：2000国家大地坐标系(</w:t>
      </w:r>
      <w:r>
        <w:rPr>
          <w:position w:val="4"/>
        </w:rPr>
        <w:t>China</w:t>
      </w:r>
      <w:r>
        <w:rPr>
          <w:spacing w:val="12"/>
          <w:position w:val="4"/>
        </w:rPr>
        <w:t xml:space="preserve"> </w:t>
      </w:r>
      <w:r>
        <w:rPr>
          <w:position w:val="4"/>
        </w:rPr>
        <w:t>Geodetic</w:t>
      </w:r>
      <w:r>
        <w:rPr>
          <w:spacing w:val="12"/>
          <w:position w:val="4"/>
        </w:rPr>
        <w:t xml:space="preserve"> </w:t>
      </w:r>
      <w:r>
        <w:rPr>
          <w:position w:val="4"/>
        </w:rPr>
        <w:t>Coordinate</w:t>
      </w:r>
      <w:r>
        <w:rPr>
          <w:spacing w:val="12"/>
          <w:position w:val="4"/>
        </w:rPr>
        <w:t xml:space="preserve"> </w:t>
      </w:r>
      <w:r>
        <w:rPr>
          <w:position w:val="4"/>
        </w:rPr>
        <w:t>System</w:t>
      </w:r>
      <w:r>
        <w:rPr>
          <w:spacing w:val="12"/>
          <w:position w:val="4"/>
        </w:rPr>
        <w:t xml:space="preserve"> 2000)</w:t>
      </w:r>
    </w:p>
    <w:p>
      <w:pPr>
        <w:pStyle w:val="BodyText"/>
        <w:spacing w:line="228" w:lineRule="auto"/>
        <w:ind w:left="423"/>
      </w:pPr>
      <w:r>
        <w:t>CST</w:t>
      </w:r>
      <w:r>
        <w:rPr>
          <w:spacing w:val="15"/>
        </w:rPr>
        <w:t>：中国国家标准时间(</w:t>
      </w:r>
      <w:r>
        <w:t>China</w:t>
      </w:r>
      <w:r>
        <w:rPr>
          <w:spacing w:val="15"/>
        </w:rPr>
        <w:t xml:space="preserve"> </w:t>
      </w:r>
      <w:r>
        <w:t>Standard</w:t>
      </w:r>
      <w:r>
        <w:rPr>
          <w:spacing w:val="15"/>
        </w:rPr>
        <w:t xml:space="preserve"> </w:t>
      </w:r>
      <w:r>
        <w:t>Time</w:t>
      </w:r>
      <w:r>
        <w:rPr>
          <w:spacing w:val="15"/>
        </w:rPr>
        <w:t>)</w:t>
      </w:r>
    </w:p>
    <w:p>
      <w:pPr>
        <w:spacing w:before="266" w:line="231" w:lineRule="auto"/>
        <w:outlineLvl w:val="0"/>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总体要求</w:t>
      </w:r>
    </w:p>
    <w:p>
      <w:pPr>
        <w:spacing w:before="261" w:line="231" w:lineRule="auto"/>
        <w:outlineLvl w:val="1"/>
        <w:rPr>
          <w:rFonts w:ascii="SimHei" w:eastAsia="SimHei" w:hAnsi="SimHei" w:cs="SimHei"/>
          <w:sz w:val="20"/>
          <w:szCs w:val="20"/>
        </w:rPr>
      </w:pPr>
      <w:r>
        <w:rPr>
          <w:rFonts w:ascii="SimHei" w:eastAsia="SimHei" w:hAnsi="SimHei" w:cs="SimHei"/>
          <w:spacing w:val="5"/>
          <w:sz w:val="20"/>
          <w:szCs w:val="20"/>
        </w:rPr>
        <w:t>5.1</w:t>
      </w:r>
      <w:r>
        <w:rPr>
          <w:rFonts w:ascii="SimHei" w:eastAsia="SimHei" w:hAnsi="SimHei" w:cs="SimHei"/>
          <w:spacing w:val="10"/>
          <w:sz w:val="20"/>
          <w:szCs w:val="20"/>
        </w:rPr>
        <w:t xml:space="preserve">  </w:t>
      </w:r>
      <w:r>
        <w:rPr>
          <w:rFonts w:ascii="SimHei" w:eastAsia="SimHei" w:hAnsi="SimHei" w:cs="SimHei"/>
          <w:spacing w:val="5"/>
          <w:sz w:val="20"/>
          <w:szCs w:val="20"/>
        </w:rPr>
        <w:t>空间参考</w:t>
      </w:r>
    </w:p>
    <w:p>
      <w:pPr>
        <w:pStyle w:val="BodyText"/>
        <w:spacing w:before="144" w:line="227" w:lineRule="auto"/>
      </w:pPr>
      <w:r>
        <w:rPr>
          <w:rFonts w:ascii="SimHei" w:eastAsia="SimHei" w:hAnsi="SimHei" w:cs="SimHei"/>
          <w:spacing w:val="8"/>
        </w:rPr>
        <w:t>5.1.1</w:t>
      </w:r>
      <w:r>
        <w:rPr>
          <w:rFonts w:ascii="SimHei" w:eastAsia="SimHei" w:hAnsi="SimHei" w:cs="SimHei"/>
          <w:spacing w:val="8"/>
        </w:rPr>
        <w:t xml:space="preserve">  </w:t>
      </w:r>
      <w:r>
        <w:rPr>
          <w:spacing w:val="8"/>
        </w:rPr>
        <w:t>坐标系应采用</w:t>
      </w:r>
      <w:r>
        <w:rPr>
          <w:spacing w:val="-29"/>
        </w:rPr>
        <w:t xml:space="preserve"> </w:t>
      </w:r>
      <w:r>
        <w:t>CGCS</w:t>
      </w:r>
      <w:r>
        <w:rPr>
          <w:spacing w:val="8"/>
        </w:rPr>
        <w:t>2000。必要时，可采用经批准的其他坐标系。</w:t>
      </w:r>
    </w:p>
    <w:p>
      <w:pPr>
        <w:pStyle w:val="BodyText"/>
        <w:spacing w:before="25" w:line="227" w:lineRule="auto"/>
      </w:pPr>
      <w:r>
        <w:rPr>
          <w:rFonts w:ascii="SimHei" w:eastAsia="SimHei" w:hAnsi="SimHei" w:cs="SimHei"/>
          <w:spacing w:val="9"/>
        </w:rPr>
        <w:t>5.1.2</w:t>
      </w:r>
      <w:r>
        <w:rPr>
          <w:rFonts w:ascii="SimHei" w:eastAsia="SimHei" w:hAnsi="SimHei" w:cs="SimHei"/>
          <w:spacing w:val="9"/>
        </w:rPr>
        <w:t xml:space="preserve">  </w:t>
      </w:r>
      <w:r>
        <w:rPr>
          <w:spacing w:val="9"/>
        </w:rPr>
        <w:t>高程基准宜采用</w:t>
      </w:r>
      <w:r>
        <w:rPr>
          <w:spacing w:val="-24"/>
        </w:rPr>
        <w:t xml:space="preserve"> </w:t>
      </w:r>
      <w:r>
        <w:rPr>
          <w:spacing w:val="9"/>
        </w:rPr>
        <w:t>1985</w:t>
      </w:r>
      <w:r>
        <w:rPr>
          <w:spacing w:val="-18"/>
        </w:rPr>
        <w:t xml:space="preserve"> </w:t>
      </w:r>
      <w:r>
        <w:rPr>
          <w:spacing w:val="9"/>
        </w:rPr>
        <w:t>国家高程基准。若无法实现，</w:t>
      </w:r>
      <w:r>
        <w:rPr>
          <w:spacing w:val="8"/>
        </w:rPr>
        <w:t>可采用数据源的高程基准或已公开的其他高</w:t>
      </w:r>
    </w:p>
    <w:p>
      <w:pPr>
        <w:spacing w:line="227" w:lineRule="auto"/>
        <w:sectPr>
          <w:footerReference w:type="default" r:id="rId5"/>
          <w:type w:val="nextPage"/>
          <w:pgSz w:w="11906" w:h="16839"/>
          <w:pgMar w:top="1406" w:right="1022" w:bottom="1428" w:left="1279" w:header="0" w:footer="1249" w:gutter="0"/>
          <w:pgNumType w:start="2"/>
          <w:cols w:space="708"/>
          <w:titlePg w:val="0"/>
        </w:sectPr>
      </w:pPr>
    </w:p>
    <w:p>
      <w:pPr>
        <w:spacing w:before="122" w:line="349" w:lineRule="exact"/>
        <w:ind w:left="5"/>
        <w:rPr>
          <w:rFonts w:ascii="Calibri" w:eastAsia="Calibri" w:hAnsi="Calibri" w:cs="Calibri"/>
          <w:sz w:val="18"/>
          <w:szCs w:val="18"/>
        </w:rPr>
      </w:pPr>
      <w:r>
        <w:rPr>
          <w:rFonts w:ascii="Calibri" w:eastAsia="Calibri" w:hAnsi="Calibri" w:cs="Calibri"/>
          <w:spacing w:val="-1"/>
          <w:position w:val="11"/>
          <w:sz w:val="18"/>
          <w:szCs w:val="18"/>
        </w:rPr>
        <w:t>CH/T XXXX-XXXX</w:t>
      </w:r>
    </w:p>
    <w:p>
      <w:pPr>
        <w:pStyle w:val="BodyText"/>
        <w:spacing w:line="228" w:lineRule="auto"/>
        <w:ind w:left="3"/>
      </w:pPr>
      <w:r>
        <w:rPr>
          <w:spacing w:val="5"/>
        </w:rPr>
        <w:t>程基准。</w:t>
      </w:r>
    </w:p>
    <w:p>
      <w:pPr>
        <w:spacing w:before="144" w:line="229" w:lineRule="auto"/>
        <w:outlineLvl w:val="1"/>
        <w:rPr>
          <w:rFonts w:ascii="SimHei" w:eastAsia="SimHei" w:hAnsi="SimHei" w:cs="SimHei"/>
          <w:sz w:val="20"/>
          <w:szCs w:val="20"/>
        </w:rPr>
      </w:pPr>
      <w:r>
        <w:rPr>
          <w:rFonts w:ascii="SimHei" w:eastAsia="SimHei" w:hAnsi="SimHei" w:cs="SimHei"/>
          <w:spacing w:val="4"/>
          <w:sz w:val="20"/>
          <w:szCs w:val="20"/>
        </w:rPr>
        <w:t>5.2</w:t>
      </w:r>
      <w:r>
        <w:rPr>
          <w:rFonts w:ascii="SimHei" w:eastAsia="SimHei" w:hAnsi="SimHei" w:cs="SimHei"/>
          <w:spacing w:val="15"/>
          <w:sz w:val="20"/>
          <w:szCs w:val="20"/>
        </w:rPr>
        <w:t xml:space="preserve">  </w:t>
      </w:r>
      <w:r>
        <w:rPr>
          <w:rFonts w:ascii="SimHei" w:eastAsia="SimHei" w:hAnsi="SimHei" w:cs="SimHei"/>
          <w:spacing w:val="4"/>
          <w:sz w:val="20"/>
          <w:szCs w:val="20"/>
        </w:rPr>
        <w:t>时间系统</w:t>
      </w:r>
    </w:p>
    <w:p>
      <w:pPr>
        <w:pStyle w:val="BodyText"/>
        <w:spacing w:before="145" w:line="227" w:lineRule="auto"/>
        <w:ind w:left="423"/>
      </w:pPr>
      <w:r>
        <w:rPr>
          <w:spacing w:val="9"/>
        </w:rPr>
        <w:t>采用</w:t>
      </w:r>
      <w:r>
        <w:t>CST</w:t>
      </w:r>
      <w:r>
        <w:rPr>
          <w:spacing w:val="9"/>
        </w:rPr>
        <w:t>。</w:t>
      </w:r>
    </w:p>
    <w:p>
      <w:pPr>
        <w:spacing w:before="145" w:line="231" w:lineRule="auto"/>
        <w:outlineLvl w:val="1"/>
        <w:rPr>
          <w:rFonts w:ascii="SimHei" w:eastAsia="SimHei" w:hAnsi="SimHei" w:cs="SimHei"/>
          <w:sz w:val="20"/>
          <w:szCs w:val="20"/>
        </w:rPr>
      </w:pPr>
      <w:r>
        <w:rPr>
          <w:rFonts w:ascii="SimHei" w:eastAsia="SimHei" w:hAnsi="SimHei" w:cs="SimHei"/>
          <w:spacing w:val="6"/>
          <w:sz w:val="20"/>
          <w:szCs w:val="20"/>
        </w:rPr>
        <w:t>5.3</w:t>
      </w:r>
      <w:r>
        <w:rPr>
          <w:rFonts w:ascii="SimHei" w:eastAsia="SimHei" w:hAnsi="SimHei" w:cs="SimHei"/>
          <w:spacing w:val="6"/>
          <w:sz w:val="20"/>
          <w:szCs w:val="20"/>
        </w:rPr>
        <w:t xml:space="preserve">  </w:t>
      </w:r>
      <w:r>
        <w:rPr>
          <w:rFonts w:ascii="SimHei" w:eastAsia="SimHei" w:hAnsi="SimHei" w:cs="SimHei"/>
          <w:spacing w:val="6"/>
          <w:sz w:val="20"/>
          <w:szCs w:val="20"/>
        </w:rPr>
        <w:t>监测时间</w:t>
      </w:r>
    </w:p>
    <w:p>
      <w:pPr>
        <w:pStyle w:val="BodyText"/>
        <w:spacing w:before="142" w:line="239" w:lineRule="auto"/>
        <w:ind w:left="4" w:firstLine="420"/>
      </w:pPr>
      <w:r>
        <w:rPr>
          <w:spacing w:val="11"/>
        </w:rPr>
        <w:t>应根据农作物物候期、当地农事等因素，选择最佳的遥感监测时间。一般应选</w:t>
      </w:r>
      <w:r>
        <w:rPr>
          <w:spacing w:val="10"/>
        </w:rPr>
        <w:t>择耕地翻耕后实施水</w:t>
      </w:r>
      <w:r>
        <w:t xml:space="preserve"> </w:t>
      </w:r>
      <w:r>
        <w:rPr>
          <w:spacing w:val="9"/>
        </w:rPr>
        <w:t>肥措施前或作物收割后，土壤裸露且状态较为稳定的时间段。</w:t>
      </w:r>
    </w:p>
    <w:p>
      <w:pPr>
        <w:spacing w:before="268" w:line="229" w:lineRule="auto"/>
        <w:ind w:left="3"/>
        <w:outlineLvl w:val="0"/>
        <w:rPr>
          <w:rFonts w:ascii="SimHei" w:eastAsia="SimHei" w:hAnsi="SimHei" w:cs="SimHei"/>
          <w:sz w:val="20"/>
          <w:szCs w:val="20"/>
        </w:rPr>
      </w:pPr>
      <w:r>
        <w:rPr>
          <w:rFonts w:ascii="SimHei" w:eastAsia="SimHei" w:hAnsi="SimHei" w:cs="SimHei"/>
          <w:spacing w:val="4"/>
          <w:sz w:val="20"/>
          <w:szCs w:val="20"/>
        </w:rPr>
        <w:t>6</w:t>
      </w:r>
      <w:r>
        <w:rPr>
          <w:rFonts w:ascii="SimHei" w:eastAsia="SimHei" w:hAnsi="SimHei" w:cs="SimHei"/>
          <w:spacing w:val="13"/>
          <w:sz w:val="20"/>
          <w:szCs w:val="20"/>
        </w:rPr>
        <w:t xml:space="preserve">  </w:t>
      </w:r>
      <w:r>
        <w:rPr>
          <w:rFonts w:ascii="SimHei" w:eastAsia="SimHei" w:hAnsi="SimHei" w:cs="SimHei"/>
          <w:spacing w:val="4"/>
          <w:sz w:val="20"/>
          <w:szCs w:val="20"/>
        </w:rPr>
        <w:t>总体流程</w:t>
      </w:r>
    </w:p>
    <w:p>
      <w:pPr>
        <w:pStyle w:val="BodyText"/>
        <w:spacing w:before="262"/>
        <w:ind w:left="21" w:firstLine="408"/>
      </w:pPr>
      <w:r>
        <w:rPr>
          <w:spacing w:val="11"/>
        </w:rPr>
        <w:t>高光谱卫星遥感监测土壤有机质的流程主要包括资料收集与整理、</w:t>
      </w:r>
      <w:r>
        <w:rPr>
          <w:spacing w:val="10"/>
        </w:rPr>
        <w:t>遥感数据获取与预处理、土壤样</w:t>
      </w:r>
      <w:r>
        <w:t xml:space="preserve"> </w:t>
      </w:r>
      <w:r>
        <w:rPr>
          <w:spacing w:val="10"/>
        </w:rPr>
        <w:t>品采集与有机质测定、模型构建与模型应用、成果整理等，高光谱卫星遥感监测土壤有机质技术流程见</w:t>
      </w:r>
    </w:p>
    <w:p>
      <w:pPr>
        <w:pStyle w:val="BodyText"/>
        <w:spacing w:before="25" w:line="229" w:lineRule="auto"/>
        <w:ind w:left="25"/>
      </w:pPr>
      <w:r>
        <w:rPr>
          <w:spacing w:val="-5"/>
        </w:rPr>
        <w:t>图1。</w:t>
      </w:r>
    </w:p>
    <w:p>
      <w:pPr>
        <w:spacing w:line="369" w:lineRule="auto"/>
        <w:rPr>
          <w:rFonts w:ascii="Arial"/>
          <w:sz w:val="21"/>
        </w:rPr>
      </w:pPr>
    </w:p>
    <w:p>
      <w:pPr>
        <w:spacing w:line="8781" w:lineRule="exact"/>
        <w:ind w:firstLine="1959"/>
        <w:sectPr>
          <w:footerReference w:type="default" r:id="rId6"/>
          <w:pgSz w:w="11906" w:h="16839"/>
          <w:pgMar w:top="1431" w:right="1420" w:bottom="1308" w:left="994" w:header="0" w:footer="1129" w:gutter="0"/>
          <w:pgNumType w:start="3"/>
          <w:cols w:space="708"/>
        </w:sectPr>
      </w:pPr>
      <w:r>
        <w:rPr>
          <w:position w:val="-175"/>
        </w:rPr>
        <w:drawing>
          <wp:inline distT="0" distB="0" distL="0" distR="0">
            <wp:extent cx="3754754" cy="557534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3754754" cy="5575347"/>
                    </a:xfrm>
                    <a:prstGeom prst="rect">
                      <a:avLst/>
                    </a:prstGeom>
                  </pic:spPr>
                </pic:pic>
              </a:graphicData>
            </a:graphic>
          </wp:inline>
        </w:drawing>
      </w:r>
    </w:p>
    <w:p>
      <w:pPr>
        <w:spacing w:line="444" w:lineRule="auto"/>
        <w:rPr>
          <w:rFonts w:ascii="Arial"/>
          <w:sz w:val="21"/>
        </w:rPr>
      </w:pPr>
    </w:p>
    <w:p>
      <w:pPr>
        <w:spacing w:before="65" w:line="229" w:lineRule="auto"/>
        <w:ind w:left="2796"/>
        <w:rPr>
          <w:rFonts w:ascii="SimHei" w:eastAsia="SimHei" w:hAnsi="SimHei" w:cs="SimHei"/>
          <w:sz w:val="20"/>
          <w:szCs w:val="20"/>
        </w:rPr>
      </w:pPr>
      <w:r>
        <w:rPr>
          <w:rFonts w:ascii="SimHei" w:eastAsia="SimHei" w:hAnsi="SimHei" w:cs="SimHei"/>
          <w:spacing w:val="7"/>
          <w:sz w:val="20"/>
          <w:szCs w:val="20"/>
        </w:rPr>
        <w:t>图</w:t>
      </w:r>
      <w:r>
        <w:rPr>
          <w:rFonts w:ascii="SimHei" w:eastAsia="SimHei" w:hAnsi="SimHei" w:cs="SimHei"/>
          <w:spacing w:val="-20"/>
          <w:sz w:val="20"/>
          <w:szCs w:val="20"/>
        </w:rPr>
        <w:t xml:space="preserve"> </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高光谱卫星遥感监测土壤有机质技术流程</w:t>
      </w:r>
    </w:p>
    <w:p>
      <w:pPr>
        <w:spacing w:line="229" w:lineRule="auto"/>
        <w:rPr>
          <w:rFonts w:ascii="SimHei" w:eastAsia="SimHei" w:hAnsi="SimHei" w:cs="SimHei"/>
          <w:sz w:val="20"/>
          <w:szCs w:val="20"/>
        </w:rPr>
        <w:sectPr>
          <w:footerReference w:type="default" r:id="rId8"/>
          <w:type w:val="nextPage"/>
          <w:pgSz w:w="11906" w:h="16839"/>
          <w:pgMar w:top="1431" w:right="1420" w:bottom="1308" w:left="994" w:header="0" w:footer="1129" w:gutter="0"/>
          <w:pgNumType w:start="4"/>
          <w:cols w:space="708"/>
          <w:titlePg w:val="0"/>
        </w:sectPr>
      </w:pPr>
    </w:p>
    <w:p>
      <w:pPr>
        <w:spacing w:before="42" w:line="265" w:lineRule="exact"/>
        <w:jc w:val="right"/>
        <w:rPr>
          <w:rFonts w:ascii="SimHei" w:eastAsia="SimHei" w:hAnsi="SimHei" w:cs="SimHei"/>
          <w:sz w:val="20"/>
          <w:szCs w:val="20"/>
        </w:rPr>
      </w:pPr>
      <w:r>
        <w:rPr>
          <w:rFonts w:ascii="SimHei" w:eastAsia="SimHei" w:hAnsi="SimHei" w:cs="SimHei"/>
          <w:position w:val="1"/>
          <w:sz w:val="20"/>
          <w:szCs w:val="20"/>
        </w:rPr>
        <w:t>CH</w:t>
      </w:r>
      <w:r>
        <w:rPr>
          <w:rFonts w:ascii="SimHei" w:eastAsia="SimHei" w:hAnsi="SimHei" w:cs="SimHei"/>
          <w:spacing w:val="20"/>
          <w:position w:val="1"/>
          <w:sz w:val="20"/>
          <w:szCs w:val="20"/>
        </w:rPr>
        <w:t>/</w:t>
      </w:r>
      <w:r>
        <w:rPr>
          <w:rFonts w:ascii="SimHei" w:eastAsia="SimHei" w:hAnsi="SimHei" w:cs="SimHei"/>
          <w:position w:val="1"/>
          <w:sz w:val="20"/>
          <w:szCs w:val="20"/>
        </w:rPr>
        <w:t>T</w:t>
      </w:r>
      <w:r>
        <w:rPr>
          <w:rFonts w:ascii="SimHei" w:eastAsia="SimHei" w:hAnsi="SimHei" w:cs="SimHei"/>
          <w:spacing w:val="20"/>
          <w:position w:val="1"/>
          <w:sz w:val="20"/>
          <w:szCs w:val="20"/>
        </w:rPr>
        <w:t xml:space="preserve"> </w:t>
      </w:r>
      <w:r>
        <w:rPr>
          <w:rFonts w:ascii="SimHei" w:eastAsia="SimHei" w:hAnsi="SimHei" w:cs="SimHei"/>
          <w:position w:val="1"/>
          <w:sz w:val="20"/>
          <w:szCs w:val="20"/>
        </w:rPr>
        <w:t>XXXX</w:t>
      </w:r>
      <w:r>
        <w:rPr>
          <w:rFonts w:ascii="SimHei" w:eastAsia="SimHei" w:hAnsi="SimHei" w:cs="SimHei"/>
          <w:spacing w:val="20"/>
          <w:position w:val="1"/>
          <w:sz w:val="20"/>
          <w:szCs w:val="20"/>
        </w:rPr>
        <w:t>-</w:t>
      </w:r>
      <w:r>
        <w:rPr>
          <w:rFonts w:ascii="SimHei" w:eastAsia="SimHei" w:hAnsi="SimHei" w:cs="SimHei"/>
          <w:position w:val="1"/>
          <w:sz w:val="20"/>
          <w:szCs w:val="20"/>
        </w:rPr>
        <w:t>XXXX</w:t>
      </w:r>
    </w:p>
    <w:p>
      <w:pPr>
        <w:spacing w:before="188" w:line="230" w:lineRule="auto"/>
        <w:ind w:left="3"/>
        <w:outlineLvl w:val="0"/>
        <w:rPr>
          <w:rFonts w:ascii="SimHei" w:eastAsia="SimHei" w:hAnsi="SimHei" w:cs="SimHei"/>
          <w:sz w:val="20"/>
          <w:szCs w:val="20"/>
        </w:rPr>
      </w:pPr>
      <w:r>
        <w:rPr>
          <w:rFonts w:ascii="SimHei" w:eastAsia="SimHei" w:hAnsi="SimHei" w:cs="SimHei"/>
          <w:spacing w:val="6"/>
          <w:sz w:val="20"/>
          <w:szCs w:val="20"/>
        </w:rPr>
        <w:t>7</w:t>
      </w:r>
      <w:r>
        <w:rPr>
          <w:rFonts w:ascii="SimHei" w:eastAsia="SimHei" w:hAnsi="SimHei" w:cs="SimHei"/>
          <w:spacing w:val="12"/>
          <w:sz w:val="20"/>
          <w:szCs w:val="20"/>
        </w:rPr>
        <w:t xml:space="preserve">  </w:t>
      </w:r>
      <w:r>
        <w:rPr>
          <w:rFonts w:ascii="SimHei" w:eastAsia="SimHei" w:hAnsi="SimHei" w:cs="SimHei"/>
          <w:spacing w:val="6"/>
          <w:sz w:val="20"/>
          <w:szCs w:val="20"/>
        </w:rPr>
        <w:t>资料收集与整理</w:t>
      </w:r>
    </w:p>
    <w:p>
      <w:pPr>
        <w:spacing w:before="262" w:line="230" w:lineRule="auto"/>
        <w:ind w:left="3"/>
        <w:outlineLvl w:val="1"/>
        <w:rPr>
          <w:rFonts w:ascii="SimHei" w:eastAsia="SimHei" w:hAnsi="SimHei" w:cs="SimHei"/>
          <w:sz w:val="20"/>
          <w:szCs w:val="20"/>
        </w:rPr>
      </w:pPr>
      <w:r>
        <w:rPr>
          <w:rFonts w:ascii="SimHei" w:eastAsia="SimHei" w:hAnsi="SimHei" w:cs="SimHei"/>
          <w:spacing w:val="4"/>
          <w:sz w:val="20"/>
          <w:szCs w:val="20"/>
        </w:rPr>
        <w:t>7.1</w:t>
      </w:r>
      <w:r>
        <w:rPr>
          <w:rFonts w:ascii="SimHei" w:eastAsia="SimHei" w:hAnsi="SimHei" w:cs="SimHei"/>
          <w:spacing w:val="11"/>
          <w:sz w:val="20"/>
          <w:szCs w:val="20"/>
        </w:rPr>
        <w:t xml:space="preserve">  </w:t>
      </w:r>
      <w:r>
        <w:rPr>
          <w:rFonts w:ascii="SimHei" w:eastAsia="SimHei" w:hAnsi="SimHei" w:cs="SimHei"/>
          <w:spacing w:val="4"/>
          <w:sz w:val="20"/>
          <w:szCs w:val="20"/>
        </w:rPr>
        <w:t>资料收集</w:t>
      </w:r>
    </w:p>
    <w:p>
      <w:pPr>
        <w:pStyle w:val="BodyText"/>
        <w:spacing w:before="144" w:line="227" w:lineRule="auto"/>
        <w:ind w:left="431"/>
      </w:pPr>
      <w:r>
        <w:rPr>
          <w:spacing w:val="9"/>
        </w:rPr>
        <w:t>资料收集时间上宜从新到老，比例尺应从大到小。应收集以下资料：</w:t>
      </w:r>
    </w:p>
    <w:p>
      <w:pPr>
        <w:pStyle w:val="BodyText"/>
        <w:spacing w:before="25" w:line="227" w:lineRule="auto"/>
        <w:ind w:left="423"/>
      </w:pPr>
      <w:r>
        <w:rPr>
          <w:spacing w:val="9"/>
        </w:rPr>
        <w:t>a)  土壤类型分布图、土壤类型数据库、土壤类型调查数据等土</w:t>
      </w:r>
      <w:r>
        <w:rPr>
          <w:spacing w:val="8"/>
        </w:rPr>
        <w:t>壤类型资料；</w:t>
      </w:r>
    </w:p>
    <w:p>
      <w:pPr>
        <w:pStyle w:val="BodyText"/>
        <w:spacing w:before="26" w:line="239" w:lineRule="auto"/>
        <w:ind w:left="426" w:right="1571" w:hanging="7"/>
      </w:pPr>
      <w:r>
        <w:rPr>
          <w:spacing w:val="8"/>
        </w:rPr>
        <w:t>b)  通过遥感解译、野外调查等方式获取的土地利用、地表覆盖或耕</w:t>
      </w:r>
      <w:r>
        <w:rPr>
          <w:spacing w:val="7"/>
        </w:rPr>
        <w:t>地分布资料；</w:t>
      </w:r>
      <w:r>
        <w:t xml:space="preserve"> </w:t>
      </w:r>
      <w:r>
        <w:rPr>
          <w:spacing w:val="9"/>
        </w:rPr>
        <w:t>c)  区域内长期定位观测站点的土壤调查数据及图</w:t>
      </w:r>
      <w:r>
        <w:rPr>
          <w:spacing w:val="8"/>
        </w:rPr>
        <w:t>件等土壤参量分布资料；</w:t>
      </w:r>
    </w:p>
    <w:p>
      <w:pPr>
        <w:pStyle w:val="BodyText"/>
        <w:spacing w:before="28" w:line="271" w:lineRule="exact"/>
        <w:ind w:left="426"/>
      </w:pPr>
      <w:r>
        <w:rPr>
          <w:spacing w:val="7"/>
          <w:position w:val="4"/>
        </w:rPr>
        <w:t>d)  数字高程模型（</w:t>
      </w:r>
      <w:r>
        <w:rPr>
          <w:position w:val="4"/>
        </w:rPr>
        <w:t>DEM</w:t>
      </w:r>
      <w:r>
        <w:rPr>
          <w:spacing w:val="7"/>
          <w:position w:val="4"/>
        </w:rPr>
        <w:t>）数据；</w:t>
      </w:r>
    </w:p>
    <w:p>
      <w:pPr>
        <w:pStyle w:val="BodyText"/>
        <w:spacing w:before="1" w:line="227" w:lineRule="auto"/>
        <w:ind w:left="427"/>
      </w:pPr>
      <w:r>
        <w:rPr>
          <w:spacing w:val="5"/>
        </w:rPr>
        <w:t>e)  行政区划数据。</w:t>
      </w:r>
    </w:p>
    <w:p>
      <w:pPr>
        <w:spacing w:before="147" w:line="230" w:lineRule="auto"/>
        <w:ind w:left="3"/>
        <w:outlineLvl w:val="1"/>
        <w:rPr>
          <w:rFonts w:ascii="SimHei" w:eastAsia="SimHei" w:hAnsi="SimHei" w:cs="SimHei"/>
          <w:sz w:val="20"/>
          <w:szCs w:val="20"/>
        </w:rPr>
      </w:pPr>
      <w:r>
        <w:rPr>
          <w:rFonts w:ascii="SimHei" w:eastAsia="SimHei" w:hAnsi="SimHei" w:cs="SimHei"/>
          <w:spacing w:val="4"/>
          <w:sz w:val="20"/>
          <w:szCs w:val="20"/>
        </w:rPr>
        <w:t>7.2</w:t>
      </w:r>
      <w:r>
        <w:rPr>
          <w:rFonts w:ascii="SimHei" w:eastAsia="SimHei" w:hAnsi="SimHei" w:cs="SimHei"/>
          <w:spacing w:val="11"/>
          <w:sz w:val="20"/>
          <w:szCs w:val="20"/>
        </w:rPr>
        <w:t xml:space="preserve">  </w:t>
      </w:r>
      <w:r>
        <w:rPr>
          <w:rFonts w:ascii="SimHei" w:eastAsia="SimHei" w:hAnsi="SimHei" w:cs="SimHei"/>
          <w:spacing w:val="4"/>
          <w:sz w:val="20"/>
          <w:szCs w:val="20"/>
        </w:rPr>
        <w:t>资料整理</w:t>
      </w:r>
    </w:p>
    <w:p>
      <w:pPr>
        <w:pStyle w:val="BodyText"/>
        <w:spacing w:before="142" w:line="228" w:lineRule="auto"/>
        <w:ind w:left="431"/>
      </w:pPr>
      <w:r>
        <w:rPr>
          <w:spacing w:val="6"/>
        </w:rPr>
        <w:t>资料整理要求如下：</w:t>
      </w:r>
    </w:p>
    <w:p>
      <w:pPr>
        <w:pStyle w:val="BodyText"/>
        <w:spacing w:before="27" w:line="238" w:lineRule="auto"/>
        <w:ind w:left="844" w:right="1" w:hanging="421"/>
      </w:pPr>
      <w:r>
        <w:rPr>
          <w:spacing w:val="11"/>
        </w:rPr>
        <w:t>a） 查看收集资料的数据时相、数据来源、空间参考</w:t>
      </w:r>
      <w:r>
        <w:rPr>
          <w:spacing w:val="10"/>
        </w:rPr>
        <w:t>、比例尺、成果精度等，比较各类资料的地理</w:t>
      </w:r>
      <w:r>
        <w:t xml:space="preserve"> </w:t>
      </w:r>
      <w:r>
        <w:rPr>
          <w:spacing w:val="9"/>
        </w:rPr>
        <w:t>分布特性及监测区覆盖情况，评估资料的准确性和可靠性；</w:t>
      </w:r>
    </w:p>
    <w:p>
      <w:pPr>
        <w:pStyle w:val="BodyText"/>
        <w:spacing w:before="28" w:line="239" w:lineRule="auto"/>
        <w:ind w:left="851" w:right="46" w:hanging="432"/>
      </w:pPr>
      <w:r>
        <w:rPr>
          <w:spacing w:val="10"/>
        </w:rPr>
        <w:t>b） 纸介质图件资料应转换成栅格数据或矢量数据，具有</w:t>
      </w:r>
      <w:r>
        <w:rPr>
          <w:spacing w:val="9"/>
        </w:rPr>
        <w:t>不同量纲的数据应进行归一化处理，各种</w:t>
      </w:r>
      <w:r>
        <w:t xml:space="preserve"> </w:t>
      </w:r>
      <w:r>
        <w:rPr>
          <w:spacing w:val="8"/>
        </w:rPr>
        <w:t>资料应配准到统一的坐标系上。如有必要应对栅格数据进行重采样，</w:t>
      </w:r>
      <w:r>
        <w:rPr>
          <w:spacing w:val="-49"/>
        </w:rPr>
        <w:t xml:space="preserve"> </w:t>
      </w:r>
      <w:r>
        <w:rPr>
          <w:spacing w:val="8"/>
        </w:rPr>
        <w:t>以匹配遥感数据分辨率；</w:t>
      </w:r>
    </w:p>
    <w:p>
      <w:pPr>
        <w:pStyle w:val="BodyText"/>
        <w:spacing w:before="25"/>
        <w:ind w:left="842" w:right="152" w:hanging="416"/>
      </w:pPr>
      <w:r>
        <w:rPr>
          <w:spacing w:val="9"/>
        </w:rPr>
        <w:t>c） 对收集的资料进行分析，明确区域内土壤类型、土地利用/土地覆盖现状、耕地分布情况以及</w:t>
      </w:r>
      <w:r>
        <w:rPr>
          <w:spacing w:val="13"/>
        </w:rPr>
        <w:t xml:space="preserve"> </w:t>
      </w:r>
      <w:r>
        <w:rPr>
          <w:spacing w:val="9"/>
        </w:rPr>
        <w:t>土壤质地、肥力状况，确定土壤有机质的空间分异情况。</w:t>
      </w:r>
    </w:p>
    <w:p>
      <w:pPr>
        <w:spacing w:before="265" w:line="229" w:lineRule="auto"/>
        <w:outlineLvl w:val="0"/>
        <w:rPr>
          <w:rFonts w:ascii="SimHei" w:eastAsia="SimHei" w:hAnsi="SimHei" w:cs="SimHei"/>
          <w:sz w:val="20"/>
          <w:szCs w:val="20"/>
        </w:rPr>
      </w:pPr>
      <w:r>
        <w:rPr>
          <w:rFonts w:ascii="SimHei" w:eastAsia="SimHei" w:hAnsi="SimHei" w:cs="SimHei"/>
          <w:spacing w:val="7"/>
          <w:sz w:val="20"/>
          <w:szCs w:val="20"/>
        </w:rPr>
        <w:t>8</w:t>
      </w:r>
      <w:r>
        <w:rPr>
          <w:rFonts w:ascii="SimHei" w:eastAsia="SimHei" w:hAnsi="SimHei" w:cs="SimHei"/>
          <w:spacing w:val="7"/>
          <w:sz w:val="20"/>
          <w:szCs w:val="20"/>
        </w:rPr>
        <w:t xml:space="preserve">  </w:t>
      </w:r>
      <w:r>
        <w:rPr>
          <w:rFonts w:ascii="SimHei" w:eastAsia="SimHei" w:hAnsi="SimHei" w:cs="SimHei"/>
          <w:spacing w:val="7"/>
          <w:sz w:val="20"/>
          <w:szCs w:val="20"/>
        </w:rPr>
        <w:t>数据获取与预处理</w:t>
      </w:r>
    </w:p>
    <w:p>
      <w:pPr>
        <w:spacing w:before="265" w:line="230" w:lineRule="auto"/>
        <w:outlineLvl w:val="1"/>
        <w:rPr>
          <w:rFonts w:ascii="SimHei" w:eastAsia="SimHei" w:hAnsi="SimHei" w:cs="SimHei"/>
          <w:sz w:val="20"/>
          <w:szCs w:val="20"/>
        </w:rPr>
      </w:pPr>
      <w:r>
        <w:rPr>
          <w:rFonts w:ascii="SimHei" w:eastAsia="SimHei" w:hAnsi="SimHei" w:cs="SimHei"/>
          <w:spacing w:val="6"/>
          <w:sz w:val="20"/>
          <w:szCs w:val="20"/>
        </w:rPr>
        <w:t>8.1</w:t>
      </w:r>
      <w:r>
        <w:rPr>
          <w:rFonts w:ascii="SimHei" w:eastAsia="SimHei" w:hAnsi="SimHei" w:cs="SimHei"/>
          <w:spacing w:val="6"/>
          <w:sz w:val="20"/>
          <w:szCs w:val="20"/>
        </w:rPr>
        <w:t xml:space="preserve">  </w:t>
      </w:r>
      <w:r>
        <w:rPr>
          <w:rFonts w:ascii="SimHei" w:eastAsia="SimHei" w:hAnsi="SimHei" w:cs="SimHei"/>
          <w:spacing w:val="6"/>
          <w:sz w:val="20"/>
          <w:szCs w:val="20"/>
        </w:rPr>
        <w:t>遥感数据选择</w:t>
      </w:r>
    </w:p>
    <w:p>
      <w:pPr>
        <w:pStyle w:val="BodyText"/>
        <w:spacing w:before="145" w:line="228" w:lineRule="auto"/>
        <w:ind w:left="421"/>
      </w:pPr>
      <w:r>
        <w:rPr>
          <w:spacing w:val="8"/>
        </w:rPr>
        <w:t>遥感数据选择应符合下列要求：</w:t>
      </w:r>
    </w:p>
    <w:p>
      <w:pPr>
        <w:pStyle w:val="BodyText"/>
        <w:spacing w:before="24" w:line="228" w:lineRule="auto"/>
        <w:ind w:left="423"/>
      </w:pPr>
      <w:r>
        <w:rPr>
          <w:spacing w:val="8"/>
        </w:rPr>
        <w:t>a)  遥感数据具有可见光波段、近红外波段、短波红外波段；</w:t>
      </w:r>
    </w:p>
    <w:p>
      <w:pPr>
        <w:pStyle w:val="BodyText"/>
        <w:spacing w:before="24" w:line="228" w:lineRule="auto"/>
        <w:ind w:left="419"/>
      </w:pPr>
      <w:r>
        <w:rPr>
          <w:spacing w:val="8"/>
        </w:rPr>
        <w:t>b)  遥感数据的空间分辨率应不低于30m，光谱分辨率为（5-20）</w:t>
      </w:r>
      <w:r>
        <w:t>nm</w:t>
      </w:r>
      <w:r>
        <w:rPr>
          <w:spacing w:val="8"/>
        </w:rPr>
        <w:t>；</w:t>
      </w:r>
    </w:p>
    <w:p>
      <w:pPr>
        <w:pStyle w:val="BodyText"/>
        <w:spacing w:before="27" w:line="271" w:lineRule="exact"/>
        <w:ind w:left="426"/>
      </w:pPr>
      <w:r>
        <w:rPr>
          <w:spacing w:val="8"/>
          <w:position w:val="4"/>
        </w:rPr>
        <w:t>c)  遥感数据云覆盖面积总和应不超过影像覆盖面积的15%；</w:t>
      </w:r>
    </w:p>
    <w:p>
      <w:pPr>
        <w:pStyle w:val="BodyText"/>
        <w:spacing w:before="1" w:line="226" w:lineRule="auto"/>
        <w:ind w:left="426"/>
      </w:pPr>
      <w:r>
        <w:rPr>
          <w:spacing w:val="8"/>
        </w:rPr>
        <w:t>d)  遥感数据全部或部分覆盖监测区内耕地；</w:t>
      </w:r>
    </w:p>
    <w:p>
      <w:pPr>
        <w:pStyle w:val="BodyText"/>
        <w:spacing w:before="28" w:line="227" w:lineRule="auto"/>
        <w:ind w:left="427"/>
      </w:pPr>
      <w:r>
        <w:rPr>
          <w:spacing w:val="9"/>
        </w:rPr>
        <w:t>e)  遥感数据图面应清晰，无数据丢失，无明显条纹、点状或块状噪声，无严重辐射和几何畸</w:t>
      </w:r>
      <w:r>
        <w:rPr>
          <w:spacing w:val="8"/>
        </w:rPr>
        <w:t>变。</w:t>
      </w:r>
    </w:p>
    <w:p>
      <w:pPr>
        <w:spacing w:before="145" w:line="229" w:lineRule="auto"/>
        <w:outlineLvl w:val="1"/>
        <w:rPr>
          <w:rFonts w:ascii="SimHei" w:eastAsia="SimHei" w:hAnsi="SimHei" w:cs="SimHei"/>
          <w:sz w:val="20"/>
          <w:szCs w:val="20"/>
        </w:rPr>
      </w:pPr>
      <w:r>
        <w:rPr>
          <w:rFonts w:ascii="SimHei" w:eastAsia="SimHei" w:hAnsi="SimHei" w:cs="SimHei"/>
          <w:spacing w:val="7"/>
          <w:sz w:val="20"/>
          <w:szCs w:val="20"/>
        </w:rPr>
        <w:t>8.2</w:t>
      </w:r>
      <w:r>
        <w:rPr>
          <w:rFonts w:ascii="SimHei" w:eastAsia="SimHei" w:hAnsi="SimHei" w:cs="SimHei"/>
          <w:spacing w:val="7"/>
          <w:sz w:val="20"/>
          <w:szCs w:val="20"/>
        </w:rPr>
        <w:t xml:space="preserve">  </w:t>
      </w:r>
      <w:r>
        <w:rPr>
          <w:rFonts w:ascii="SimHei" w:eastAsia="SimHei" w:hAnsi="SimHei" w:cs="SimHei"/>
          <w:spacing w:val="7"/>
          <w:sz w:val="20"/>
          <w:szCs w:val="20"/>
        </w:rPr>
        <w:t>遥感数据预处理方法</w:t>
      </w:r>
    </w:p>
    <w:p>
      <w:pPr>
        <w:spacing w:before="145" w:line="231" w:lineRule="auto"/>
        <w:rPr>
          <w:rFonts w:ascii="SimHei" w:eastAsia="SimHei" w:hAnsi="SimHei" w:cs="SimHei"/>
          <w:sz w:val="20"/>
          <w:szCs w:val="20"/>
        </w:rPr>
      </w:pPr>
      <w:r>
        <w:rPr>
          <w:rFonts w:ascii="SimHei" w:eastAsia="SimHei" w:hAnsi="SimHei" w:cs="SimHei"/>
          <w:spacing w:val="5"/>
          <w:sz w:val="20"/>
          <w:szCs w:val="20"/>
        </w:rPr>
        <w:t>8.2.1</w:t>
      </w:r>
      <w:r>
        <w:rPr>
          <w:rFonts w:ascii="SimHei" w:eastAsia="SimHei" w:hAnsi="SimHei" w:cs="SimHei"/>
          <w:spacing w:val="10"/>
          <w:sz w:val="20"/>
          <w:szCs w:val="20"/>
        </w:rPr>
        <w:t xml:space="preserve">  </w:t>
      </w:r>
      <w:r>
        <w:rPr>
          <w:rFonts w:ascii="SimHei" w:eastAsia="SimHei" w:hAnsi="SimHei" w:cs="SimHei"/>
          <w:spacing w:val="5"/>
          <w:sz w:val="20"/>
          <w:szCs w:val="20"/>
        </w:rPr>
        <w:t>辐射定标</w:t>
      </w:r>
    </w:p>
    <w:p>
      <w:pPr>
        <w:pStyle w:val="BodyText"/>
        <w:spacing w:before="22"/>
        <w:ind w:left="4" w:right="1" w:firstLine="417"/>
      </w:pPr>
      <w:r>
        <w:rPr>
          <w:spacing w:val="11"/>
        </w:rPr>
        <w:t>对选择的遥感数据应进行辐射定标，将量化数字灰度值转换为对应视场表观辐亮</w:t>
      </w:r>
      <w:r>
        <w:rPr>
          <w:spacing w:val="10"/>
        </w:rPr>
        <w:t>度值，得到辐亮度</w:t>
      </w:r>
      <w:r>
        <w:t xml:space="preserve"> </w:t>
      </w:r>
      <w:r>
        <w:rPr>
          <w:spacing w:val="7"/>
        </w:rPr>
        <w:t>数据。辐射定标按照</w:t>
      </w:r>
      <w:r>
        <w:t>GB</w:t>
      </w:r>
      <w:r>
        <w:rPr>
          <w:spacing w:val="7"/>
        </w:rPr>
        <w:t>/T 30115-2013中7.3的规定执行。</w:t>
      </w:r>
    </w:p>
    <w:p>
      <w:pPr>
        <w:spacing w:before="24" w:line="231" w:lineRule="auto"/>
        <w:rPr>
          <w:rFonts w:ascii="SimHei" w:eastAsia="SimHei" w:hAnsi="SimHei" w:cs="SimHei"/>
          <w:sz w:val="20"/>
          <w:szCs w:val="20"/>
        </w:rPr>
      </w:pPr>
      <w:r>
        <w:rPr>
          <w:rFonts w:ascii="SimHei" w:eastAsia="SimHei" w:hAnsi="SimHei" w:cs="SimHei"/>
          <w:spacing w:val="6"/>
          <w:sz w:val="20"/>
          <w:szCs w:val="20"/>
        </w:rPr>
        <w:t>8.2.2</w:t>
      </w:r>
      <w:r>
        <w:rPr>
          <w:rFonts w:ascii="SimHei" w:eastAsia="SimHei" w:hAnsi="SimHei" w:cs="SimHei"/>
          <w:spacing w:val="6"/>
          <w:sz w:val="20"/>
          <w:szCs w:val="20"/>
        </w:rPr>
        <w:t xml:space="preserve">  </w:t>
      </w:r>
      <w:r>
        <w:rPr>
          <w:rFonts w:ascii="SimHei" w:eastAsia="SimHei" w:hAnsi="SimHei" w:cs="SimHei"/>
          <w:spacing w:val="6"/>
          <w:sz w:val="20"/>
          <w:szCs w:val="20"/>
        </w:rPr>
        <w:t>大气校正</w:t>
      </w:r>
    </w:p>
    <w:p>
      <w:pPr>
        <w:pStyle w:val="BodyText"/>
        <w:spacing w:before="20" w:line="246" w:lineRule="auto"/>
        <w:ind w:right="1" w:firstLine="425"/>
        <w:rPr>
          <w:rFonts w:ascii="SimHei" w:eastAsia="SimHei" w:hAnsi="SimHei" w:cs="SimHei"/>
        </w:rPr>
      </w:pPr>
      <w:r>
        <w:rPr>
          <w:spacing w:val="11"/>
        </w:rPr>
        <w:t>为消除或减弱遥感数据获取时因大气传输中的吸收或散射作用引起的辐射</w:t>
      </w:r>
      <w:r>
        <w:rPr>
          <w:spacing w:val="10"/>
        </w:rPr>
        <w:t>畸变，应对辐射定标得到</w:t>
      </w:r>
      <w:r>
        <w:t xml:space="preserve"> </w:t>
      </w:r>
      <w:r>
        <w:rPr>
          <w:spacing w:val="9"/>
        </w:rPr>
        <w:t>的辐亮度数据进行大气校正，得到地表反射率数据。大气校正按照</w:t>
      </w:r>
      <w:r>
        <w:t>GB</w:t>
      </w:r>
      <w:r>
        <w:rPr>
          <w:spacing w:val="9"/>
        </w:rPr>
        <w:t>/T 30115-2013中</w:t>
      </w:r>
      <w:r>
        <w:rPr>
          <w:spacing w:val="8"/>
        </w:rPr>
        <w:t>7.7的规定执行。</w:t>
      </w:r>
      <w:r>
        <w:t xml:space="preserve"> </w:t>
      </w:r>
      <w:r>
        <w:rPr>
          <w:rFonts w:ascii="SimHei" w:eastAsia="SimHei" w:hAnsi="SimHei" w:cs="SimHei"/>
          <w:spacing w:val="6"/>
        </w:rPr>
        <w:t>8.2.3</w:t>
      </w:r>
      <w:r>
        <w:rPr>
          <w:rFonts w:ascii="SimHei" w:eastAsia="SimHei" w:hAnsi="SimHei" w:cs="SimHei"/>
          <w:spacing w:val="6"/>
        </w:rPr>
        <w:t xml:space="preserve">  </w:t>
      </w:r>
      <w:r>
        <w:rPr>
          <w:rFonts w:ascii="SimHei" w:eastAsia="SimHei" w:hAnsi="SimHei" w:cs="SimHei"/>
          <w:spacing w:val="6"/>
        </w:rPr>
        <w:t>几何纠正</w:t>
      </w:r>
    </w:p>
    <w:p>
      <w:pPr>
        <w:pStyle w:val="BodyText"/>
        <w:spacing w:before="21" w:line="243" w:lineRule="auto"/>
        <w:ind w:left="6" w:right="1" w:firstLine="415"/>
        <w:sectPr>
          <w:footerReference w:type="default" r:id="rId9"/>
          <w:pgSz w:w="11906" w:h="16839"/>
          <w:pgMar w:top="1406" w:right="1133" w:bottom="1428" w:left="1282" w:header="0" w:footer="1249" w:gutter="0"/>
          <w:pgNumType w:start="5"/>
          <w:cols w:space="708"/>
        </w:sectPr>
      </w:pPr>
      <w:r>
        <w:rPr>
          <w:spacing w:val="11"/>
        </w:rPr>
        <w:t>应对地表反射率数据进行几何纠正以消除几何畸变带来的误差。几何纠正包括</w:t>
      </w:r>
      <w:r>
        <w:rPr>
          <w:spacing w:val="10"/>
        </w:rPr>
        <w:t>几何精纠正与正射纠</w:t>
      </w:r>
      <w:r>
        <w:t xml:space="preserve"> </w:t>
      </w:r>
      <w:r>
        <w:rPr>
          <w:spacing w:val="9"/>
        </w:rPr>
        <w:t>正，几何精纠正应按照</w:t>
      </w:r>
      <w:r>
        <w:t>CH</w:t>
      </w:r>
      <w:r>
        <w:rPr>
          <w:spacing w:val="9"/>
        </w:rPr>
        <w:t>/T 3019</w:t>
      </w:r>
      <w:r>
        <w:rPr>
          <w:rFonts w:ascii="Times New Roman" w:eastAsia="Times New Roman" w:hAnsi="Times New Roman" w:cs="Times New Roman"/>
          <w:spacing w:val="9"/>
        </w:rPr>
        <w:t>—</w:t>
      </w:r>
      <w:r>
        <w:rPr>
          <w:spacing w:val="9"/>
        </w:rPr>
        <w:t>2018</w:t>
      </w:r>
      <w:r>
        <w:rPr>
          <w:spacing w:val="8"/>
        </w:rPr>
        <w:t>中8.5的规定执行，正射纠正应按照</w:t>
      </w:r>
      <w:r>
        <w:t>CH</w:t>
      </w:r>
      <w:r>
        <w:rPr>
          <w:spacing w:val="8"/>
        </w:rPr>
        <w:t>/T 3019</w:t>
      </w:r>
      <w:r>
        <w:rPr>
          <w:rFonts w:ascii="Times New Roman" w:eastAsia="Times New Roman" w:hAnsi="Times New Roman" w:cs="Times New Roman"/>
          <w:spacing w:val="8"/>
        </w:rPr>
        <w:t>—</w:t>
      </w:r>
      <w:r>
        <w:rPr>
          <w:spacing w:val="8"/>
        </w:rPr>
        <w:t>2018中9.5的规</w:t>
      </w:r>
      <w:r>
        <w:t xml:space="preserve"> </w:t>
      </w:r>
      <w:r>
        <w:rPr>
          <w:spacing w:val="9"/>
        </w:rPr>
        <w:t>定执行，处理得到几何纠正后的地表反射率</w:t>
      </w:r>
      <w:r>
        <w:rPr>
          <w:spacing w:val="8"/>
        </w:rPr>
        <w:t>数据。</w:t>
      </w:r>
    </w:p>
    <w:p>
      <w:pPr>
        <w:pStyle w:val="BodyText"/>
        <w:spacing w:before="28" w:line="227" w:lineRule="auto"/>
        <w:ind w:left="426"/>
      </w:pPr>
      <w:r>
        <w:rPr>
          <w:spacing w:val="7"/>
        </w:rPr>
        <w:t>几何精度应符合</w:t>
      </w:r>
      <w:r>
        <w:t>CH</w:t>
      </w:r>
      <w:r>
        <w:rPr>
          <w:spacing w:val="7"/>
        </w:rPr>
        <w:t>/T 3019</w:t>
      </w:r>
      <w:r>
        <w:rPr>
          <w:rFonts w:ascii="Times New Roman" w:eastAsia="Times New Roman" w:hAnsi="Times New Roman" w:cs="Times New Roman"/>
          <w:spacing w:val="7"/>
        </w:rPr>
        <w:t>—</w:t>
      </w:r>
      <w:r>
        <w:rPr>
          <w:spacing w:val="7"/>
        </w:rPr>
        <w:t>2018中4.</w:t>
      </w:r>
      <w:r>
        <w:rPr>
          <w:spacing w:val="6"/>
        </w:rPr>
        <w:t>5的规定。</w:t>
      </w:r>
    </w:p>
    <w:p>
      <w:pPr>
        <w:spacing w:before="146" w:line="229" w:lineRule="auto"/>
        <w:outlineLvl w:val="1"/>
        <w:rPr>
          <w:rFonts w:ascii="SimHei" w:eastAsia="SimHei" w:hAnsi="SimHei" w:cs="SimHei"/>
          <w:sz w:val="20"/>
          <w:szCs w:val="20"/>
        </w:rPr>
      </w:pPr>
      <w:r>
        <w:rPr>
          <w:rFonts w:ascii="SimHei" w:eastAsia="SimHei" w:hAnsi="SimHei" w:cs="SimHei"/>
          <w:spacing w:val="7"/>
          <w:sz w:val="20"/>
          <w:szCs w:val="20"/>
        </w:rPr>
        <w:t>8.3</w:t>
      </w:r>
      <w:r>
        <w:rPr>
          <w:rFonts w:ascii="SimHei" w:eastAsia="SimHei" w:hAnsi="SimHei" w:cs="SimHei"/>
          <w:spacing w:val="7"/>
          <w:sz w:val="20"/>
          <w:szCs w:val="20"/>
        </w:rPr>
        <w:t xml:space="preserve">  </w:t>
      </w:r>
      <w:r>
        <w:rPr>
          <w:rFonts w:ascii="SimHei" w:eastAsia="SimHei" w:hAnsi="SimHei" w:cs="SimHei"/>
          <w:spacing w:val="7"/>
          <w:sz w:val="20"/>
          <w:szCs w:val="20"/>
        </w:rPr>
        <w:t>裸土分布信息提取</w:t>
      </w:r>
    </w:p>
    <w:p>
      <w:pPr>
        <w:pStyle w:val="BodyText"/>
        <w:spacing w:before="143" w:line="228" w:lineRule="auto"/>
      </w:pPr>
      <w:r>
        <w:rPr>
          <w:rFonts w:ascii="SimHei" w:eastAsia="SimHei" w:hAnsi="SimHei" w:cs="SimHei"/>
          <w:spacing w:val="6"/>
        </w:rPr>
        <w:t>8.3.1</w:t>
      </w:r>
      <w:r>
        <w:rPr>
          <w:rFonts w:ascii="SimHei" w:eastAsia="SimHei" w:hAnsi="SimHei" w:cs="SimHei"/>
          <w:spacing w:val="6"/>
        </w:rPr>
        <w:t xml:space="preserve">  </w:t>
      </w:r>
      <w:r>
        <w:rPr>
          <w:spacing w:val="6"/>
          <w14:textOutline w14:w="3795" w14:cap="sq">
            <w14:solidFill>
              <w14:srgbClr w14:val="000000"/>
            </w14:solidFill>
            <w14:prstDash w14:val="solid"/>
            <w14:bevel/>
          </w14:textOutline>
        </w:rPr>
        <w:t>提取方法</w:t>
      </w:r>
    </w:p>
    <w:p>
      <w:pPr>
        <w:spacing w:before="26" w:line="229" w:lineRule="auto"/>
        <w:rPr>
          <w:rFonts w:ascii="SimHei" w:eastAsia="SimHei" w:hAnsi="SimHei" w:cs="SimHei"/>
          <w:sz w:val="20"/>
          <w:szCs w:val="20"/>
        </w:rPr>
      </w:pPr>
      <w:hyperlink r:id="rId10" w:history="1">
        <w:r>
          <w:rPr>
            <w:rFonts w:ascii="SimHei" w:eastAsia="SimHei" w:hAnsi="SimHei" w:cs="SimHei"/>
            <w:spacing w:val="6"/>
            <w:sz w:val="20"/>
            <w:szCs w:val="20"/>
          </w:rPr>
          <w:t>8.3.1.1</w:t>
        </w:r>
      </w:hyperlink>
      <w:r>
        <w:rPr>
          <w:rFonts w:ascii="SimHei" w:eastAsia="SimHei" w:hAnsi="SimHei" w:cs="SimHei"/>
          <w:spacing w:val="6"/>
          <w:sz w:val="20"/>
          <w:szCs w:val="20"/>
        </w:rPr>
        <w:t xml:space="preserve"> </w:t>
      </w:r>
      <w:r>
        <w:rPr>
          <w:rFonts w:ascii="SimHei" w:eastAsia="SimHei" w:hAnsi="SimHei" w:cs="SimHei"/>
          <w:spacing w:val="6"/>
          <w:sz w:val="20"/>
          <w:szCs w:val="20"/>
        </w:rPr>
        <w:t>裸土指数计算</w:t>
      </w:r>
    </w:p>
    <w:p>
      <w:pPr>
        <w:pStyle w:val="BodyText"/>
        <w:spacing w:before="23" w:line="227" w:lineRule="auto"/>
        <w:ind w:left="423"/>
      </w:pPr>
      <w:r>
        <w:pict>
          <v:shapetype id="_x0000_t202" coordsize="21600,21600" o:spt="202" path="m,l,21600r21600,l21600,xe">
            <v:stroke joinstyle="miter"/>
            <v:path gradientshapeok="t" o:connecttype="rect"/>
          </v:shapetype>
          <v:shape id="_x0000_s1025" type="#_x0000_t202" style="width:53.2pt;height:26pt;margin-top:2.1pt;margin-left:222.13pt;position:absolute;z-index:251659264" filled="f" stroked="f">
            <o:lock v:ext="edit" aspectratio="f"/>
            <v:textbox inset="0,0,0,0">
              <w:txbxContent>
                <w:p>
                  <w:pPr>
                    <w:spacing w:before="19" w:line="614" w:lineRule="auto"/>
                    <w:ind w:left="20"/>
                    <w:rPr>
                      <w:rFonts w:ascii="Arial" w:eastAsia="Arial" w:hAnsi="Arial" w:cs="Arial"/>
                      <w:sz w:val="14"/>
                      <w:szCs w:val="14"/>
                    </w:rPr>
                  </w:pPr>
                  <w:r>
                    <w:rPr>
                      <w:rFonts w:ascii="Arial" w:eastAsia="Arial" w:hAnsi="Arial" w:cs="Arial"/>
                      <w:spacing w:val="8"/>
                      <w:sz w:val="14"/>
                      <w:szCs w:val="14"/>
                      <w:u w:val="single" w:color="auto"/>
                    </w:rPr>
                    <w:t>(</w:t>
                  </w:r>
                  <w:r>
                    <w:rPr>
                      <w:rFonts w:ascii="Cambria Math" w:eastAsia="Cambria Math" w:hAnsi="Cambria Math" w:cs="Cambria Math"/>
                      <w:spacing w:val="8"/>
                      <w:sz w:val="14"/>
                      <w:szCs w:val="14"/>
                      <w:u w:val="single" w:color="auto"/>
                    </w:rPr>
                    <w:t>S1+R</w:t>
                  </w:r>
                  <w:r>
                    <w:rPr>
                      <w:rFonts w:ascii="Arial" w:eastAsia="Arial" w:hAnsi="Arial" w:cs="Arial"/>
                      <w:spacing w:val="8"/>
                      <w:sz w:val="14"/>
                      <w:szCs w:val="14"/>
                      <w:u w:val="single" w:color="auto"/>
                    </w:rPr>
                    <w:t>)</w:t>
                  </w:r>
                  <w:r>
                    <w:rPr>
                      <w:rFonts w:ascii="Cambria Math" w:eastAsia="Cambria Math" w:hAnsi="Cambria Math" w:cs="Cambria Math"/>
                      <w:spacing w:val="8"/>
                      <w:sz w:val="14"/>
                      <w:szCs w:val="14"/>
                      <w:u w:val="single" w:color="auto"/>
                    </w:rPr>
                    <w:t>−</w:t>
                  </w:r>
                  <w:r>
                    <w:rPr>
                      <w:position w:val="-2"/>
                      <w:sz w:val="14"/>
                      <w:szCs w:val="14"/>
                    </w:rPr>
                    <w:drawing>
                      <wp:inline distT="0" distB="0" distL="0" distR="0">
                        <wp:extent cx="38542" cy="8826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38542" cy="88265"/>
                                </a:xfrm>
                                <a:prstGeom prst="rect">
                                  <a:avLst/>
                                </a:prstGeom>
                              </pic:spPr>
                            </pic:pic>
                          </a:graphicData>
                        </a:graphic>
                      </wp:inline>
                    </w:drawing>
                  </w:r>
                  <w:r>
                    <w:rPr>
                      <w:rFonts w:ascii="Cambria Math" w:eastAsia="Cambria Math" w:hAnsi="Cambria Math" w:cs="Cambria Math"/>
                      <w:spacing w:val="8"/>
                      <w:sz w:val="14"/>
                      <w:szCs w:val="14"/>
                      <w:u w:val="single" w:color="auto"/>
                    </w:rPr>
                    <w:t>N+B</w:t>
                  </w:r>
                  <w:r>
                    <w:rPr>
                      <w:rFonts w:ascii="Arial" w:eastAsia="Arial" w:hAnsi="Arial" w:cs="Arial"/>
                      <w:spacing w:val="8"/>
                      <w:sz w:val="14"/>
                      <w:szCs w:val="14"/>
                      <w:u w:val="single" w:color="auto"/>
                    </w:rPr>
                    <w:t>)</w:t>
                  </w:r>
                </w:p>
              </w:txbxContent>
            </v:textbox>
          </v:shape>
        </w:pict>
      </w:r>
      <w:r>
        <w:rPr>
          <w:spacing w:val="8"/>
        </w:rPr>
        <w:t>利用8.2.3几何纠正后的地表反射率数据，按照公式（1）计算裸土指数。</w:t>
      </w:r>
    </w:p>
    <w:p>
      <w:pPr>
        <w:spacing w:before="116" w:line="139" w:lineRule="exact"/>
        <w:ind w:left="3965"/>
        <w:rPr>
          <w:rFonts w:ascii="Cambria Math" w:eastAsia="Cambria Math" w:hAnsi="Cambria Math" w:cs="Cambria Math"/>
          <w:sz w:val="20"/>
          <w:szCs w:val="20"/>
        </w:rPr>
      </w:pPr>
      <w:r>
        <w:pict>
          <v:shape id="_x0000_s1026" type="#_x0000_t202" style="width:26.35pt;height:15pt;margin-top:3.03pt;margin-left:448.19pt;position:absolute;z-index:251658240" filled="f" stroked="f">
            <o:lock v:ext="edit" aspectratio="f"/>
            <v:textbox inset="0,0,0,0">
              <w:txbxContent>
                <w:p>
                  <w:pPr>
                    <w:pStyle w:val="BodyText"/>
                    <w:spacing w:before="19"/>
                    <w:ind w:left="20"/>
                  </w:pPr>
                  <w:r>
                    <w:rPr>
                      <w:spacing w:val="-2"/>
                    </w:rPr>
                    <w:t>（1）</w:t>
                  </w:r>
                </w:p>
              </w:txbxContent>
            </v:textbox>
          </v:shape>
        </w:pict>
      </w:r>
      <w:r>
        <w:rPr>
          <w:rFonts w:ascii="Cambria Math" w:eastAsia="Cambria Math" w:hAnsi="Cambria Math" w:cs="Cambria Math"/>
          <w:position w:val="-2"/>
          <w:sz w:val="20"/>
          <w:szCs w:val="20"/>
        </w:rPr>
        <w:t>BI</w:t>
      </w:r>
      <w:r>
        <w:rPr>
          <w:rFonts w:ascii="Cambria Math" w:eastAsia="Cambria Math" w:hAnsi="Cambria Math" w:cs="Cambria Math"/>
          <w:spacing w:val="28"/>
          <w:w w:val="102"/>
          <w:position w:val="-2"/>
          <w:sz w:val="20"/>
          <w:szCs w:val="20"/>
        </w:rPr>
        <w:t xml:space="preserve"> </w:t>
      </w:r>
      <w:r>
        <w:rPr>
          <w:rFonts w:ascii="Cambria Math" w:eastAsia="Cambria Math" w:hAnsi="Cambria Math" w:cs="Cambria Math"/>
          <w:spacing w:val="22"/>
          <w:position w:val="-2"/>
          <w:sz w:val="20"/>
          <w:szCs w:val="20"/>
        </w:rPr>
        <w:t>=</w:t>
      </w:r>
    </w:p>
    <w:p>
      <w:pPr>
        <w:spacing w:line="192" w:lineRule="auto"/>
        <w:ind w:left="4462"/>
        <w:rPr>
          <w:rFonts w:ascii="Arial" w:eastAsia="Arial" w:hAnsi="Arial" w:cs="Arial"/>
          <w:sz w:val="14"/>
          <w:szCs w:val="14"/>
        </w:rPr>
      </w:pPr>
      <w:r>
        <w:rPr>
          <w:rFonts w:ascii="Cambria Math" w:eastAsia="Cambria Math" w:hAnsi="Cambria Math" w:cs="Cambria Math"/>
          <w:position w:val="-2"/>
          <w:sz w:val="14"/>
          <w:szCs w:val="14"/>
        </w:rPr>
        <w:drawing>
          <wp:inline distT="0" distB="0" distL="0" distR="0">
            <wp:extent cx="29590" cy="8668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29590" cy="86684"/>
                    </a:xfrm>
                    <a:prstGeom prst="rect">
                      <a:avLst/>
                    </a:prstGeom>
                  </pic:spPr>
                </pic:pic>
              </a:graphicData>
            </a:graphic>
          </wp:inline>
        </w:drawing>
      </w:r>
      <w:r>
        <w:rPr>
          <w:rFonts w:ascii="Cambria Math" w:eastAsia="Cambria Math" w:hAnsi="Cambria Math" w:cs="Cambria Math"/>
          <w:spacing w:val="7"/>
          <w:sz w:val="14"/>
          <w:szCs w:val="14"/>
        </w:rPr>
        <w:t>S1+R</w:t>
      </w:r>
      <w:r>
        <w:rPr>
          <w:rFonts w:ascii="Arial" w:eastAsia="Arial" w:hAnsi="Arial" w:cs="Arial"/>
          <w:spacing w:val="156"/>
          <w:w w:val="175"/>
          <w:sz w:val="14"/>
          <w:szCs w:val="14"/>
        </w:rPr>
        <w:t>)</w:t>
      </w:r>
      <w:r>
        <w:rPr>
          <w:rFonts w:ascii="Cambria Math" w:eastAsia="Cambria Math" w:hAnsi="Cambria Math" w:cs="Cambria Math"/>
          <w:spacing w:val="-13"/>
          <w:sz w:val="14"/>
          <w:szCs w:val="14"/>
        </w:rPr>
        <w:t>+N+B</w:t>
      </w:r>
      <w:r>
        <w:rPr>
          <w:rFonts w:ascii="Arial" w:eastAsia="Arial" w:hAnsi="Arial" w:cs="Arial"/>
          <w:spacing w:val="-13"/>
          <w:sz w:val="14"/>
          <w:szCs w:val="14"/>
        </w:rPr>
        <w:t>)</w:t>
      </w:r>
    </w:p>
    <w:p>
      <w:pPr>
        <w:pStyle w:val="BodyText"/>
        <w:spacing w:before="1" w:line="228" w:lineRule="auto"/>
        <w:ind w:left="426"/>
      </w:pPr>
      <w:r>
        <w:rPr>
          <w:spacing w:val="1"/>
        </w:rPr>
        <w:t>式中：</w:t>
      </w:r>
    </w:p>
    <w:p>
      <w:pPr>
        <w:spacing w:line="228" w:lineRule="auto"/>
        <w:sectPr>
          <w:footerReference w:type="default" r:id="rId13"/>
          <w:type w:val="nextPage"/>
          <w:pgSz w:w="11906" w:h="16839"/>
          <w:pgMar w:top="1406" w:right="1133" w:bottom="1428" w:left="1282" w:header="0" w:footer="1249" w:gutter="0"/>
          <w:pgNumType w:start="6"/>
          <w:cols w:space="708"/>
          <w:titlePg w:val="0"/>
        </w:sectPr>
      </w:pPr>
    </w:p>
    <w:p>
      <w:pPr>
        <w:spacing w:before="122" w:line="241" w:lineRule="exact"/>
        <w:ind w:left="5"/>
        <w:rPr>
          <w:rFonts w:ascii="Calibri" w:eastAsia="Calibri" w:hAnsi="Calibri" w:cs="Calibri"/>
          <w:sz w:val="18"/>
          <w:szCs w:val="18"/>
        </w:rPr>
      </w:pPr>
      <w:r>
        <w:rPr>
          <w:rFonts w:ascii="Calibri" w:eastAsia="Calibri" w:hAnsi="Calibri" w:cs="Calibri"/>
          <w:spacing w:val="-1"/>
          <w:position w:val="2"/>
          <w:sz w:val="18"/>
          <w:szCs w:val="18"/>
        </w:rPr>
        <w:t>CH/T XXXX-XXXX</w:t>
      </w:r>
    </w:p>
    <w:p>
      <w:pPr>
        <w:pStyle w:val="BodyText"/>
        <w:spacing w:before="107" w:line="208" w:lineRule="auto"/>
        <w:ind w:left="423"/>
      </w:pPr>
      <w:r>
        <w:rPr>
          <w:rFonts w:ascii="Cambria Math" w:eastAsia="Cambria Math" w:hAnsi="Cambria Math" w:cs="Cambria Math"/>
        </w:rPr>
        <w:t>BI</w:t>
      </w:r>
      <w:r>
        <w:rPr>
          <w:rFonts w:ascii="Times New Roman" w:eastAsia="Times New Roman" w:hAnsi="Times New Roman" w:cs="Times New Roman"/>
          <w:spacing w:val="11"/>
        </w:rPr>
        <w:t>——</w:t>
      </w:r>
      <w:r>
        <w:rPr>
          <w:spacing w:val="11"/>
        </w:rPr>
        <w:t>裸土指数；</w:t>
      </w:r>
    </w:p>
    <w:p>
      <w:pPr>
        <w:pStyle w:val="BodyText"/>
        <w:spacing w:line="273" w:lineRule="exact"/>
        <w:ind w:left="418"/>
      </w:pPr>
      <w:r>
        <w:rPr>
          <w:rFonts w:ascii="Times New Roman" w:eastAsia="Times New Roman" w:hAnsi="Times New Roman" w:cs="Times New Roman"/>
          <w:i/>
          <w:iCs/>
          <w:spacing w:val="7"/>
          <w:position w:val="4"/>
        </w:rPr>
        <w:t>S1</w:t>
      </w:r>
      <w:r>
        <w:rPr>
          <w:rFonts w:ascii="Times New Roman" w:eastAsia="Times New Roman" w:hAnsi="Times New Roman" w:cs="Times New Roman"/>
          <w:spacing w:val="7"/>
          <w:position w:val="4"/>
        </w:rPr>
        <w:t>——</w:t>
      </w:r>
      <w:r>
        <w:rPr>
          <w:spacing w:val="7"/>
          <w:position w:val="4"/>
        </w:rPr>
        <w:t>短波红外波段（</w:t>
      </w:r>
      <w:r>
        <w:rPr>
          <w:spacing w:val="-59"/>
          <w:position w:val="4"/>
        </w:rPr>
        <w:t xml:space="preserve"> </w:t>
      </w:r>
      <w:r>
        <w:rPr>
          <w:spacing w:val="7"/>
          <w:position w:val="4"/>
        </w:rPr>
        <w:t>一般为1500</w:t>
      </w:r>
      <w:r>
        <w:rPr>
          <w:position w:val="4"/>
        </w:rPr>
        <w:t>nm</w:t>
      </w:r>
      <w:r>
        <w:rPr>
          <w:rFonts w:ascii="FangSong" w:eastAsia="FangSong" w:hAnsi="FangSong" w:cs="FangSong"/>
          <w:spacing w:val="7"/>
          <w:position w:val="4"/>
        </w:rPr>
        <w:t>～</w:t>
      </w:r>
      <w:r>
        <w:rPr>
          <w:spacing w:val="7"/>
          <w:position w:val="4"/>
        </w:rPr>
        <w:t>1700</w:t>
      </w:r>
      <w:r>
        <w:rPr>
          <w:position w:val="4"/>
        </w:rPr>
        <w:t>nm</w:t>
      </w:r>
      <w:r>
        <w:rPr>
          <w:spacing w:val="7"/>
          <w:position w:val="4"/>
        </w:rPr>
        <w:t>或2100</w:t>
      </w:r>
      <w:r>
        <w:rPr>
          <w:position w:val="4"/>
        </w:rPr>
        <w:t>nm</w:t>
      </w:r>
      <w:r>
        <w:rPr>
          <w:rFonts w:ascii="FangSong" w:eastAsia="FangSong" w:hAnsi="FangSong" w:cs="FangSong"/>
          <w:spacing w:val="7"/>
          <w:position w:val="4"/>
        </w:rPr>
        <w:t>～</w:t>
      </w:r>
      <w:r>
        <w:rPr>
          <w:spacing w:val="7"/>
          <w:position w:val="4"/>
        </w:rPr>
        <w:t>2300</w:t>
      </w:r>
      <w:r>
        <w:rPr>
          <w:position w:val="4"/>
        </w:rPr>
        <w:t>nm</w:t>
      </w:r>
      <w:r>
        <w:rPr>
          <w:spacing w:val="3"/>
          <w:position w:val="4"/>
        </w:rPr>
        <w:t>）；</w:t>
      </w:r>
    </w:p>
    <w:p>
      <w:pPr>
        <w:pStyle w:val="BodyText"/>
        <w:spacing w:line="208" w:lineRule="auto"/>
        <w:ind w:left="423"/>
      </w:pPr>
      <w:r>
        <w:rPr>
          <w:rFonts w:ascii="Cambria Math" w:eastAsia="Cambria Math" w:hAnsi="Cambria Math" w:cs="Cambria Math"/>
          <w:spacing w:val="7"/>
        </w:rPr>
        <w:t xml:space="preserve">R  </w:t>
      </w:r>
      <w:r>
        <w:rPr>
          <w:rFonts w:ascii="Times New Roman" w:eastAsia="Times New Roman" w:hAnsi="Times New Roman" w:cs="Times New Roman"/>
          <w:spacing w:val="7"/>
        </w:rPr>
        <w:t>——</w:t>
      </w:r>
      <w:r>
        <w:rPr>
          <w:rFonts w:ascii="Times New Roman" w:eastAsia="Times New Roman" w:hAnsi="Times New Roman" w:cs="Times New Roman"/>
          <w:spacing w:val="-37"/>
        </w:rPr>
        <w:t xml:space="preserve"> </w:t>
      </w:r>
      <w:r>
        <w:rPr>
          <w:spacing w:val="7"/>
        </w:rPr>
        <w:t>红波段（600</w:t>
      </w:r>
      <w:r>
        <w:t>nm</w:t>
      </w:r>
      <w:r>
        <w:rPr>
          <w:rFonts w:ascii="FangSong" w:eastAsia="FangSong" w:hAnsi="FangSong" w:cs="FangSong"/>
          <w:spacing w:val="7"/>
        </w:rPr>
        <w:t>～</w:t>
      </w:r>
      <w:r>
        <w:rPr>
          <w:spacing w:val="7"/>
        </w:rPr>
        <w:t>700</w:t>
      </w:r>
      <w:r>
        <w:t>nm</w:t>
      </w:r>
      <w:r>
        <w:rPr>
          <w:spacing w:val="7"/>
        </w:rPr>
        <w:t>）；</w:t>
      </w:r>
    </w:p>
    <w:p>
      <w:pPr>
        <w:pStyle w:val="BodyText"/>
        <w:spacing w:before="1" w:line="210" w:lineRule="auto"/>
        <w:ind w:left="423"/>
      </w:pPr>
      <w:r>
        <w:rPr>
          <w:rFonts w:ascii="Cambria Math" w:eastAsia="Cambria Math" w:hAnsi="Cambria Math" w:cs="Cambria Math"/>
          <w:spacing w:val="9"/>
        </w:rPr>
        <w:t>N</w:t>
      </w:r>
      <w:r>
        <w:rPr>
          <w:rFonts w:ascii="Cambria Math" w:eastAsia="Cambria Math" w:hAnsi="Cambria Math" w:cs="Cambria Math"/>
          <w:spacing w:val="2"/>
        </w:rPr>
        <w:t xml:space="preserve">  </w:t>
      </w:r>
      <w:r>
        <w:rPr>
          <w:rFonts w:ascii="Times New Roman" w:eastAsia="Times New Roman" w:hAnsi="Times New Roman" w:cs="Times New Roman"/>
          <w:spacing w:val="9"/>
        </w:rPr>
        <w:t>——</w:t>
      </w:r>
      <w:r>
        <w:rPr>
          <w:spacing w:val="9"/>
        </w:rPr>
        <w:t>近红外波段（700</w:t>
      </w:r>
      <w:r>
        <w:t>nm</w:t>
      </w:r>
      <w:r>
        <w:rPr>
          <w:rFonts w:ascii="FangSong" w:eastAsia="FangSong" w:hAnsi="FangSong" w:cs="FangSong"/>
          <w:spacing w:val="9"/>
        </w:rPr>
        <w:t>～</w:t>
      </w:r>
      <w:r>
        <w:rPr>
          <w:spacing w:val="9"/>
        </w:rPr>
        <w:t>1000</w:t>
      </w:r>
      <w:r>
        <w:t>nm</w:t>
      </w:r>
      <w:r>
        <w:rPr>
          <w:spacing w:val="1"/>
        </w:rPr>
        <w:t>）；</w:t>
      </w:r>
    </w:p>
    <w:p>
      <w:pPr>
        <w:pStyle w:val="BodyText"/>
        <w:spacing w:line="208" w:lineRule="auto"/>
        <w:ind w:left="423"/>
      </w:pPr>
      <w:r>
        <w:rPr>
          <w:rFonts w:ascii="Cambria Math" w:eastAsia="Cambria Math" w:hAnsi="Cambria Math" w:cs="Cambria Math"/>
          <w:spacing w:val="8"/>
        </w:rPr>
        <w:t xml:space="preserve">B  </w:t>
      </w:r>
      <w:r>
        <w:rPr>
          <w:rFonts w:ascii="Times New Roman" w:eastAsia="Times New Roman" w:hAnsi="Times New Roman" w:cs="Times New Roman"/>
          <w:spacing w:val="8"/>
        </w:rPr>
        <w:t>——</w:t>
      </w:r>
      <w:r>
        <w:rPr>
          <w:spacing w:val="8"/>
        </w:rPr>
        <w:t>蓝波段（400</w:t>
      </w:r>
      <w:r>
        <w:t>nm</w:t>
      </w:r>
      <w:r>
        <w:rPr>
          <w:rFonts w:ascii="FangSong" w:eastAsia="FangSong" w:hAnsi="FangSong" w:cs="FangSong"/>
          <w:spacing w:val="8"/>
        </w:rPr>
        <w:t>～</w:t>
      </w:r>
      <w:r>
        <w:rPr>
          <w:spacing w:val="8"/>
        </w:rPr>
        <w:t>500</w:t>
      </w:r>
      <w:r>
        <w:t>nm</w:t>
      </w:r>
      <w:r>
        <w:rPr>
          <w:spacing w:val="8"/>
        </w:rPr>
        <w:t>）。</w:t>
      </w:r>
    </w:p>
    <w:p>
      <w:pPr>
        <w:spacing w:before="1" w:line="229" w:lineRule="auto"/>
        <w:ind w:left="3"/>
        <w:rPr>
          <w:rFonts w:ascii="SimHei" w:eastAsia="SimHei" w:hAnsi="SimHei" w:cs="SimHei"/>
          <w:sz w:val="20"/>
          <w:szCs w:val="20"/>
        </w:rPr>
      </w:pPr>
      <w:hyperlink r:id="rId14" w:history="1">
        <w:r>
          <w:rPr>
            <w:rFonts w:ascii="SimHei" w:eastAsia="SimHei" w:hAnsi="SimHei" w:cs="SimHei"/>
            <w:spacing w:val="6"/>
            <w:sz w:val="20"/>
            <w:szCs w:val="20"/>
          </w:rPr>
          <w:t>8.3.1.2</w:t>
        </w:r>
      </w:hyperlink>
      <w:r>
        <w:rPr>
          <w:rFonts w:ascii="SimHei" w:eastAsia="SimHei" w:hAnsi="SimHei" w:cs="SimHei"/>
          <w:spacing w:val="6"/>
          <w:sz w:val="20"/>
          <w:szCs w:val="20"/>
        </w:rPr>
        <w:t xml:space="preserve"> </w:t>
      </w:r>
      <w:r>
        <w:rPr>
          <w:rFonts w:ascii="SimHei" w:eastAsia="SimHei" w:hAnsi="SimHei" w:cs="SimHei"/>
          <w:spacing w:val="6"/>
          <w:sz w:val="20"/>
          <w:szCs w:val="20"/>
        </w:rPr>
        <w:t>裸土像元提取</w:t>
      </w:r>
    </w:p>
    <w:p>
      <w:pPr>
        <w:pStyle w:val="BodyText"/>
        <w:spacing w:before="24" w:line="228" w:lineRule="auto"/>
        <w:ind w:left="427"/>
      </w:pPr>
      <w:r>
        <w:rPr>
          <w:spacing w:val="8"/>
        </w:rPr>
        <w:t>按照下列步骤提取裸土像元：</w:t>
      </w:r>
    </w:p>
    <w:p>
      <w:pPr>
        <w:pStyle w:val="BodyText"/>
        <w:spacing w:before="25" w:line="227" w:lineRule="auto"/>
        <w:ind w:left="426"/>
      </w:pPr>
      <w:r>
        <w:rPr>
          <w:spacing w:val="9"/>
        </w:rPr>
        <w:t>a)  统计耕地范围内像元在裸土指数中的数值，并绘制</w:t>
      </w:r>
      <w:r>
        <w:rPr>
          <w:spacing w:val="8"/>
        </w:rPr>
        <w:t>频率分布直方图；</w:t>
      </w:r>
    </w:p>
    <w:p>
      <w:pPr>
        <w:pStyle w:val="BodyText"/>
        <w:spacing w:before="28" w:line="227" w:lineRule="auto"/>
        <w:jc w:val="right"/>
      </w:pPr>
      <w:r>
        <w:rPr>
          <w:spacing w:val="8"/>
        </w:rPr>
        <w:t>b)  确定裸土像元与非裸土像元的划分阈值，宜采用最大类间方差法确定阈值，具体方法见附录A；</w:t>
      </w:r>
    </w:p>
    <w:p>
      <w:pPr>
        <w:pStyle w:val="BodyText"/>
        <w:spacing w:before="25"/>
        <w:ind w:left="847" w:right="6" w:hanging="418"/>
      </w:pPr>
      <w:r>
        <w:rPr>
          <w:spacing w:val="13"/>
        </w:rPr>
        <w:t>c)  将裸土指数中大于阈值的像元判定为裸</w:t>
      </w:r>
      <w:r>
        <w:rPr>
          <w:spacing w:val="12"/>
        </w:rPr>
        <w:t>土像元，赋值为1，其他像元（包括非耕地像元）判定</w:t>
      </w:r>
      <w:r>
        <w:t xml:space="preserve"> </w:t>
      </w:r>
      <w:r>
        <w:rPr>
          <w:spacing w:val="8"/>
        </w:rPr>
        <w:t>为非裸土像元，赋值为0，生成裸土提取结果；</w:t>
      </w:r>
    </w:p>
    <w:p>
      <w:pPr>
        <w:pStyle w:val="BodyText"/>
        <w:spacing w:before="24"/>
        <w:ind w:left="851" w:right="6" w:hanging="422"/>
      </w:pPr>
      <w:r>
        <w:rPr>
          <w:spacing w:val="11"/>
        </w:rPr>
        <w:t>d)  在提取的裸土像元中随机生成不少于100个像元作为验证集，</w:t>
      </w:r>
      <w:r>
        <w:rPr>
          <w:spacing w:val="-45"/>
        </w:rPr>
        <w:t xml:space="preserve"> </w:t>
      </w:r>
      <w:r>
        <w:rPr>
          <w:spacing w:val="11"/>
        </w:rPr>
        <w:t>以目视判读结果作为真值，按照</w:t>
      </w:r>
      <w:r>
        <w:t xml:space="preserve"> </w:t>
      </w:r>
      <w:r>
        <w:rPr>
          <w:spacing w:val="7"/>
        </w:rPr>
        <w:t>公式（2）计算裸土提取精度。</w:t>
      </w:r>
    </w:p>
    <w:p>
      <w:pPr>
        <w:spacing w:line="23" w:lineRule="exact"/>
      </w:pPr>
    </w:p>
    <w:p>
      <w:pPr>
        <w:spacing w:line="23" w:lineRule="exact"/>
        <w:sectPr>
          <w:footerReference w:type="default" r:id="rId15"/>
          <w:pgSz w:w="11906" w:h="16839"/>
          <w:pgMar w:top="1431" w:right="1413" w:bottom="1308" w:left="993" w:header="0" w:footer="1129" w:gutter="0"/>
          <w:pgNumType w:start="7"/>
          <w:cols w:num="1" w:space="708" w:equalWidth="0">
            <w:col w:w="9499" w:space="0"/>
          </w:cols>
        </w:sectPr>
      </w:pPr>
    </w:p>
    <w:p>
      <w:pPr>
        <w:spacing w:before="79" w:line="245" w:lineRule="exact"/>
        <w:jc w:val="right"/>
        <w:rPr>
          <w:rFonts w:ascii="Cambria Math" w:eastAsia="Cambria Math" w:hAnsi="Cambria Math" w:cs="Cambria Math"/>
          <w:sz w:val="20"/>
          <w:szCs w:val="20"/>
        </w:rPr>
      </w:pPr>
      <w:r>
        <w:rPr>
          <w:rFonts w:ascii="Cambria Math" w:eastAsia="Cambria Math" w:hAnsi="Cambria Math" w:cs="Cambria Math"/>
          <w:position w:val="1"/>
          <w:sz w:val="20"/>
          <w:szCs w:val="20"/>
        </w:rPr>
        <w:t>P</w:t>
      </w:r>
      <w:r>
        <w:rPr>
          <w:rFonts w:ascii="Cambria Math" w:eastAsia="Cambria Math" w:hAnsi="Cambria Math" w:cs="Cambria Math"/>
          <w:spacing w:val="31"/>
          <w:w w:val="101"/>
          <w:position w:val="1"/>
          <w:sz w:val="20"/>
          <w:szCs w:val="20"/>
        </w:rPr>
        <w:t xml:space="preserve"> </w:t>
      </w:r>
      <w:r>
        <w:rPr>
          <w:rFonts w:ascii="Cambria Math" w:eastAsia="Cambria Math" w:hAnsi="Cambria Math" w:cs="Cambria Math"/>
          <w:position w:val="1"/>
          <w:sz w:val="20"/>
          <w:szCs w:val="20"/>
        </w:rPr>
        <w:t>=</w:t>
      </w:r>
    </w:p>
    <w:p>
      <w:pPr>
        <w:pStyle w:val="BodyText"/>
        <w:spacing w:before="41" w:line="228" w:lineRule="auto"/>
        <w:ind w:left="429"/>
      </w:pPr>
      <w:r>
        <w:rPr>
          <w:spacing w:val="1"/>
        </w:rPr>
        <w:t>式中：</w:t>
      </w:r>
    </w:p>
    <w:p>
      <w:pPr>
        <w:pStyle w:val="BodyText"/>
        <w:spacing w:before="27" w:line="208" w:lineRule="auto"/>
        <w:ind w:left="423"/>
      </w:pPr>
      <w:r>
        <w:rPr>
          <w:rFonts w:ascii="Cambria Math" w:eastAsia="Cambria Math" w:hAnsi="Cambria Math" w:cs="Cambria Math"/>
          <w:spacing w:val="8"/>
        </w:rPr>
        <w:t xml:space="preserve">P  </w:t>
      </w:r>
      <w:r>
        <w:rPr>
          <w:rFonts w:ascii="Times New Roman" w:eastAsia="Times New Roman" w:hAnsi="Times New Roman" w:cs="Times New Roman"/>
          <w:spacing w:val="8"/>
        </w:rPr>
        <w:t>——</w:t>
      </w:r>
      <w:r>
        <w:rPr>
          <w:spacing w:val="8"/>
        </w:rPr>
        <w:t>裸土提取精度；</w:t>
      </w:r>
    </w:p>
    <w:p>
      <w:pPr>
        <w:pStyle w:val="BodyText"/>
        <w:spacing w:before="1" w:line="227" w:lineRule="auto"/>
        <w:ind w:left="432"/>
      </w:pPr>
      <w:r>
        <w:rPr>
          <w:rFonts w:ascii="Times New Roman" w:eastAsia="Times New Roman" w:hAnsi="Times New Roman" w:cs="Times New Roman"/>
          <w:i/>
          <w:iCs/>
        </w:rPr>
        <w:t>TP</w:t>
      </w:r>
      <w:r>
        <w:rPr>
          <w:rFonts w:ascii="Times New Roman" w:eastAsia="Times New Roman" w:hAnsi="Times New Roman" w:cs="Times New Roman"/>
          <w:spacing w:val="9"/>
        </w:rPr>
        <w:t>——</w:t>
      </w:r>
      <w:r>
        <w:rPr>
          <w:spacing w:val="9"/>
        </w:rPr>
        <w:t>验证集中目视判读为裸土的像元数；</w:t>
      </w:r>
    </w:p>
    <w:p>
      <w:pPr>
        <w:pStyle w:val="BodyText"/>
        <w:spacing w:before="27" w:line="208" w:lineRule="auto"/>
        <w:ind w:left="423"/>
      </w:pPr>
      <w:r>
        <w:rPr>
          <w:rFonts w:ascii="Cambria Math" w:eastAsia="Cambria Math" w:hAnsi="Cambria Math" w:cs="Cambria Math"/>
        </w:rPr>
        <w:t>FP</w:t>
      </w:r>
      <w:r>
        <w:rPr>
          <w:rFonts w:ascii="Times New Roman" w:eastAsia="Times New Roman" w:hAnsi="Times New Roman" w:cs="Times New Roman"/>
          <w:spacing w:val="11"/>
        </w:rPr>
        <w:t>——</w:t>
      </w:r>
      <w:r>
        <w:rPr>
          <w:spacing w:val="11"/>
        </w:rPr>
        <w:t>验证集中目视判读为非裸土的像元数。</w:t>
      </w:r>
    </w:p>
    <w:p>
      <w:pPr>
        <w:pStyle w:val="BodyText"/>
        <w:spacing w:before="1" w:line="227" w:lineRule="auto"/>
        <w:ind w:left="3"/>
      </w:pPr>
      <w:r>
        <w:rPr>
          <w:rFonts w:ascii="SimHei" w:eastAsia="SimHei" w:hAnsi="SimHei" w:cs="SimHei"/>
          <w:spacing w:val="6"/>
        </w:rPr>
        <w:t>8.3.2</w:t>
      </w:r>
      <w:r>
        <w:rPr>
          <w:rFonts w:ascii="SimHei" w:eastAsia="SimHei" w:hAnsi="SimHei" w:cs="SimHei"/>
          <w:spacing w:val="6"/>
        </w:rPr>
        <w:t xml:space="preserve">  </w:t>
      </w:r>
      <w:r>
        <w:rPr>
          <w:spacing w:val="6"/>
          <w14:textOutline w14:w="3795" w14:cap="sq">
            <w14:solidFill>
              <w14:srgbClr w14:val="000000"/>
            </w14:solidFill>
            <w14:prstDash w14:val="solid"/>
            <w14:bevel/>
          </w14:textOutline>
        </w:rPr>
        <w:t>技术要求</w:t>
      </w:r>
    </w:p>
    <w:p>
      <w:pPr>
        <w:pStyle w:val="BodyText"/>
        <w:spacing w:before="135" w:line="227" w:lineRule="auto"/>
        <w:ind w:left="425"/>
      </w:pPr>
      <w:r>
        <w:rPr>
          <w:spacing w:val="8"/>
        </w:rPr>
        <w:t>裸土分布信息提取应符合下列要求：</w:t>
      </w:r>
    </w:p>
    <w:p>
      <w:pPr>
        <w:pStyle w:val="BodyText"/>
        <w:spacing w:before="44"/>
        <w:ind w:left="422" w:right="720" w:firstLine="4"/>
      </w:pPr>
      <w:r>
        <w:rPr>
          <w:spacing w:val="6"/>
        </w:rPr>
        <w:t>a)  裸土提取结果应以栅格二值化形式存储；</w:t>
      </w:r>
      <w:r>
        <w:rPr>
          <w:spacing w:val="2"/>
        </w:rPr>
        <w:t xml:space="preserve"> </w:t>
      </w:r>
      <w:r>
        <w:rPr>
          <w:spacing w:val="7"/>
        </w:rPr>
        <w:t>b)  裸土提取精度应不低于90%。</w:t>
      </w:r>
    </w:p>
    <w:p>
      <w:pPr>
        <w:spacing w:before="265" w:line="231" w:lineRule="auto"/>
        <w:outlineLvl w:val="0"/>
        <w:rPr>
          <w:rFonts w:ascii="SimHei" w:eastAsia="SimHei" w:hAnsi="SimHei" w:cs="SimHei"/>
          <w:sz w:val="20"/>
          <w:szCs w:val="20"/>
        </w:rPr>
      </w:pPr>
      <w:r>
        <w:rPr>
          <w:rFonts w:ascii="SimHei" w:eastAsia="SimHei" w:hAnsi="SimHei" w:cs="SimHei"/>
          <w:spacing w:val="8"/>
          <w:sz w:val="20"/>
          <w:szCs w:val="20"/>
        </w:rPr>
        <w:t>9</w:t>
      </w:r>
      <w:r>
        <w:rPr>
          <w:rFonts w:ascii="SimHei" w:eastAsia="SimHei" w:hAnsi="SimHei" w:cs="SimHei"/>
          <w:spacing w:val="8"/>
          <w:sz w:val="20"/>
          <w:szCs w:val="20"/>
        </w:rPr>
        <w:t xml:space="preserve">  </w:t>
      </w:r>
      <w:r>
        <w:rPr>
          <w:rFonts w:ascii="SimHei" w:eastAsia="SimHei" w:hAnsi="SimHei" w:cs="SimHei"/>
          <w:spacing w:val="8"/>
          <w:sz w:val="20"/>
          <w:szCs w:val="20"/>
        </w:rPr>
        <w:t>土壤样品采集与有机质测定</w:t>
      </w:r>
    </w:p>
    <w:p>
      <w:pPr>
        <w:spacing w:before="263" w:line="196" w:lineRule="auto"/>
        <w:outlineLvl w:val="1"/>
        <w:rPr>
          <w:rFonts w:ascii="SimHei" w:eastAsia="SimHei" w:hAnsi="SimHei" w:cs="SimHei"/>
          <w:sz w:val="20"/>
          <w:szCs w:val="20"/>
        </w:rPr>
      </w:pPr>
      <w:r>
        <w:rPr>
          <w:rFonts w:ascii="SimHei" w:eastAsia="SimHei" w:hAnsi="SimHei" w:cs="SimHei"/>
          <w:spacing w:val="6"/>
          <w:sz w:val="20"/>
          <w:szCs w:val="20"/>
        </w:rPr>
        <w:t>9.1</w:t>
      </w:r>
      <w:r>
        <w:rPr>
          <w:rFonts w:ascii="SimHei" w:eastAsia="SimHei" w:hAnsi="SimHei" w:cs="SimHei"/>
          <w:spacing w:val="6"/>
          <w:sz w:val="20"/>
          <w:szCs w:val="20"/>
        </w:rPr>
        <w:t xml:space="preserve">  </w:t>
      </w:r>
      <w:r>
        <w:rPr>
          <w:rFonts w:ascii="SimHei" w:eastAsia="SimHei" w:hAnsi="SimHei" w:cs="SimHei"/>
          <w:spacing w:val="6"/>
          <w:sz w:val="20"/>
          <w:szCs w:val="20"/>
        </w:rPr>
        <w:t>样点布设</w:t>
      </w:r>
    </w:p>
    <w:p>
      <w:pPr>
        <w:spacing w:line="14" w:lineRule="auto"/>
        <w:rPr>
          <w:rFonts w:ascii="Arial"/>
          <w:sz w:val="2"/>
        </w:rPr>
      </w:pPr>
      <w:r>
        <w:rPr>
          <w:rFonts w:ascii="Arial" w:eastAsia="Arial" w:hAnsi="Arial" w:cs="Arial"/>
          <w:sz w:val="2"/>
          <w:szCs w:val="2"/>
        </w:rPr>
        <w:br w:type="column"/>
      </w:r>
    </w:p>
    <w:tbl>
      <w:tblPr>
        <w:tblStyle w:val="TableNormal0"/>
        <w:tblW w:w="493" w:type="dxa"/>
        <w:tblInd w:w="0" w:type="dxa"/>
        <w:tblBorders>
          <w:top w:val="nil"/>
          <w:left w:val="nil"/>
          <w:bottom w:val="nil"/>
          <w:right w:val="nil"/>
          <w:insideH w:val="nil"/>
          <w:insideV w:val="nil"/>
        </w:tblBorders>
        <w:tblLayout w:type="fixed"/>
      </w:tblPr>
      <w:tblGrid>
        <w:gridCol w:w="493"/>
      </w:tblGrid>
      <w:tr>
        <w:tblPrEx>
          <w:tblW w:w="493" w:type="dxa"/>
          <w:tblInd w:w="0" w:type="dxa"/>
          <w:tblBorders>
            <w:top w:val="nil"/>
            <w:left w:val="nil"/>
            <w:bottom w:val="nil"/>
            <w:right w:val="nil"/>
            <w:insideH w:val="nil"/>
            <w:insideV w:val="nil"/>
          </w:tblBorders>
          <w:tblLayout w:type="fixed"/>
        </w:tblPrEx>
        <w:trPr>
          <w:trHeight w:val="164"/>
        </w:trPr>
        <w:tc>
          <w:tcPr>
            <w:tcW w:w="493" w:type="dxa"/>
            <w:tcBorders>
              <w:bottom w:val="single" w:sz="4" w:space="0" w:color="000000"/>
            </w:tcBorders>
            <w:vAlign w:val="top"/>
          </w:tcPr>
          <w:p>
            <w:pPr>
              <w:spacing w:line="225" w:lineRule="auto"/>
              <w:ind w:left="160"/>
              <w:rPr>
                <w:rFonts w:ascii="Cambria Math" w:eastAsia="Cambria Math" w:hAnsi="Cambria Math" w:cs="Cambria Math"/>
                <w:sz w:val="14"/>
                <w:szCs w:val="14"/>
              </w:rPr>
            </w:pPr>
            <w:r>
              <w:rPr>
                <w:rFonts w:ascii="Cambria Math" w:eastAsia="Cambria Math" w:hAnsi="Cambria Math" w:cs="Cambria Math"/>
                <w:spacing w:val="6"/>
                <w:sz w:val="14"/>
                <w:szCs w:val="14"/>
              </w:rPr>
              <w:t>TP</w:t>
            </w:r>
          </w:p>
        </w:tc>
      </w:tr>
      <w:tr>
        <w:tblPrEx>
          <w:tblW w:w="493" w:type="dxa"/>
          <w:tblInd w:w="0" w:type="dxa"/>
          <w:tblLayout w:type="fixed"/>
        </w:tblPrEx>
        <w:trPr>
          <w:trHeight w:val="157"/>
        </w:trPr>
        <w:tc>
          <w:tcPr>
            <w:tcW w:w="493" w:type="dxa"/>
            <w:tcBorders>
              <w:top w:val="single" w:sz="4" w:space="0" w:color="000000"/>
            </w:tcBorders>
            <w:vAlign w:val="top"/>
          </w:tcPr>
          <w:p>
            <w:pPr>
              <w:spacing w:before="52" w:line="94" w:lineRule="exact"/>
              <w:ind w:left="11"/>
              <w:rPr>
                <w:rFonts w:ascii="Cambria Math" w:eastAsia="Cambria Math" w:hAnsi="Cambria Math" w:cs="Cambria Math"/>
                <w:sz w:val="14"/>
                <w:szCs w:val="14"/>
              </w:rPr>
            </w:pPr>
            <w:r>
              <w:rPr>
                <w:rFonts w:ascii="Cambria Math" w:eastAsia="Cambria Math" w:hAnsi="Cambria Math" w:cs="Cambria Math"/>
                <w:spacing w:val="10"/>
                <w:position w:val="-2"/>
                <w:sz w:val="14"/>
                <w:szCs w:val="14"/>
              </w:rPr>
              <w:t>TP+FP</w:t>
            </w:r>
          </w:p>
        </w:tc>
      </w:tr>
    </w:tbl>
    <w:p>
      <w:pPr>
        <w:rPr>
          <w:rFonts w:ascii="Arial"/>
          <w:sz w:val="21"/>
        </w:rPr>
      </w:pPr>
    </w:p>
    <w:p>
      <w:pPr>
        <w:spacing w:line="14" w:lineRule="auto"/>
        <w:rPr>
          <w:rFonts w:ascii="Arial"/>
          <w:sz w:val="2"/>
        </w:rPr>
      </w:pPr>
      <w:r>
        <w:rPr>
          <w:rFonts w:ascii="Arial" w:eastAsia="Arial" w:hAnsi="Arial" w:cs="Arial"/>
          <w:sz w:val="2"/>
          <w:szCs w:val="2"/>
        </w:rPr>
        <w:br w:type="column"/>
      </w:r>
    </w:p>
    <w:p>
      <w:pPr>
        <w:pStyle w:val="BodyText"/>
        <w:spacing w:before="42"/>
        <w:ind w:right="14"/>
        <w:jc w:val="right"/>
      </w:pPr>
      <w:r>
        <w:rPr>
          <w:spacing w:val="-1"/>
        </w:rPr>
        <w:t>（2）</w:t>
      </w:r>
    </w:p>
    <w:p>
      <w:pPr>
        <w:sectPr>
          <w:footerReference w:type="default" r:id="rId16"/>
          <w:type w:val="continuous"/>
          <w:pgSz w:w="11906" w:h="16839"/>
          <w:pgMar w:top="1431" w:right="1413" w:bottom="1308" w:left="993" w:header="0" w:footer="1129" w:gutter="0"/>
          <w:pgNumType w:start="8"/>
          <w:cols w:num="3" w:space="708" w:equalWidth="0">
            <w:col w:w="5283" w:space="50"/>
            <w:col w:w="3346" w:space="100"/>
            <w:col w:w="720" w:space="0"/>
          </w:cols>
        </w:sectPr>
      </w:pPr>
    </w:p>
    <w:p>
      <w:pPr>
        <w:pStyle w:val="BodyText"/>
        <w:spacing w:before="179" w:line="227" w:lineRule="auto"/>
        <w:ind w:left="424"/>
      </w:pPr>
      <w:r>
        <w:rPr>
          <w:spacing w:val="8"/>
        </w:rPr>
        <w:t>样点布设要求和方法如下：</w:t>
      </w:r>
    </w:p>
    <w:p>
      <w:pPr>
        <w:pStyle w:val="BodyText"/>
        <w:spacing w:before="28" w:line="227" w:lineRule="auto"/>
        <w:ind w:left="426"/>
      </w:pPr>
      <w:r>
        <w:rPr>
          <w:spacing w:val="9"/>
        </w:rPr>
        <w:t>a)  样点布设应能反映区域内土壤有机质的空间变异性，应覆盖不同有机质含量等级的地块序列；</w:t>
      </w:r>
    </w:p>
    <w:p>
      <w:pPr>
        <w:pStyle w:val="BodyText"/>
        <w:spacing w:before="26" w:line="243" w:lineRule="auto"/>
        <w:ind w:left="845" w:right="6" w:hanging="423"/>
      </w:pPr>
      <w:r>
        <w:rPr>
          <w:spacing w:val="10"/>
        </w:rPr>
        <w:t>b)  样点布设宜采用历史土壤有机质空间分布数据辅助分层抽样方式，将土壤有机质数值范围划分</w:t>
      </w:r>
      <w:r>
        <w:rPr>
          <w:spacing w:val="18"/>
        </w:rPr>
        <w:t xml:space="preserve"> </w:t>
      </w:r>
      <w:r>
        <w:rPr>
          <w:spacing w:val="13"/>
        </w:rPr>
        <w:t>为（5</w:t>
      </w:r>
      <w:r>
        <w:rPr>
          <w:rFonts w:ascii="FangSong" w:eastAsia="FangSong" w:hAnsi="FangSong" w:cs="FangSong"/>
          <w:spacing w:val="13"/>
        </w:rPr>
        <w:t>～</w:t>
      </w:r>
      <w:r>
        <w:rPr>
          <w:spacing w:val="13"/>
        </w:rPr>
        <w:t>8）级，每级应布设不少于5个样点，如果监测区域无历史土壤有机质数据，应结合土</w:t>
      </w:r>
      <w:r>
        <w:t xml:space="preserve"> </w:t>
      </w:r>
      <w:r>
        <w:rPr>
          <w:spacing w:val="8"/>
        </w:rPr>
        <w:t>壤类型和/或土地利用信息分层布设土壤样点；</w:t>
      </w:r>
    </w:p>
    <w:p>
      <w:pPr>
        <w:pStyle w:val="BodyText"/>
        <w:spacing w:before="28" w:line="239" w:lineRule="auto"/>
        <w:ind w:left="870" w:right="6" w:hanging="441"/>
      </w:pPr>
      <w:r>
        <w:rPr>
          <w:spacing w:val="10"/>
        </w:rPr>
        <w:t>c)  样点应布设在地块中心位置，样点周边（3×3）个像元范围内的土壤类型、耕地利用类型、农</w:t>
      </w:r>
      <w:r>
        <w:rPr>
          <w:spacing w:val="1"/>
        </w:rPr>
        <w:t xml:space="preserve"> </w:t>
      </w:r>
      <w:r>
        <w:rPr>
          <w:spacing w:val="4"/>
        </w:rPr>
        <w:t>田管理措施应一致；</w:t>
      </w:r>
    </w:p>
    <w:p>
      <w:pPr>
        <w:pStyle w:val="BodyText"/>
        <w:spacing w:before="27" w:line="227" w:lineRule="auto"/>
        <w:ind w:left="429"/>
      </w:pPr>
      <w:r>
        <w:rPr>
          <w:spacing w:val="9"/>
        </w:rPr>
        <w:t>d)  在远郊区，样点布设应选择代表区域内主要土壤类型、土地利用类型和地理地貌的</w:t>
      </w:r>
      <w:r>
        <w:rPr>
          <w:spacing w:val="8"/>
        </w:rPr>
        <w:t>地块；</w:t>
      </w:r>
    </w:p>
    <w:p>
      <w:pPr>
        <w:pStyle w:val="BodyText"/>
        <w:spacing w:before="25" w:line="239" w:lineRule="auto"/>
        <w:ind w:left="844" w:right="7" w:hanging="414"/>
        <w:sectPr>
          <w:footerReference w:type="default" r:id="rId17"/>
          <w:type w:val="continuous"/>
          <w:pgSz w:w="11906" w:h="16839"/>
          <w:pgMar w:top="1431" w:right="1413" w:bottom="1308" w:left="993" w:header="0" w:footer="1129" w:gutter="0"/>
          <w:pgNumType w:start="9"/>
          <w:cols w:num="1" w:space="708" w:equalWidth="0">
            <w:col w:w="9499" w:space="0"/>
          </w:cols>
        </w:sectPr>
      </w:pPr>
      <w:r>
        <w:rPr>
          <w:spacing w:val="10"/>
        </w:rPr>
        <w:t>e)  在近郊区，样点布设应选择在种植面积相对较大的粮食作物、蔬菜基地以及特色农产品种植的</w:t>
      </w:r>
      <w:r>
        <w:rPr>
          <w:spacing w:val="9"/>
        </w:rPr>
        <w:t xml:space="preserve"> </w:t>
      </w:r>
      <w:r>
        <w:rPr>
          <w:spacing w:val="6"/>
        </w:rPr>
        <w:t>代表性地块；</w:t>
      </w:r>
    </w:p>
    <w:p>
      <w:pPr>
        <w:pStyle w:val="BodyText"/>
        <w:spacing w:before="27"/>
        <w:ind w:left="848" w:right="7" w:hanging="420"/>
      </w:pPr>
      <w:r>
        <w:rPr>
          <w:spacing w:val="10"/>
        </w:rPr>
        <w:t>f)  样点应远离城市垃圾堆放点、工业及生活排污口、交通、餐饮、住宅、沟渠、粪坑、坟墓等污</w:t>
      </w:r>
      <w:r>
        <w:rPr>
          <w:spacing w:val="11"/>
        </w:rPr>
        <w:t xml:space="preserve"> </w:t>
      </w:r>
      <w:r>
        <w:rPr>
          <w:spacing w:val="9"/>
        </w:rPr>
        <w:t>染源影响显著的地区300m以上，并避免在水土流失严重或表土被破坏</w:t>
      </w:r>
      <w:r>
        <w:rPr>
          <w:spacing w:val="8"/>
        </w:rPr>
        <w:t>处布设样点。</w:t>
      </w:r>
    </w:p>
    <w:p>
      <w:pPr>
        <w:spacing w:before="145" w:line="231" w:lineRule="auto"/>
        <w:outlineLvl w:val="1"/>
        <w:rPr>
          <w:rFonts w:ascii="SimHei" w:eastAsia="SimHei" w:hAnsi="SimHei" w:cs="SimHei"/>
          <w:sz w:val="20"/>
          <w:szCs w:val="20"/>
        </w:rPr>
      </w:pPr>
      <w:r>
        <w:rPr>
          <w:rFonts w:ascii="SimHei" w:eastAsia="SimHei" w:hAnsi="SimHei" w:cs="SimHei"/>
          <w:spacing w:val="6"/>
          <w:sz w:val="20"/>
          <w:szCs w:val="20"/>
        </w:rPr>
        <w:t>9.2</w:t>
      </w:r>
      <w:r>
        <w:rPr>
          <w:rFonts w:ascii="SimHei" w:eastAsia="SimHei" w:hAnsi="SimHei" w:cs="SimHei"/>
          <w:spacing w:val="6"/>
          <w:sz w:val="20"/>
          <w:szCs w:val="20"/>
        </w:rPr>
        <w:t xml:space="preserve">  </w:t>
      </w:r>
      <w:r>
        <w:rPr>
          <w:rFonts w:ascii="SimHei" w:eastAsia="SimHei" w:hAnsi="SimHei" w:cs="SimHei"/>
          <w:spacing w:val="6"/>
          <w:sz w:val="20"/>
          <w:szCs w:val="20"/>
        </w:rPr>
        <w:t>样品采集</w:t>
      </w:r>
    </w:p>
    <w:p>
      <w:pPr>
        <w:pStyle w:val="BodyText"/>
        <w:spacing w:before="143" w:line="272" w:lineRule="exact"/>
      </w:pPr>
      <w:r>
        <w:rPr>
          <w:rFonts w:ascii="SimHei" w:eastAsia="SimHei" w:hAnsi="SimHei" w:cs="SimHei"/>
          <w:spacing w:val="7"/>
          <w:position w:val="4"/>
        </w:rPr>
        <w:t>9.2.1</w:t>
      </w:r>
      <w:r>
        <w:rPr>
          <w:rFonts w:ascii="SimHei" w:eastAsia="SimHei" w:hAnsi="SimHei" w:cs="SimHei"/>
          <w:spacing w:val="7"/>
          <w:position w:val="4"/>
        </w:rPr>
        <w:t xml:space="preserve">  </w:t>
      </w:r>
      <w:r>
        <w:rPr>
          <w:spacing w:val="7"/>
          <w:position w:val="4"/>
          <w14:textOutline w14:w="3795" w14:cap="sq">
            <w14:solidFill>
              <w14:srgbClr w14:val="000000"/>
            </w14:solidFill>
            <w14:prstDash w14:val="solid"/>
            <w14:bevel/>
          </w14:textOutline>
        </w:rPr>
        <w:t>样品采集要求</w:t>
      </w:r>
    </w:p>
    <w:p>
      <w:pPr>
        <w:pStyle w:val="BodyText"/>
        <w:spacing w:before="1" w:line="226" w:lineRule="auto"/>
        <w:ind w:left="424"/>
      </w:pPr>
      <w:r>
        <w:rPr>
          <w:spacing w:val="7"/>
        </w:rPr>
        <w:t>样品采集要求如下：</w:t>
      </w:r>
    </w:p>
    <w:p>
      <w:pPr>
        <w:pStyle w:val="BodyText"/>
        <w:spacing w:before="135" w:line="227" w:lineRule="auto"/>
        <w:ind w:left="426"/>
      </w:pPr>
      <w:r>
        <w:rPr>
          <w:spacing w:val="9"/>
        </w:rPr>
        <w:t>a)  样品采集前，应准备好采样工具、工作底图和采样记录表等，样品采样记录表示</w:t>
      </w:r>
      <w:r>
        <w:rPr>
          <w:spacing w:val="8"/>
        </w:rPr>
        <w:t>例见附录</w:t>
      </w:r>
      <w:r>
        <w:rPr>
          <w:spacing w:val="-43"/>
        </w:rPr>
        <w:t xml:space="preserve"> </w:t>
      </w:r>
      <w:r>
        <w:rPr>
          <w:spacing w:val="8"/>
        </w:rPr>
        <w:t>B；</w:t>
      </w:r>
    </w:p>
    <w:p>
      <w:pPr>
        <w:pStyle w:val="BodyText"/>
        <w:spacing w:before="45"/>
        <w:ind w:left="844" w:right="4" w:hanging="422"/>
      </w:pPr>
      <w:r>
        <w:rPr>
          <w:spacing w:val="10"/>
        </w:rPr>
        <w:t xml:space="preserve">b)  样品采集时间宜在高光谱遥感数据拍摄日期前后10日内完成，样品采集与遥感数据拍摄时土壤 </w:t>
      </w:r>
      <w:r>
        <w:rPr>
          <w:spacing w:val="8"/>
        </w:rPr>
        <w:t>表面状况未发生明显变化；</w:t>
      </w:r>
    </w:p>
    <w:p>
      <w:pPr>
        <w:pStyle w:val="BodyText"/>
        <w:spacing w:before="24" w:line="232" w:lineRule="auto"/>
        <w:ind w:left="844" w:right="7" w:hanging="415"/>
      </w:pPr>
      <w:r>
        <w:rPr>
          <w:spacing w:val="10"/>
        </w:rPr>
        <w:t xml:space="preserve">c)  每个样点的土壤样品应为混合样，即样点所在一定半径范围内若干子样经均匀混合后的土壤样 </w:t>
      </w:r>
      <w:r>
        <w:rPr>
          <w:spacing w:val="10"/>
        </w:rPr>
        <w:t>品，混合样的半径范围应小于高光谱卫星遥感数据空间分辨率的一半，每个混合样由（3</w:t>
      </w:r>
      <w:r>
        <w:rPr>
          <w:rFonts w:ascii="FangSong" w:eastAsia="FangSong" w:hAnsi="FangSong" w:cs="FangSong"/>
          <w:spacing w:val="10"/>
        </w:rPr>
        <w:t>～</w:t>
      </w:r>
      <w:r>
        <w:rPr>
          <w:spacing w:val="10"/>
        </w:rPr>
        <w:t>5）</w:t>
      </w:r>
      <w:r>
        <w:rPr>
          <w:spacing w:val="7"/>
        </w:rPr>
        <w:t xml:space="preserve"> </w:t>
      </w:r>
      <w:r>
        <w:rPr>
          <w:spacing w:val="6"/>
        </w:rPr>
        <w:t>个子样组成；</w:t>
      </w:r>
    </w:p>
    <w:p>
      <w:pPr>
        <w:spacing w:line="232" w:lineRule="auto"/>
        <w:sectPr>
          <w:footerReference w:type="default" r:id="rId18"/>
          <w:type w:val="nextPage"/>
          <w:pgSz w:w="11906" w:h="16839"/>
          <w:pgMar w:top="1431" w:right="1413" w:bottom="1308" w:left="993" w:header="0" w:footer="1129" w:gutter="0"/>
          <w:pgNumType w:start="10"/>
          <w:cols w:num="1" w:space="708" w:equalWidth="0">
            <w:col w:w="9499" w:space="0"/>
          </w:cols>
          <w:titlePg w:val="0"/>
        </w:sectPr>
      </w:pPr>
    </w:p>
    <w:p>
      <w:pPr>
        <w:spacing w:before="42" w:line="265" w:lineRule="exact"/>
        <w:ind w:left="8030"/>
        <w:rPr>
          <w:rFonts w:ascii="SimHei" w:eastAsia="SimHei" w:hAnsi="SimHei" w:cs="SimHei"/>
          <w:sz w:val="20"/>
          <w:szCs w:val="20"/>
        </w:rPr>
      </w:pPr>
      <w:r>
        <w:rPr>
          <w:rFonts w:ascii="SimHei" w:eastAsia="SimHei" w:hAnsi="SimHei" w:cs="SimHei"/>
          <w:position w:val="1"/>
          <w:sz w:val="20"/>
          <w:szCs w:val="20"/>
        </w:rPr>
        <w:t>CH</w:t>
      </w:r>
      <w:r>
        <w:rPr>
          <w:rFonts w:ascii="SimHei" w:eastAsia="SimHei" w:hAnsi="SimHei" w:cs="SimHei"/>
          <w:spacing w:val="20"/>
          <w:position w:val="1"/>
          <w:sz w:val="20"/>
          <w:szCs w:val="20"/>
        </w:rPr>
        <w:t>/</w:t>
      </w:r>
      <w:r>
        <w:rPr>
          <w:rFonts w:ascii="SimHei" w:eastAsia="SimHei" w:hAnsi="SimHei" w:cs="SimHei"/>
          <w:position w:val="1"/>
          <w:sz w:val="20"/>
          <w:szCs w:val="20"/>
        </w:rPr>
        <w:t>T</w:t>
      </w:r>
      <w:r>
        <w:rPr>
          <w:rFonts w:ascii="SimHei" w:eastAsia="SimHei" w:hAnsi="SimHei" w:cs="SimHei"/>
          <w:spacing w:val="20"/>
          <w:position w:val="1"/>
          <w:sz w:val="20"/>
          <w:szCs w:val="20"/>
        </w:rPr>
        <w:t xml:space="preserve"> </w:t>
      </w:r>
      <w:r>
        <w:rPr>
          <w:rFonts w:ascii="SimHei" w:eastAsia="SimHei" w:hAnsi="SimHei" w:cs="SimHei"/>
          <w:position w:val="1"/>
          <w:sz w:val="20"/>
          <w:szCs w:val="20"/>
        </w:rPr>
        <w:t>XXXX</w:t>
      </w:r>
      <w:r>
        <w:rPr>
          <w:rFonts w:ascii="SimHei" w:eastAsia="SimHei" w:hAnsi="SimHei" w:cs="SimHei"/>
          <w:spacing w:val="20"/>
          <w:position w:val="1"/>
          <w:sz w:val="20"/>
          <w:szCs w:val="20"/>
        </w:rPr>
        <w:t>-</w:t>
      </w:r>
      <w:r>
        <w:rPr>
          <w:rFonts w:ascii="SimHei" w:eastAsia="SimHei" w:hAnsi="SimHei" w:cs="SimHei"/>
          <w:position w:val="1"/>
          <w:sz w:val="20"/>
          <w:szCs w:val="20"/>
        </w:rPr>
        <w:t>XXXX</w:t>
      </w:r>
    </w:p>
    <w:p>
      <w:pPr>
        <w:pStyle w:val="BodyText"/>
        <w:spacing w:before="188" w:line="241" w:lineRule="auto"/>
        <w:ind w:left="843" w:right="130" w:hanging="414"/>
      </w:pPr>
      <w:r>
        <w:rPr>
          <w:spacing w:val="9"/>
        </w:rPr>
        <w:t>d)  子样宜采用“X</w:t>
      </w:r>
      <w:r>
        <w:rPr>
          <w:spacing w:val="-71"/>
        </w:rPr>
        <w:t xml:space="preserve"> </w:t>
      </w:r>
      <w:r>
        <w:rPr>
          <w:spacing w:val="9"/>
        </w:rPr>
        <w:t>”形布点法、“S</w:t>
      </w:r>
      <w:r>
        <w:rPr>
          <w:spacing w:val="-71"/>
        </w:rPr>
        <w:t xml:space="preserve"> </w:t>
      </w:r>
      <w:r>
        <w:rPr>
          <w:spacing w:val="9"/>
        </w:rPr>
        <w:t>”形布点法、梅花形布点法或</w:t>
      </w:r>
      <w:r>
        <w:rPr>
          <w:spacing w:val="8"/>
        </w:rPr>
        <w:t>棋盘形布点法，每个子样采集深</w:t>
      </w:r>
      <w:r>
        <w:t xml:space="preserve"> </w:t>
      </w:r>
      <w:r>
        <w:rPr>
          <w:spacing w:val="8"/>
        </w:rPr>
        <w:t>度为（5</w:t>
      </w:r>
      <w:r>
        <w:rPr>
          <w:rFonts w:ascii="FangSong" w:eastAsia="FangSong" w:hAnsi="FangSong" w:cs="FangSong"/>
          <w:spacing w:val="8"/>
        </w:rPr>
        <w:t>～</w:t>
      </w:r>
      <w:r>
        <w:rPr>
          <w:spacing w:val="8"/>
        </w:rPr>
        <w:t>20）</w:t>
      </w:r>
      <w:r>
        <w:t>cm</w:t>
      </w:r>
      <w:r>
        <w:rPr>
          <w:spacing w:val="8"/>
        </w:rPr>
        <w:t>耕作层土壤，采土部位应一致；</w:t>
      </w:r>
    </w:p>
    <w:p>
      <w:pPr>
        <w:pStyle w:val="BodyText"/>
        <w:spacing w:before="22" w:line="239" w:lineRule="auto"/>
        <w:ind w:left="838" w:right="128" w:hanging="408"/>
      </w:pPr>
      <w:r>
        <w:rPr>
          <w:spacing w:val="10"/>
        </w:rPr>
        <w:t>e)  土壤样品应装入塑料密封袋内并外套布袋，写好便签、做好采样记录，标签与采样记录应按照</w:t>
      </w:r>
      <w:r>
        <w:rPr>
          <w:spacing w:val="9"/>
        </w:rPr>
        <w:t xml:space="preserve"> </w:t>
      </w:r>
      <w:r>
        <w:t>NY</w:t>
      </w:r>
      <w:r>
        <w:rPr>
          <w:spacing w:val="6"/>
        </w:rPr>
        <w:t>/T 1121.1—2006中2.2</w:t>
      </w:r>
      <w:r>
        <w:rPr>
          <w:spacing w:val="16"/>
        </w:rPr>
        <w:t xml:space="preserve"> </w:t>
      </w:r>
      <w:r>
        <w:rPr>
          <w:spacing w:val="6"/>
        </w:rPr>
        <w:t>f)的规定</w:t>
      </w:r>
      <w:r>
        <w:rPr>
          <w:spacing w:val="5"/>
        </w:rPr>
        <w:t>执行。</w:t>
      </w:r>
    </w:p>
    <w:p>
      <w:pPr>
        <w:pStyle w:val="BodyText"/>
        <w:spacing w:before="26" w:line="227" w:lineRule="auto"/>
      </w:pPr>
      <w:r>
        <w:rPr>
          <w:rFonts w:ascii="SimHei" w:eastAsia="SimHei" w:hAnsi="SimHei" w:cs="SimHei"/>
          <w:spacing w:val="7"/>
        </w:rPr>
        <w:t>9.2.2</w:t>
      </w:r>
      <w:r>
        <w:rPr>
          <w:rFonts w:ascii="SimHei" w:eastAsia="SimHei" w:hAnsi="SimHei" w:cs="SimHei"/>
          <w:spacing w:val="7"/>
        </w:rPr>
        <w:t xml:space="preserve">  </w:t>
      </w:r>
      <w:r>
        <w:rPr>
          <w:spacing w:val="7"/>
          <w14:textOutline w14:w="3795" w14:cap="sq">
            <w14:solidFill>
              <w14:srgbClr w14:val="000000"/>
            </w14:solidFill>
            <w14:prstDash w14:val="solid"/>
            <w14:bevel/>
          </w14:textOutline>
        </w:rPr>
        <w:t>样品采集方法</w:t>
      </w:r>
    </w:p>
    <w:p>
      <w:pPr>
        <w:pStyle w:val="BodyText"/>
        <w:spacing w:before="25" w:line="232" w:lineRule="auto"/>
        <w:ind w:left="424"/>
      </w:pPr>
      <w:r>
        <w:rPr>
          <w:spacing w:val="7"/>
        </w:rPr>
        <w:t>样品采集方法应按照</w:t>
      </w:r>
      <w:r>
        <w:t>NY</w:t>
      </w:r>
      <w:r>
        <w:rPr>
          <w:spacing w:val="7"/>
        </w:rPr>
        <w:t>/T 1121.1—2006中2.2 c)</w:t>
      </w:r>
      <w:r>
        <w:rPr>
          <w:rFonts w:ascii="FangSong" w:eastAsia="FangSong" w:hAnsi="FangSong" w:cs="FangSong"/>
          <w:spacing w:val="7"/>
        </w:rPr>
        <w:t>～</w:t>
      </w:r>
      <w:r>
        <w:rPr>
          <w:spacing w:val="7"/>
        </w:rPr>
        <w:t>e)的规定执行。</w:t>
      </w:r>
    </w:p>
    <w:p>
      <w:pPr>
        <w:spacing w:before="143" w:line="231" w:lineRule="auto"/>
        <w:outlineLvl w:val="1"/>
        <w:rPr>
          <w:rFonts w:ascii="SimHei" w:eastAsia="SimHei" w:hAnsi="SimHei" w:cs="SimHei"/>
          <w:sz w:val="20"/>
          <w:szCs w:val="20"/>
        </w:rPr>
      </w:pPr>
      <w:r>
        <w:rPr>
          <w:rFonts w:ascii="SimHei" w:eastAsia="SimHei" w:hAnsi="SimHei" w:cs="SimHei"/>
          <w:spacing w:val="6"/>
          <w:sz w:val="20"/>
          <w:szCs w:val="20"/>
        </w:rPr>
        <w:t>9.3</w:t>
      </w:r>
      <w:r>
        <w:rPr>
          <w:rFonts w:ascii="SimHei" w:eastAsia="SimHei" w:hAnsi="SimHei" w:cs="SimHei"/>
          <w:spacing w:val="6"/>
          <w:sz w:val="20"/>
          <w:szCs w:val="20"/>
        </w:rPr>
        <w:t xml:space="preserve">  </w:t>
      </w:r>
      <w:r>
        <w:rPr>
          <w:rFonts w:ascii="SimHei" w:eastAsia="SimHei" w:hAnsi="SimHei" w:cs="SimHei"/>
          <w:spacing w:val="6"/>
          <w:sz w:val="20"/>
          <w:szCs w:val="20"/>
        </w:rPr>
        <w:t>样品处理</w:t>
      </w:r>
    </w:p>
    <w:p>
      <w:pPr>
        <w:pStyle w:val="BodyText"/>
        <w:spacing w:before="140" w:line="228" w:lineRule="auto"/>
        <w:ind w:left="424"/>
      </w:pPr>
      <w:r>
        <w:rPr>
          <w:spacing w:val="7"/>
        </w:rPr>
        <w:t>样品处理应按照</w:t>
      </w:r>
      <w:r>
        <w:t>NY</w:t>
      </w:r>
      <w:r>
        <w:rPr>
          <w:spacing w:val="7"/>
        </w:rPr>
        <w:t>/T 1121.1—2006中3.2的规定执行。</w:t>
      </w:r>
    </w:p>
    <w:p>
      <w:pPr>
        <w:spacing w:before="147" w:line="231" w:lineRule="auto"/>
        <w:outlineLvl w:val="1"/>
        <w:rPr>
          <w:rFonts w:ascii="SimHei" w:eastAsia="SimHei" w:hAnsi="SimHei" w:cs="SimHei"/>
          <w:sz w:val="20"/>
          <w:szCs w:val="20"/>
        </w:rPr>
      </w:pPr>
      <w:r>
        <w:rPr>
          <w:rFonts w:ascii="SimHei" w:eastAsia="SimHei" w:hAnsi="SimHei" w:cs="SimHei"/>
          <w:spacing w:val="7"/>
          <w:sz w:val="20"/>
          <w:szCs w:val="20"/>
        </w:rPr>
        <w:t>9.4</w:t>
      </w:r>
      <w:r>
        <w:rPr>
          <w:rFonts w:ascii="SimHei" w:eastAsia="SimHei" w:hAnsi="SimHei" w:cs="SimHei"/>
          <w:spacing w:val="7"/>
          <w:sz w:val="20"/>
          <w:szCs w:val="20"/>
        </w:rPr>
        <w:t xml:space="preserve">  </w:t>
      </w:r>
      <w:r>
        <w:rPr>
          <w:rFonts w:ascii="SimHei" w:eastAsia="SimHei" w:hAnsi="SimHei" w:cs="SimHei"/>
          <w:spacing w:val="7"/>
          <w:sz w:val="20"/>
          <w:szCs w:val="20"/>
        </w:rPr>
        <w:t>样品有机质测定</w:t>
      </w:r>
    </w:p>
    <w:p>
      <w:pPr>
        <w:pStyle w:val="BodyText"/>
        <w:spacing w:before="141" w:line="227" w:lineRule="auto"/>
        <w:ind w:left="424"/>
      </w:pPr>
      <w:r>
        <w:rPr>
          <w:spacing w:val="7"/>
        </w:rPr>
        <w:t>样品有机质测定应按照</w:t>
      </w:r>
      <w:r>
        <w:t>NY</w:t>
      </w:r>
      <w:r>
        <w:rPr>
          <w:spacing w:val="7"/>
        </w:rPr>
        <w:t>/T 1121.6—2006的规定执行。</w:t>
      </w:r>
    </w:p>
    <w:p>
      <w:pPr>
        <w:spacing w:before="268" w:line="231" w:lineRule="auto"/>
        <w:ind w:left="16"/>
        <w:outlineLvl w:val="0"/>
        <w:rPr>
          <w:rFonts w:ascii="SimHei" w:eastAsia="SimHei" w:hAnsi="SimHei" w:cs="SimHei"/>
          <w:sz w:val="20"/>
          <w:szCs w:val="20"/>
        </w:rPr>
      </w:pPr>
      <w:r>
        <w:rPr>
          <w:rFonts w:ascii="SimHei" w:eastAsia="SimHei" w:hAnsi="SimHei" w:cs="SimHei"/>
          <w:spacing w:val="6"/>
          <w:sz w:val="20"/>
          <w:szCs w:val="20"/>
        </w:rPr>
        <w:t>10</w:t>
      </w:r>
      <w:r>
        <w:rPr>
          <w:rFonts w:ascii="SimHei" w:eastAsia="SimHei" w:hAnsi="SimHei" w:cs="SimHei"/>
          <w:spacing w:val="6"/>
          <w:sz w:val="20"/>
          <w:szCs w:val="20"/>
        </w:rPr>
        <w:t xml:space="preserve">  </w:t>
      </w:r>
      <w:r>
        <w:rPr>
          <w:rFonts w:ascii="SimHei" w:eastAsia="SimHei" w:hAnsi="SimHei" w:cs="SimHei"/>
          <w:spacing w:val="6"/>
          <w:sz w:val="20"/>
          <w:szCs w:val="20"/>
        </w:rPr>
        <w:t>模型构建与模型应用</w:t>
      </w:r>
    </w:p>
    <w:p>
      <w:pPr>
        <w:spacing w:before="261" w:line="231" w:lineRule="auto"/>
        <w:ind w:left="16"/>
        <w:outlineLvl w:val="1"/>
        <w:rPr>
          <w:rFonts w:ascii="SimHei" w:eastAsia="SimHei" w:hAnsi="SimHei" w:cs="SimHei"/>
          <w:sz w:val="20"/>
          <w:szCs w:val="20"/>
        </w:rPr>
      </w:pPr>
      <w:r>
        <w:rPr>
          <w:rFonts w:ascii="SimHei" w:eastAsia="SimHei" w:hAnsi="SimHei" w:cs="SimHei"/>
          <w:spacing w:val="4"/>
          <w:sz w:val="20"/>
          <w:szCs w:val="20"/>
        </w:rPr>
        <w:t>10.1</w:t>
      </w:r>
      <w:r>
        <w:rPr>
          <w:rFonts w:ascii="SimHei" w:eastAsia="SimHei" w:hAnsi="SimHei" w:cs="SimHei"/>
          <w:spacing w:val="4"/>
          <w:sz w:val="20"/>
          <w:szCs w:val="20"/>
        </w:rPr>
        <w:t xml:space="preserve">  </w:t>
      </w:r>
      <w:r>
        <w:rPr>
          <w:rFonts w:ascii="SimHei" w:eastAsia="SimHei" w:hAnsi="SimHei" w:cs="SimHei"/>
          <w:spacing w:val="4"/>
          <w:sz w:val="20"/>
          <w:szCs w:val="20"/>
        </w:rPr>
        <w:t>模型构建</w:t>
      </w:r>
    </w:p>
    <w:p>
      <w:pPr>
        <w:pStyle w:val="BodyText"/>
        <w:spacing w:before="143" w:line="228" w:lineRule="auto"/>
        <w:ind w:left="16"/>
      </w:pPr>
      <w:r>
        <w:rPr>
          <w:rFonts w:ascii="SimHei" w:eastAsia="SimHei" w:hAnsi="SimHei" w:cs="SimHei"/>
          <w:spacing w:val="5"/>
        </w:rPr>
        <w:t>10.1.1</w:t>
      </w:r>
      <w:r>
        <w:rPr>
          <w:rFonts w:ascii="SimHei" w:eastAsia="SimHei" w:hAnsi="SimHei" w:cs="SimHei"/>
          <w:spacing w:val="5"/>
        </w:rPr>
        <w:t xml:space="preserve">  </w:t>
      </w:r>
      <w:r>
        <w:rPr>
          <w:spacing w:val="5"/>
          <w14:textOutline w14:w="3795" w14:cap="sq">
            <w14:solidFill>
              <w14:srgbClr w14:val="000000"/>
            </w14:solidFill>
            <w14:prstDash w14:val="solid"/>
            <w14:bevel/>
          </w14:textOutline>
        </w:rPr>
        <w:t>数据集建立</w:t>
      </w:r>
    </w:p>
    <w:p>
      <w:pPr>
        <w:pStyle w:val="BodyText"/>
        <w:spacing w:before="23" w:line="244" w:lineRule="auto"/>
        <w:ind w:left="5" w:firstLine="420"/>
        <w:jc w:val="both"/>
      </w:pPr>
      <w:r>
        <w:rPr>
          <w:spacing w:val="11"/>
        </w:rPr>
        <w:t>应根据土壤样品有机质含量数值分布情况，采用分层随机方法划分训练集与验</w:t>
      </w:r>
      <w:r>
        <w:rPr>
          <w:spacing w:val="10"/>
        </w:rPr>
        <w:t>证集，训练集与验证</w:t>
      </w:r>
      <w:r>
        <w:t xml:space="preserve">  </w:t>
      </w:r>
      <w:r>
        <w:rPr>
          <w:spacing w:val="9"/>
        </w:rPr>
        <w:t>集的样品比例应在2:1至3:1的范围内。训</w:t>
      </w:r>
      <w:r>
        <w:rPr>
          <w:spacing w:val="8"/>
        </w:rPr>
        <w:t>练集用于光谱特征选择与反演模型构建，验证集用于精度验证。</w:t>
      </w:r>
      <w:r>
        <w:t xml:space="preserve"> </w:t>
      </w:r>
      <w:r>
        <w:rPr>
          <w:rFonts w:ascii="SimHei" w:eastAsia="SimHei" w:hAnsi="SimHei" w:cs="SimHei"/>
          <w:spacing w:val="6"/>
        </w:rPr>
        <w:t>10.1.2</w:t>
      </w:r>
      <w:r>
        <w:rPr>
          <w:rFonts w:ascii="SimHei" w:eastAsia="SimHei" w:hAnsi="SimHei" w:cs="SimHei"/>
          <w:spacing w:val="6"/>
        </w:rPr>
        <w:t xml:space="preserve">  </w:t>
      </w:r>
      <w:r>
        <w:rPr>
          <w:spacing w:val="6"/>
          <w14:textOutline w14:w="3795" w14:cap="sq">
            <w14:solidFill>
              <w14:srgbClr w14:val="000000"/>
            </w14:solidFill>
            <w14:prstDash w14:val="solid"/>
            <w14:bevel/>
          </w14:textOutline>
        </w:rPr>
        <w:t>光谱特征选择</w:t>
      </w:r>
    </w:p>
    <w:p>
      <w:pPr>
        <w:pStyle w:val="BodyText"/>
        <w:spacing w:before="24" w:line="227" w:lineRule="auto"/>
        <w:ind w:left="427"/>
      </w:pPr>
      <w:r>
        <w:rPr>
          <w:spacing w:val="9"/>
        </w:rPr>
        <w:t>光谱特征选择包括光谱特征计算和土壤有机质敏感特征筛选：</w:t>
      </w:r>
    </w:p>
    <w:p>
      <w:pPr>
        <w:pStyle w:val="BodyText"/>
        <w:spacing w:before="28" w:line="245" w:lineRule="auto"/>
        <w:ind w:left="844" w:right="128" w:hanging="418"/>
      </w:pPr>
      <w:r>
        <w:rPr>
          <w:spacing w:val="12"/>
        </w:rPr>
        <w:t>a)  利用8.2.3几何纠正后的地表反射率数据，根据训练集中样品坐标信息提取样品对应的像</w:t>
      </w:r>
      <w:r>
        <w:rPr>
          <w:spacing w:val="11"/>
        </w:rPr>
        <w:t>元反</w:t>
      </w:r>
      <w:r>
        <w:t xml:space="preserve"> </w:t>
      </w:r>
      <w:r>
        <w:rPr>
          <w:spacing w:val="11"/>
        </w:rPr>
        <w:t>射率光谱，计算光谱特征。常用的光谱特征包括光谱斜率、光谱吸收位置、光谱</w:t>
      </w:r>
      <w:r>
        <w:rPr>
          <w:spacing w:val="10"/>
        </w:rPr>
        <w:t>吸收深度、光</w:t>
      </w:r>
      <w:r>
        <w:t xml:space="preserve"> </w:t>
      </w:r>
      <w:r>
        <w:rPr>
          <w:spacing w:val="10"/>
        </w:rPr>
        <w:t>谱吸收宽度等参量化光谱特征，</w:t>
      </w:r>
      <w:r>
        <w:rPr>
          <w:spacing w:val="-60"/>
        </w:rPr>
        <w:t xml:space="preserve"> </w:t>
      </w:r>
      <w:r>
        <w:rPr>
          <w:spacing w:val="10"/>
        </w:rPr>
        <w:t>以及经过数学变换后的光谱，如倒数光谱、对数光</w:t>
      </w:r>
      <w:r>
        <w:rPr>
          <w:spacing w:val="9"/>
        </w:rPr>
        <w:t>谱、导数光</w:t>
      </w:r>
      <w:r>
        <w:t xml:space="preserve"> </w:t>
      </w:r>
      <w:r>
        <w:rPr>
          <w:spacing w:val="9"/>
        </w:rPr>
        <w:t>谱、积分光谱等，常用的光谱特征计算方法见附录C；</w:t>
      </w:r>
    </w:p>
    <w:p>
      <w:pPr>
        <w:pStyle w:val="BodyText"/>
        <w:spacing w:before="28" w:line="227" w:lineRule="auto"/>
        <w:ind w:left="422"/>
      </w:pPr>
      <w:r>
        <w:rPr>
          <w:spacing w:val="13"/>
        </w:rPr>
        <w:t>b)  土壤有机质敏感特征筛选宜采用基于相关分析的特</w:t>
      </w:r>
      <w:r>
        <w:rPr>
          <w:spacing w:val="12"/>
        </w:rPr>
        <w:t>征选择方法，按照公式（3）计算训练集中</w:t>
      </w:r>
    </w:p>
    <w:p>
      <w:pPr>
        <w:pStyle w:val="BodyText"/>
        <w:spacing w:before="25" w:line="224" w:lineRule="auto"/>
        <w:ind w:left="844"/>
      </w:pPr>
      <w:r>
        <w:rPr>
          <w:spacing w:val="-4"/>
          <w:position w:val="19"/>
        </w:rPr>
        <w:t>样品的各光谱特征与有机质含量</w:t>
      </w:r>
      <w:r>
        <w:ruby>
          <w:rubyPr>
            <w:rubyAlign w:val="left"/>
            <w:hps w:val="20"/>
            <w:hpsRaise w:val="18"/>
            <w:hpsBaseText w:val="20"/>
          </w:rubyPr>
          <w:rt>
            <w:r>
              <w:rPr>
                <w:w w:val="105"/>
              </w:rPr>
              <w:t>间</w:t>
            </w:r>
          </w:rt>
          <w:rubyBase>
            <w:r>
              <w:rPr>
                <w:rFonts w:ascii="Cambria Math" w:eastAsia="Cambria Math" w:hAnsi="Cambria Math" w:cs="Cambria Math"/>
                <w:w w:val="175"/>
                <w:position w:val="-18"/>
              </w:rPr>
              <w:t>p</w:t>
            </w:r>
          </w:rubyBase>
        </w:ruby>
      </w:r>
      <w:r>
        <w:rPr>
          <w:position w:val="-25"/>
        </w:rPr>
        <w:drawing>
          <wp:inline distT="0" distB="0" distL="0" distR="0">
            <wp:extent cx="171495" cy="39972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71495" cy="399722"/>
                    </a:xfrm>
                    <a:prstGeom prst="rect">
                      <a:avLst/>
                    </a:prstGeom>
                  </pic:spPr>
                </pic:pic>
              </a:graphicData>
            </a:graphic>
          </wp:inline>
        </w:drawing>
      </w:r>
      <w:r>
        <w:rPr>
          <w:spacing w:val="-4"/>
          <w:position w:val="19"/>
        </w:rPr>
        <w:t>皮</w:t>
      </w:r>
      <w:r>
        <w:rPr>
          <w:position w:val="-45"/>
        </w:rPr>
        <w:drawing>
          <wp:inline distT="0" distB="0" distL="0" distR="0">
            <wp:extent cx="147784" cy="52145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147784" cy="521456"/>
                    </a:xfrm>
                    <a:prstGeom prst="rect">
                      <a:avLst/>
                    </a:prstGeom>
                  </pic:spPr>
                </pic:pic>
              </a:graphicData>
            </a:graphic>
          </wp:inline>
        </w:drawing>
      </w:r>
      <w:r>
        <w:rPr>
          <w:position w:val="-49"/>
        </w:rPr>
        <w:drawing>
          <wp:inline distT="0" distB="0" distL="0" distR="0">
            <wp:extent cx="284415" cy="54907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284415" cy="549073"/>
                    </a:xfrm>
                    <a:prstGeom prst="rect">
                      <a:avLst/>
                    </a:prstGeom>
                  </pic:spPr>
                </pic:pic>
              </a:graphicData>
            </a:graphic>
          </wp:inline>
        </w:drawing>
      </w:r>
      <w:r>
        <w:rPr>
          <w:spacing w:val="-4"/>
          <w:position w:val="19"/>
          <w:u w:val="single" w:color="auto"/>
        </w:rPr>
        <w:t>关</w:t>
      </w:r>
      <w:r>
        <w:rPr>
          <w:rFonts w:ascii="Cambria Math" w:eastAsia="Cambria Math" w:hAnsi="Cambria Math" w:cs="Cambria Math"/>
          <w:spacing w:val="-4"/>
          <w:position w:val="-7"/>
          <w:sz w:val="12"/>
          <w:szCs w:val="12"/>
          <w:u w:val="single" w:color="auto"/>
        </w:rPr>
        <w:t>i</w:t>
      </w:r>
      <w:r>
        <w:rPr>
          <w:rFonts w:ascii="Cambria Math" w:eastAsia="Cambria Math" w:hAnsi="Cambria Math" w:cs="Cambria Math"/>
          <w:spacing w:val="-4"/>
          <w:position w:val="-39"/>
          <w:sz w:val="14"/>
          <w:szCs w:val="14"/>
          <w:u w:val="single" w:color="auto"/>
        </w:rPr>
        <w:t>x</w:t>
      </w:r>
      <w:r>
        <w:rPr>
          <w:rFonts w:ascii="Cambria Math" w:eastAsia="Cambria Math" w:hAnsi="Cambria Math" w:cs="Cambria Math"/>
          <w:spacing w:val="-4"/>
          <w:position w:val="-7"/>
          <w:sz w:val="12"/>
          <w:szCs w:val="12"/>
          <w:u w:val="single" w:color="auto"/>
        </w:rPr>
        <w:t>j</w:t>
      </w:r>
      <w:r>
        <w:rPr>
          <w:rFonts w:ascii="Cambria Math" w:eastAsia="Cambria Math" w:hAnsi="Cambria Math" w:cs="Cambria Math"/>
          <w:spacing w:val="-4"/>
          <w:position w:val="-42"/>
          <w:sz w:val="12"/>
          <w:szCs w:val="12"/>
        </w:rPr>
        <w:t>j</w:t>
      </w:r>
      <w:r>
        <w:rPr>
          <w:rFonts w:ascii="Cambria Math" w:eastAsia="Cambria Math" w:hAnsi="Cambria Math" w:cs="Cambria Math"/>
          <w:strike/>
          <w:spacing w:val="-4"/>
          <w:position w:val="-4"/>
          <w:sz w:val="14"/>
          <w:szCs w:val="14"/>
        </w:rPr>
        <w:t>−</w:t>
      </w:r>
      <w:r>
        <w:rPr>
          <w:position w:val="-45"/>
          <w:sz w:val="14"/>
          <w:szCs w:val="14"/>
        </w:rPr>
        <w:drawing>
          <wp:inline distT="0" distB="0" distL="0" distR="0">
            <wp:extent cx="258427" cy="521456"/>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258427" cy="521456"/>
                    </a:xfrm>
                    <a:prstGeom prst="rect">
                      <a:avLst/>
                    </a:prstGeom>
                  </pic:spPr>
                </pic:pic>
              </a:graphicData>
            </a:graphic>
          </wp:inline>
        </w:drawing>
      </w:r>
      <w:r>
        <w:rPr>
          <w:position w:val="-42"/>
          <w:sz w:val="14"/>
          <w:szCs w:val="14"/>
        </w:rPr>
        <w:drawing>
          <wp:inline distT="0" distB="0" distL="0" distR="0">
            <wp:extent cx="121782" cy="45959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121782" cy="459599"/>
                    </a:xfrm>
                    <a:prstGeom prst="rect">
                      <a:avLst/>
                    </a:prstGeom>
                  </pic:spPr>
                </pic:pic>
              </a:graphicData>
            </a:graphic>
          </wp:inline>
        </w:drawing>
      </w:r>
      <w:r>
        <w:ruby>
          <w:rubyPr>
            <w:rubyAlign w:val="left"/>
            <w:hps w:val="20"/>
            <w:hpsRaise w:val="18"/>
            <w:hpsBaseText w:val="20"/>
          </w:rubyPr>
          <w:rt>
            <w:r>
              <w:rPr>
                <w:w w:val="16"/>
              </w:rPr>
              <w:t>，</w:t>
            </w:r>
          </w:rt>
          <w:rubyBase>
            <w:r>
              <w:rPr>
                <w:rFonts w:ascii="Cambria Math" w:eastAsia="Cambria Math" w:hAnsi="Cambria Math" w:cs="Cambria Math"/>
                <w:w w:val="94"/>
                <w:position w:val="-42"/>
                <w:sz w:val="12"/>
                <w:szCs w:val="12"/>
              </w:rPr>
              <w:t>i</w:t>
            </w:r>
          </w:rubyBase>
        </w:ruby>
      </w:r>
      <w:r>
        <w:rPr>
          <w:rFonts w:ascii="Cambria Math" w:eastAsia="Cambria Math" w:hAnsi="Cambria Math" w:cs="Cambria Math"/>
          <w:strike/>
          <w:spacing w:val="-4"/>
          <w:position w:val="-39"/>
          <w:sz w:val="14"/>
          <w:szCs w:val="14"/>
        </w:rPr>
        <w:t>−</w:t>
      </w:r>
      <w:r>
        <w:rPr>
          <w:rFonts w:ascii="Cambria Math" w:eastAsia="Cambria Math" w:hAnsi="Cambria Math" w:cs="Cambria Math"/>
          <w:spacing w:val="-4"/>
          <w:position w:val="-39"/>
          <w:sz w:val="14"/>
          <w:szCs w:val="14"/>
        </w:rPr>
        <w:t>y-</w:t>
      </w:r>
      <w:r>
        <w:rPr>
          <w:rFonts w:ascii="Cambria Math" w:eastAsia="Cambria Math" w:hAnsi="Cambria Math" w:cs="Cambria Math"/>
          <w:spacing w:val="-5"/>
          <w:position w:val="19"/>
        </w:rPr>
        <w:t>p</w:t>
      </w:r>
      <w:r>
        <w:ruby>
          <w:rubyPr>
            <w:rubyAlign w:val="left"/>
            <w:hps w:val="14"/>
            <w:hpsRaise w:val="14"/>
            <w:hpsBaseText w:val="20"/>
          </w:rubyPr>
          <w:rt>
            <w:r>
              <w:rPr>
                <w:rFonts w:ascii="Cambria Math" w:eastAsia="Cambria Math" w:hAnsi="Cambria Math" w:cs="Cambria Math"/>
                <w:w w:val="142"/>
                <w:sz w:val="14"/>
                <w:szCs w:val="14"/>
              </w:rPr>
              <w:t>j</w:t>
            </w:r>
          </w:rt>
          <w:rubyBase>
            <w:r>
              <w:rPr>
                <w:rFonts w:ascii="Cambria Math" w:eastAsia="Cambria Math" w:hAnsi="Cambria Math" w:cs="Cambria Math"/>
                <w:w w:val="88"/>
                <w:position w:val="-34"/>
                <w:sz w:val="12"/>
                <w:szCs w:val="12"/>
              </w:rPr>
              <w:t>2</w:t>
            </w:r>
          </w:rubyBase>
        </w:ruby>
      </w:r>
      <w:r>
        <w:rPr>
          <w:spacing w:val="-5"/>
          <w:position w:val="19"/>
        </w:rPr>
        <w:t>大于0.4可通过筛选。</w:t>
      </w:r>
      <w:r>
        <w:rPr>
          <w:spacing w:val="7"/>
          <w:position w:val="19"/>
        </w:rPr>
        <w:t xml:space="preserve">       </w:t>
      </w:r>
      <w:r>
        <w:rPr>
          <w:spacing w:val="-5"/>
          <w:position w:val="-18"/>
        </w:rPr>
        <w:t>（3）</w:t>
      </w:r>
    </w:p>
    <w:p>
      <w:pPr>
        <w:pStyle w:val="BodyText"/>
        <w:spacing w:before="29" w:line="228" w:lineRule="auto"/>
        <w:ind w:left="429"/>
      </w:pPr>
      <w:r>
        <w:rPr>
          <w:spacing w:val="1"/>
        </w:rPr>
        <w:t>式中：</w:t>
      </w:r>
    </w:p>
    <w:p>
      <w:pPr>
        <w:pStyle w:val="BodyText"/>
        <w:spacing w:before="26" w:line="216" w:lineRule="auto"/>
        <w:ind w:left="418"/>
      </w:pPr>
      <w:r>
        <w:rPr>
          <w:rFonts w:ascii="Cambria Math" w:eastAsia="Cambria Math" w:hAnsi="Cambria Math" w:cs="Cambria Math"/>
        </w:rPr>
        <w:t>p</w:t>
      </w:r>
      <w:r>
        <w:rPr>
          <w:rFonts w:ascii="Cambria Math" w:eastAsia="Cambria Math" w:hAnsi="Cambria Math" w:cs="Cambria Math"/>
          <w:position w:val="-4"/>
          <w:sz w:val="14"/>
          <w:szCs w:val="14"/>
        </w:rPr>
        <w:t>j</w:t>
      </w:r>
      <w:r>
        <w:rPr>
          <w:rFonts w:ascii="Cambria Math" w:eastAsia="Cambria Math" w:hAnsi="Cambria Math" w:cs="Cambria Math"/>
          <w:spacing w:val="9"/>
          <w:position w:val="-4"/>
          <w:sz w:val="14"/>
          <w:szCs w:val="14"/>
        </w:rPr>
        <w:t xml:space="preserve">       </w:t>
      </w:r>
      <w:r>
        <w:rPr>
          <w:rFonts w:ascii="Times New Roman" w:eastAsia="Times New Roman" w:hAnsi="Times New Roman" w:cs="Times New Roman"/>
          <w:spacing w:val="9"/>
        </w:rPr>
        <w:t>——</w:t>
      </w:r>
      <w:r>
        <w:rPr>
          <w:spacing w:val="9"/>
        </w:rPr>
        <w:t>第</w:t>
      </w:r>
      <w:r>
        <w:rPr>
          <w:rFonts w:ascii="Cambria Math" w:eastAsia="Cambria Math" w:hAnsi="Cambria Math" w:cs="Cambria Math"/>
          <w:spacing w:val="9"/>
        </w:rPr>
        <w:t>j</w:t>
      </w:r>
      <w:r>
        <w:rPr>
          <w:spacing w:val="9"/>
        </w:rPr>
        <w:t>个光谱特征与有机质含量间的皮尔逊相关系数；</w:t>
      </w:r>
    </w:p>
    <w:p>
      <w:pPr>
        <w:pStyle w:val="BodyText"/>
        <w:spacing w:before="1" w:line="221" w:lineRule="auto"/>
        <w:ind w:left="420"/>
      </w:pPr>
      <w:r>
        <w:rPr>
          <w:rFonts w:ascii="Cambria Math" w:eastAsia="Cambria Math" w:hAnsi="Cambria Math" w:cs="Cambria Math"/>
        </w:rPr>
        <w:t>x</w:t>
      </w:r>
      <w:r>
        <w:rPr>
          <w:rFonts w:ascii="Cambria Math" w:eastAsia="Cambria Math" w:hAnsi="Cambria Math" w:cs="Cambria Math"/>
          <w:position w:val="-3"/>
          <w:sz w:val="14"/>
          <w:szCs w:val="14"/>
        </w:rPr>
        <w:t>ij</w:t>
      </w:r>
      <w:r>
        <w:rPr>
          <w:rFonts w:ascii="Cambria Math" w:eastAsia="Cambria Math" w:hAnsi="Cambria Math" w:cs="Cambria Math"/>
          <w:spacing w:val="10"/>
          <w:position w:val="-3"/>
          <w:sz w:val="14"/>
          <w:szCs w:val="14"/>
        </w:rPr>
        <w:t xml:space="preserve">      </w:t>
      </w:r>
      <w:r>
        <w:rPr>
          <w:rFonts w:ascii="Times New Roman" w:eastAsia="Times New Roman" w:hAnsi="Times New Roman" w:cs="Times New Roman"/>
          <w:spacing w:val="10"/>
        </w:rPr>
        <w:t>——</w:t>
      </w:r>
      <w:r>
        <w:rPr>
          <w:spacing w:val="10"/>
        </w:rPr>
        <w:t>第</w:t>
      </w:r>
      <w:r>
        <w:rPr>
          <w:rFonts w:ascii="Cambria Math" w:eastAsia="Cambria Math" w:hAnsi="Cambria Math" w:cs="Cambria Math"/>
          <w:spacing w:val="10"/>
        </w:rPr>
        <w:t>i</w:t>
      </w:r>
      <w:r>
        <w:rPr>
          <w:spacing w:val="10"/>
        </w:rPr>
        <w:t>个样品的第</w:t>
      </w:r>
      <w:r>
        <w:rPr>
          <w:rFonts w:ascii="Cambria Math" w:eastAsia="Cambria Math" w:hAnsi="Cambria Math" w:cs="Cambria Math"/>
          <w:spacing w:val="10"/>
        </w:rPr>
        <w:t>j</w:t>
      </w:r>
      <w:r>
        <w:rPr>
          <w:spacing w:val="10"/>
        </w:rPr>
        <w:t>个光谱特征</w:t>
      </w:r>
      <w:r>
        <w:rPr>
          <w:spacing w:val="9"/>
        </w:rPr>
        <w:t>的值；</w:t>
      </w:r>
    </w:p>
    <w:p>
      <w:pPr>
        <w:pStyle w:val="BodyText"/>
        <w:spacing w:line="264" w:lineRule="exact"/>
        <w:ind w:left="420"/>
      </w:pPr>
      <w:r>
        <w:ruby>
          <w:rubyPr>
            <w:rubyAlign w:val="left"/>
            <w:hps w:val="20"/>
            <w:hpsRaise w:val="0"/>
            <w:hpsBaseText w:val="20"/>
          </w:rubyPr>
          <w:rt>
            <w:r>
              <w:rPr>
                <w:rFonts w:ascii="Cambria Math" w:eastAsia="Cambria Math" w:hAnsi="Cambria Math" w:cs="Cambria Math"/>
                <w:w w:val="145"/>
                <w:position w:val="5"/>
              </w:rPr>
              <w:t>-</w:t>
            </w:r>
          </w:rt>
          <w:rubyBase>
            <w:r>
              <w:rPr>
                <w:rFonts w:ascii="Cambria Math" w:eastAsia="Cambria Math" w:hAnsi="Cambria Math" w:cs="Cambria Math"/>
                <w:w w:val="111"/>
                <w:position w:val="5"/>
              </w:rPr>
              <w:t>x</w:t>
            </w:r>
          </w:rubyBase>
        </w:ruby>
      </w:r>
      <w:r>
        <w:rPr>
          <w:rFonts w:ascii="Cambria Math" w:eastAsia="Cambria Math" w:hAnsi="Cambria Math" w:cs="Cambria Math"/>
          <w:spacing w:val="9"/>
          <w:position w:val="1"/>
          <w:sz w:val="14"/>
          <w:szCs w:val="14"/>
        </w:rPr>
        <w:t xml:space="preserve">j       </w:t>
      </w:r>
      <w:r>
        <w:rPr>
          <w:rFonts w:ascii="Times New Roman" w:eastAsia="Times New Roman" w:hAnsi="Times New Roman" w:cs="Times New Roman"/>
          <w:spacing w:val="9"/>
          <w:position w:val="5"/>
        </w:rPr>
        <w:t>——</w:t>
      </w:r>
      <w:r>
        <w:rPr>
          <w:spacing w:val="9"/>
          <w:position w:val="5"/>
        </w:rPr>
        <w:t>所有样品第</w:t>
      </w:r>
      <w:r>
        <w:rPr>
          <w:rFonts w:ascii="Cambria Math" w:eastAsia="Cambria Math" w:hAnsi="Cambria Math" w:cs="Cambria Math"/>
          <w:spacing w:val="9"/>
          <w:position w:val="5"/>
        </w:rPr>
        <w:t>j</w:t>
      </w:r>
      <w:r>
        <w:rPr>
          <w:spacing w:val="9"/>
          <w:position w:val="5"/>
        </w:rPr>
        <w:t>个光谱特征的平均值；</w:t>
      </w:r>
    </w:p>
    <w:p>
      <w:pPr>
        <w:pStyle w:val="BodyText"/>
        <w:spacing w:before="31" w:line="207" w:lineRule="auto"/>
        <w:ind w:left="456"/>
      </w:pPr>
      <w:r>
        <w:rPr>
          <w:rFonts w:ascii="Cambria Math" w:eastAsia="Cambria Math" w:hAnsi="Cambria Math" w:cs="Cambria Math"/>
        </w:rPr>
        <w:t>y</w:t>
      </w:r>
      <w:r>
        <w:rPr>
          <w:rFonts w:ascii="Cambria Math" w:eastAsia="Cambria Math" w:hAnsi="Cambria Math" w:cs="Cambria Math"/>
          <w:position w:val="-4"/>
          <w:sz w:val="14"/>
          <w:szCs w:val="14"/>
        </w:rPr>
        <w:t>i</w:t>
      </w:r>
      <w:r>
        <w:rPr>
          <w:rFonts w:ascii="Cambria Math" w:eastAsia="Cambria Math" w:hAnsi="Cambria Math" w:cs="Cambria Math"/>
          <w:spacing w:val="9"/>
          <w:position w:val="-4"/>
          <w:sz w:val="14"/>
          <w:szCs w:val="14"/>
        </w:rPr>
        <w:t xml:space="preserve">      </w:t>
      </w:r>
      <w:r>
        <w:rPr>
          <w:rFonts w:ascii="Times New Roman" w:eastAsia="Times New Roman" w:hAnsi="Times New Roman" w:cs="Times New Roman"/>
          <w:spacing w:val="9"/>
        </w:rPr>
        <w:t>——</w:t>
      </w:r>
      <w:r>
        <w:rPr>
          <w:spacing w:val="9"/>
        </w:rPr>
        <w:t>第</w:t>
      </w:r>
      <w:r>
        <w:rPr>
          <w:rFonts w:ascii="Cambria Math" w:eastAsia="Cambria Math" w:hAnsi="Cambria Math" w:cs="Cambria Math"/>
          <w:spacing w:val="9"/>
        </w:rPr>
        <w:t>i</w:t>
      </w:r>
      <w:r>
        <w:rPr>
          <w:spacing w:val="9"/>
        </w:rPr>
        <w:t>个样品的有机质含量值；</w:t>
      </w:r>
    </w:p>
    <w:p>
      <w:pPr>
        <w:pStyle w:val="BodyText"/>
        <w:spacing w:line="273" w:lineRule="exact"/>
        <w:ind w:left="456"/>
      </w:pPr>
      <w:r>
        <w:ruby>
          <w:rubyPr>
            <w:rubyAlign w:val="left"/>
            <w:hps w:val="22"/>
            <w:hpsRaise w:val="0"/>
            <w:hpsBaseText w:val="20"/>
          </w:rubyPr>
          <w:rt>
            <w:r>
              <w:rPr>
                <w:rFonts w:ascii="Cambria Math" w:eastAsia="Cambria Math" w:hAnsi="Cambria Math" w:cs="Cambria Math"/>
                <w:color w:val="05073B"/>
                <w:w w:val="147"/>
                <w:position w:val="8"/>
                <w:sz w:val="22"/>
                <w:szCs w:val="22"/>
              </w:rPr>
              <w:t>-</w:t>
            </w:r>
          </w:rt>
          <w:rubyBase>
            <w:r>
              <w:rPr>
                <w:rFonts w:ascii="Cambria Math" w:eastAsia="Cambria Math" w:hAnsi="Cambria Math" w:cs="Cambria Math"/>
                <w:w w:val="115"/>
                <w:position w:val="8"/>
              </w:rPr>
              <w:t>y</w:t>
            </w:r>
          </w:rubyBase>
        </w:ruby>
      </w:r>
      <w:r>
        <w:rPr>
          <w:rFonts w:ascii="Times New Roman" w:eastAsia="Times New Roman" w:hAnsi="Times New Roman" w:cs="Times New Roman"/>
          <w:spacing w:val="3"/>
          <w:position w:val="8"/>
        </w:rPr>
        <w:t xml:space="preserve">     </w:t>
      </w:r>
      <w:r>
        <w:rPr>
          <w:rFonts w:ascii="Times New Roman" w:eastAsia="Times New Roman" w:hAnsi="Times New Roman" w:cs="Times New Roman"/>
          <w:spacing w:val="9"/>
          <w:position w:val="8"/>
        </w:rPr>
        <w:t>——</w:t>
      </w:r>
      <w:r>
        <w:rPr>
          <w:spacing w:val="9"/>
          <w:position w:val="8"/>
        </w:rPr>
        <w:t>所有样品有机质含量的平均值；</w:t>
      </w:r>
    </w:p>
    <w:p>
      <w:pPr>
        <w:pStyle w:val="BodyText"/>
        <w:spacing w:before="1" w:line="208" w:lineRule="auto"/>
        <w:ind w:left="420"/>
      </w:pPr>
      <w:r>
        <w:rPr>
          <w:rFonts w:ascii="Cambria Math" w:eastAsia="Cambria Math" w:hAnsi="Cambria Math" w:cs="Cambria Math"/>
          <w:spacing w:val="7"/>
        </w:rPr>
        <w:t xml:space="preserve">m     </w:t>
      </w:r>
      <w:r>
        <w:rPr>
          <w:rFonts w:ascii="Times New Roman" w:eastAsia="Times New Roman" w:hAnsi="Times New Roman" w:cs="Times New Roman"/>
          <w:spacing w:val="7"/>
        </w:rPr>
        <w:t>——</w:t>
      </w:r>
      <w:r>
        <w:rPr>
          <w:spacing w:val="7"/>
        </w:rPr>
        <w:t>样品的数量。</w:t>
      </w:r>
    </w:p>
    <w:p>
      <w:pPr>
        <w:pStyle w:val="BodyText"/>
        <w:spacing w:line="227" w:lineRule="auto"/>
        <w:ind w:left="16"/>
      </w:pPr>
      <w:r>
        <w:rPr>
          <w:rFonts w:ascii="SimHei" w:eastAsia="SimHei" w:hAnsi="SimHei" w:cs="SimHei"/>
          <w:spacing w:val="5"/>
        </w:rPr>
        <w:t>10.1.3</w:t>
      </w:r>
      <w:r>
        <w:rPr>
          <w:rFonts w:ascii="SimHei" w:eastAsia="SimHei" w:hAnsi="SimHei" w:cs="SimHei"/>
          <w:spacing w:val="5"/>
        </w:rPr>
        <w:t xml:space="preserve">  </w:t>
      </w:r>
      <w:r>
        <w:rPr>
          <w:spacing w:val="5"/>
          <w14:textOutline w14:w="3795" w14:cap="sq">
            <w14:solidFill>
              <w14:srgbClr w14:val="000000"/>
            </w14:solidFill>
            <w14:prstDash w14:val="solid"/>
            <w14:bevel/>
          </w14:textOutline>
        </w:rPr>
        <w:t>反演模型构建</w:t>
      </w:r>
    </w:p>
    <w:p>
      <w:pPr>
        <w:pStyle w:val="BodyText"/>
        <w:spacing w:before="28" w:line="243" w:lineRule="auto"/>
        <w:ind w:left="5" w:right="128" w:firstLine="420"/>
        <w:jc w:val="both"/>
        <w:sectPr>
          <w:footerReference w:type="default" r:id="rId24"/>
          <w:pgSz w:w="11906" w:h="16839"/>
          <w:pgMar w:top="1406" w:right="1006" w:bottom="1426" w:left="1279" w:header="0" w:footer="1249" w:gutter="0"/>
          <w:pgNumType w:start="11"/>
          <w:cols w:space="708"/>
        </w:sectPr>
      </w:pPr>
      <w:r>
        <w:rPr>
          <w:spacing w:val="9"/>
        </w:rPr>
        <w:t>根据10.1.1划定的训练集样品数据，</w:t>
      </w:r>
      <w:r>
        <w:rPr>
          <w:spacing w:val="-59"/>
        </w:rPr>
        <w:t xml:space="preserve"> </w:t>
      </w:r>
      <w:r>
        <w:rPr>
          <w:spacing w:val="9"/>
        </w:rPr>
        <w:t>以10.1.2筛选的土壤有</w:t>
      </w:r>
      <w:r>
        <w:rPr>
          <w:spacing w:val="8"/>
        </w:rPr>
        <w:t>机质敏感特征为自变量、以有机质含量</w:t>
      </w:r>
      <w:r>
        <w:t xml:space="preserve"> </w:t>
      </w:r>
      <w:r>
        <w:rPr>
          <w:spacing w:val="11"/>
        </w:rPr>
        <w:t>为因变量，作为模型的输入参数训练模型。宜采用偏最小二乘回归、随机森林</w:t>
      </w:r>
      <w:r>
        <w:rPr>
          <w:spacing w:val="10"/>
        </w:rPr>
        <w:t>回归和高斯过程回归等统</w:t>
      </w:r>
      <w:r>
        <w:t xml:space="preserve"> </w:t>
      </w:r>
      <w:r>
        <w:rPr>
          <w:spacing w:val="9"/>
        </w:rPr>
        <w:t>计预测模型进行反演模型构建。常用的统计预测模型见附录D。</w:t>
      </w:r>
    </w:p>
    <w:p>
      <w:pPr>
        <w:spacing w:before="146" w:line="231" w:lineRule="auto"/>
        <w:ind w:left="16"/>
        <w:outlineLvl w:val="1"/>
        <w:rPr>
          <w:rFonts w:ascii="SimHei" w:eastAsia="SimHei" w:hAnsi="SimHei" w:cs="SimHei"/>
          <w:sz w:val="20"/>
          <w:szCs w:val="20"/>
        </w:rPr>
      </w:pPr>
      <w:r>
        <w:rPr>
          <w:rFonts w:ascii="SimHei" w:eastAsia="SimHei" w:hAnsi="SimHei" w:cs="SimHei"/>
          <w:spacing w:val="4"/>
          <w:sz w:val="20"/>
          <w:szCs w:val="20"/>
        </w:rPr>
        <w:t>10.2</w:t>
      </w:r>
      <w:r>
        <w:rPr>
          <w:rFonts w:ascii="SimHei" w:eastAsia="SimHei" w:hAnsi="SimHei" w:cs="SimHei"/>
          <w:spacing w:val="4"/>
          <w:sz w:val="20"/>
          <w:szCs w:val="20"/>
        </w:rPr>
        <w:t xml:space="preserve">  </w:t>
      </w:r>
      <w:r>
        <w:rPr>
          <w:rFonts w:ascii="SimHei" w:eastAsia="SimHei" w:hAnsi="SimHei" w:cs="SimHei"/>
          <w:spacing w:val="4"/>
          <w:sz w:val="20"/>
          <w:szCs w:val="20"/>
        </w:rPr>
        <w:t>模型应用</w:t>
      </w:r>
    </w:p>
    <w:p>
      <w:pPr>
        <w:pStyle w:val="BodyText"/>
        <w:spacing w:before="143" w:line="226" w:lineRule="auto"/>
        <w:ind w:left="426"/>
      </w:pPr>
      <w:r>
        <w:rPr>
          <w:spacing w:val="9"/>
        </w:rPr>
        <w:t>监测区土壤有机质含量分布结果估算方法如</w:t>
      </w:r>
      <w:r>
        <w:rPr>
          <w:spacing w:val="8"/>
        </w:rPr>
        <w:t>下：</w:t>
      </w:r>
    </w:p>
    <w:p>
      <w:pPr>
        <w:pStyle w:val="BodyText"/>
        <w:spacing w:before="26"/>
        <w:ind w:left="846" w:right="173" w:hanging="420"/>
      </w:pPr>
      <w:r>
        <w:rPr>
          <w:spacing w:val="8"/>
        </w:rPr>
        <w:t>a） 利用8.2.3几何纠正后的整个监测区地表反射率数据，根据8.3提取的裸土像元，计算10.1.2中</w:t>
      </w:r>
      <w:r>
        <w:rPr>
          <w:spacing w:val="11"/>
        </w:rPr>
        <w:t xml:space="preserve"> </w:t>
      </w:r>
      <w:r>
        <w:rPr>
          <w:spacing w:val="8"/>
        </w:rPr>
        <w:t>筛选的土壤有机质敏感特征，计算方法见附录C；</w:t>
      </w:r>
    </w:p>
    <w:p>
      <w:pPr>
        <w:pStyle w:val="BodyText"/>
        <w:spacing w:before="25" w:line="226" w:lineRule="auto"/>
        <w:ind w:left="422"/>
      </w:pPr>
      <w:r>
        <w:rPr>
          <w:spacing w:val="8"/>
        </w:rPr>
        <w:t>b） 应用10.1.3构建的模型进行估算，得到监测区土壤有机质含量分布结果。</w:t>
      </w:r>
    </w:p>
    <w:p>
      <w:pPr>
        <w:spacing w:before="147" w:line="230" w:lineRule="auto"/>
        <w:ind w:left="16"/>
        <w:outlineLvl w:val="1"/>
        <w:rPr>
          <w:rFonts w:ascii="SimHei" w:eastAsia="SimHei" w:hAnsi="SimHei" w:cs="SimHei"/>
          <w:sz w:val="20"/>
          <w:szCs w:val="20"/>
        </w:rPr>
      </w:pPr>
      <w:r>
        <w:rPr>
          <w:rFonts w:ascii="SimHei" w:eastAsia="SimHei" w:hAnsi="SimHei" w:cs="SimHei"/>
          <w:spacing w:val="4"/>
          <w:sz w:val="20"/>
          <w:szCs w:val="20"/>
        </w:rPr>
        <w:t>10.3</w:t>
      </w:r>
      <w:r>
        <w:rPr>
          <w:rFonts w:ascii="SimHei" w:eastAsia="SimHei" w:hAnsi="SimHei" w:cs="SimHei"/>
          <w:spacing w:val="4"/>
          <w:sz w:val="20"/>
          <w:szCs w:val="20"/>
        </w:rPr>
        <w:t xml:space="preserve">  </w:t>
      </w:r>
      <w:r>
        <w:rPr>
          <w:rFonts w:ascii="SimHei" w:eastAsia="SimHei" w:hAnsi="SimHei" w:cs="SimHei"/>
          <w:spacing w:val="4"/>
          <w:sz w:val="20"/>
          <w:szCs w:val="20"/>
        </w:rPr>
        <w:t>精度验证</w:t>
      </w:r>
    </w:p>
    <w:p>
      <w:pPr>
        <w:spacing w:before="144" w:line="229" w:lineRule="auto"/>
        <w:ind w:left="16"/>
        <w:rPr>
          <w:rFonts w:ascii="SimHei" w:eastAsia="SimHei" w:hAnsi="SimHei" w:cs="SimHei"/>
          <w:sz w:val="20"/>
          <w:szCs w:val="20"/>
        </w:rPr>
      </w:pPr>
      <w:r>
        <w:rPr>
          <w:rFonts w:ascii="SimHei" w:eastAsia="SimHei" w:hAnsi="SimHei" w:cs="SimHei"/>
          <w:spacing w:val="4"/>
          <w:sz w:val="20"/>
          <w:szCs w:val="20"/>
        </w:rPr>
        <w:t>10.3.1</w:t>
      </w:r>
      <w:r>
        <w:rPr>
          <w:rFonts w:ascii="SimHei" w:eastAsia="SimHei" w:hAnsi="SimHei" w:cs="SimHei"/>
          <w:spacing w:val="4"/>
          <w:sz w:val="20"/>
          <w:szCs w:val="20"/>
        </w:rPr>
        <w:t xml:space="preserve">  </w:t>
      </w:r>
      <w:r>
        <w:rPr>
          <w:rFonts w:ascii="SimHei" w:eastAsia="SimHei" w:hAnsi="SimHei" w:cs="SimHei"/>
          <w:spacing w:val="4"/>
          <w:sz w:val="20"/>
          <w:szCs w:val="20"/>
        </w:rPr>
        <w:t>验证方法</w:t>
      </w:r>
    </w:p>
    <w:p>
      <w:pPr>
        <w:spacing w:line="229" w:lineRule="auto"/>
        <w:rPr>
          <w:rFonts w:ascii="SimHei" w:eastAsia="SimHei" w:hAnsi="SimHei" w:cs="SimHei"/>
          <w:sz w:val="20"/>
          <w:szCs w:val="20"/>
        </w:rPr>
      </w:pP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https://d.book118.com/846221014000010055</w:t>
        </w:r>
      </w:hyperlink>
    </w:p>
    <w:p>
      <w:pPr>
        <w:spacing w:line="229" w:lineRule="auto"/>
        <w:rPr>
          <w:rFonts w:ascii="SimHei" w:eastAsia="SimHei" w:hAnsi="SimHei" w:cs="SimHei"/>
          <w:sz w:val="20"/>
          <w:szCs w:val="20"/>
        </w:rPr>
      </w:pPr>
    </w:p>
    <w:sectPr>
      <w:footerReference w:type="default" r:id="rId26"/>
      <w:type w:val="nextPage"/>
      <w:pgSz w:w="11906" w:h="16839"/>
      <w:pgMar w:top="1406" w:right="1006" w:bottom="1426" w:left="1279" w:header="0" w:footer="1249"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418"/>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418"/>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90"/>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90"/>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88"/>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88"/>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88"/>
      <w:rPr>
        <w:sz w:val="18"/>
        <w:szCs w:val="18"/>
      </w:rPr>
    </w:pPr>
    <w:r>
      <w:rPr>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88"/>
      <w:rPr>
        <w:sz w:val="18"/>
        <w:szCs w:val="18"/>
      </w:rPr>
    </w:pPr>
    <w:r>
      <w:rPr>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408"/>
      <w:rPr>
        <w:sz w:val="18"/>
        <w:szCs w:val="18"/>
      </w:rPr>
    </w:pPr>
    <w:r>
      <w:rPr>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408"/>
      <w:rPr>
        <w:sz w:val="18"/>
        <w:szCs w:val="18"/>
      </w:rPr>
    </w:pPr>
    <w:r>
      <w:rPr>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8.3.1.1" TargetMode="Externa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footer" Target="footer6.xml" /><Relationship Id="rId14" Type="http://schemas.openxmlformats.org/officeDocument/2006/relationships/hyperlink" Target="8.3.1.2" TargetMode="Externa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footer" Target="footer11.xml" /><Relationship Id="rId25" Type="http://schemas.openxmlformats.org/officeDocument/2006/relationships/hyperlink" Target="https://d.book118.com/846221014000010055" TargetMode="External" /><Relationship Id="rId26" Type="http://schemas.openxmlformats.org/officeDocument/2006/relationships/footer" Target="footer1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user</dc:creator>
  <cp:revision>0</cp:revision>
  <dcterms:created xsi:type="dcterms:W3CDTF">2024-03-06T11:09:23Z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2024-03-06T14:07:04Z</vt:filetime>
  </property>
  <property fmtid="{D5CDD505-2E9C-101B-9397-08002B2CF9AE}" pid="3" name="CRO">
    <vt:lpwstr>wqlLaW5nc29mdCBQREYgdG8gV1BTIDkw</vt:lpwstr>
  </property>
</Properties>
</file>