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1630" w:lineRule="exact"/>
        <w:ind w:right="1"/>
        <w:jc w:val="right"/>
      </w:pPr>
      <w:r>
        <w:pict>
          <v:group id="_x0000_s1025" style="width:228pt;height:841.85pt;margin-top:0;margin-left:0;mso-position-horizontal-relative:page;mso-position-vertical-relative:page;position:absolute;z-index:-251658240" coordorigin="0,0" coordsize="4560,16836" o:allowincell="f" filled="f" stroked="f">
            <v:shape id="_x0000_s1026" style="width:3832;height:13811;left:726;position:absolute;top:2086" coordorigin="0,0" coordsize="3832,13811" path="m,13811l3832,13811l3832,l,l,13811xe" filled="t" fillcolor="#d8d8d8" stroked="f"/>
            <v:shape id="_x0000_s1027" style="width:698;height:16836;position:absolute" coordorigin="0,0" coordsize="698,16836" path="m,16836l697,16836l697,l,l,16836xe" filled="t" fillcolor="#a7001d" stroked="f"/>
          </v:group>
        </w:pict>
      </w:r>
      <w:r>
        <w:rPr>
          <w:position w:val="-33"/>
        </w:rPr>
        <w:drawing>
          <wp:inline distT="0" distB="0" distL="0" distR="0">
            <wp:extent cx="7115809" cy="1035444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5809" cy="103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19" w:line="222" w:lineRule="auto"/>
        <w:ind w:left="799"/>
      </w:pPr>
      <w:r>
        <w:rPr>
          <w:color w:val="FFFFFF"/>
          <w:spacing w:val="3"/>
          <w:shd w:val="clear" w:color="auto" w:fill="A7001D"/>
          <w14:textOutline w14:w="3614">
            <w14:solidFill>
              <w14:srgbClr w14:val="FFFFFF"/>
            </w14:solidFill>
            <w14:prstDash w14:val="solid"/>
            <w14:miter w14:lim="10"/>
          </w14:textOutline>
        </w:rPr>
        <w:t>电力设备</w:t>
      </w:r>
      <w:r>
        <w:rPr>
          <w:color w:val="FFFFFF"/>
          <w:spacing w:val="3"/>
          <w:shd w:val="clear" w:color="auto" w:fill="A7001D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FFFF"/>
          <w:spacing w:val="3"/>
          <w:shd w:val="clear" w:color="auto" w:fill="A7001D"/>
        </w:rPr>
        <w:t xml:space="preserve">|  </w:t>
      </w:r>
      <w:r>
        <w:rPr>
          <w:color w:val="FFFFFF"/>
          <w:spacing w:val="3"/>
          <w:shd w:val="clear" w:color="auto" w:fill="A7001D"/>
          <w14:textOutline w14:w="3614">
            <w14:solidFill>
              <w14:srgbClr w14:val="FFFFFF"/>
            </w14:solidFill>
            <w14:prstDash w14:val="solid"/>
            <w14:miter w14:lim="10"/>
          </w14:textOutline>
        </w:rPr>
        <w:t>证券研究报告</w:t>
      </w:r>
      <w:r>
        <w:rPr>
          <w:color w:val="FFFFFF"/>
          <w:spacing w:val="3"/>
          <w:shd w:val="clear" w:color="auto" w:fill="A7001D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FFFF"/>
          <w:spacing w:val="3"/>
          <w:shd w:val="clear" w:color="auto" w:fill="A7001D"/>
        </w:rPr>
        <w:t xml:space="preserve">—  </w:t>
      </w:r>
      <w:r>
        <w:rPr>
          <w:color w:val="FFFFFF"/>
          <w:spacing w:val="3"/>
          <w:shd w:val="clear" w:color="auto" w:fill="A7001D"/>
          <w14:textOutline w14:w="3614">
            <w14:solidFill>
              <w14:srgbClr w14:val="FFFFFF"/>
            </w14:solidFill>
            <w14:prstDash w14:val="solid"/>
            <w14:miter w14:lim="10"/>
          </w14:textOutline>
        </w:rPr>
        <w:t>行业策略报告</w:t>
      </w:r>
      <w:r>
        <w:rPr>
          <w:color w:val="FFFFFF"/>
          <w:spacing w:val="1"/>
          <w:shd w:val="clear" w:color="auto" w:fill="A7001D"/>
        </w:rPr>
        <w:t xml:space="preserve">                                                 </w:t>
      </w:r>
      <w:r>
        <w:rPr>
          <w:color w:val="FFFFFF"/>
          <w:shd w:val="clear" w:color="auto" w:fill="A7001D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FFFFFF"/>
          <w:spacing w:val="3"/>
          <w:shd w:val="clear" w:color="auto" w:fill="A7001D"/>
        </w:rPr>
        <w:t>2024</w:t>
      </w:r>
      <w:r>
        <w:rPr>
          <w:rFonts w:ascii="Times New Roman" w:eastAsia="Times New Roman" w:hAnsi="Times New Roman" w:cs="Times New Roman"/>
          <w:b/>
          <w:bCs/>
          <w:color w:val="FFFFFF"/>
          <w:spacing w:val="11"/>
          <w:shd w:val="clear" w:color="auto" w:fill="A7001D"/>
        </w:rPr>
        <w:t xml:space="preserve"> </w:t>
      </w:r>
      <w:r>
        <w:rPr>
          <w:color w:val="FFFFFF"/>
          <w:spacing w:val="3"/>
          <w:shd w:val="clear" w:color="auto" w:fill="A7001D"/>
          <w14:textOutline w14:w="3614">
            <w14:solidFill>
              <w14:srgbClr w14:val="FFFFFF"/>
            </w14:solidFill>
            <w14:prstDash w14:val="solid"/>
            <w14:miter w14:lim="10"/>
          </w14:textOutline>
        </w:rPr>
        <w:t>年</w:t>
      </w:r>
      <w:r>
        <w:rPr>
          <w:color w:val="FFFFFF"/>
          <w:spacing w:val="-29"/>
          <w:shd w:val="clear" w:color="auto" w:fill="A7001D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FFFF"/>
          <w:spacing w:val="3"/>
          <w:shd w:val="clear" w:color="auto" w:fill="A7001D"/>
        </w:rPr>
        <w:t>1</w:t>
      </w:r>
      <w:r>
        <w:rPr>
          <w:rFonts w:ascii="Times New Roman" w:eastAsia="Times New Roman" w:hAnsi="Times New Roman" w:cs="Times New Roman"/>
          <w:b/>
          <w:bCs/>
          <w:color w:val="FFFFFF"/>
          <w:spacing w:val="19"/>
          <w:shd w:val="clear" w:color="auto" w:fill="A7001D"/>
        </w:rPr>
        <w:t xml:space="preserve"> </w:t>
      </w:r>
      <w:r>
        <w:rPr>
          <w:color w:val="FFFFFF"/>
          <w:spacing w:val="3"/>
          <w:shd w:val="clear" w:color="auto" w:fill="A7001D"/>
          <w14:textOutline w14:w="3614">
            <w14:solidFill>
              <w14:srgbClr w14:val="FFFFFF"/>
            </w14:solidFill>
            <w14:prstDash w14:val="solid"/>
            <w14:miter w14:lim="10"/>
          </w14:textOutline>
        </w:rPr>
        <w:t>月</w:t>
      </w:r>
      <w:r>
        <w:rPr>
          <w:color w:val="FFFFFF"/>
          <w:spacing w:val="-29"/>
          <w:shd w:val="clear" w:color="auto" w:fill="A7001D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FFFF"/>
          <w:spacing w:val="3"/>
          <w:shd w:val="clear" w:color="auto" w:fill="A7001D"/>
        </w:rPr>
        <w:t>1</w:t>
      </w:r>
      <w:r>
        <w:rPr>
          <w:rFonts w:ascii="Times New Roman" w:eastAsia="Times New Roman" w:hAnsi="Times New Roman" w:cs="Times New Roman"/>
          <w:b/>
          <w:bCs/>
          <w:color w:val="FFFFFF"/>
          <w:spacing w:val="2"/>
          <w:shd w:val="clear" w:color="auto" w:fill="A7001D"/>
        </w:rPr>
        <w:t xml:space="preserve">0  </w:t>
      </w:r>
      <w:r>
        <w:rPr>
          <w:color w:val="FFFFFF"/>
          <w:spacing w:val="2"/>
          <w:shd w:val="clear" w:color="auto" w:fill="A7001D"/>
          <w14:textOutline w14:w="3614">
            <w14:solidFill>
              <w14:srgbClr w14:val="FFFFFF"/>
            </w14:solidFill>
            <w14:prstDash w14:val="solid"/>
            <w14:miter w14:lim="10"/>
          </w14:textOutline>
        </w:rPr>
        <w:t>日</w:t>
      </w:r>
      <w:r>
        <w:rPr>
          <w:color w:val="FFFFFF"/>
          <w:spacing w:val="2"/>
          <w:shd w:val="clear" w:color="auto" w:fill="A7001D"/>
        </w:rPr>
        <w:t xml:space="preserve">       </w:t>
      </w:r>
    </w:p>
    <w:p>
      <w:pPr>
        <w:pStyle w:val="BodyText"/>
        <w:spacing w:before="307" w:line="727" w:lineRule="exact"/>
        <w:ind w:left="4705"/>
        <w:rPr>
          <w:sz w:val="55"/>
          <w:szCs w:val="5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191.1pt;height:43.1pt;margin-top:4.58pt;margin-left:36.36pt;position:absolute;z-index:251661312" filled="t" fillcolor="#a7001d" stroked="f">
            <o:lock v:ext="edit" aspectratio="f"/>
            <v:textbox inset="0,0,0,0">
              <w:txbxContent>
                <w:p>
                  <w:pPr>
                    <w:pStyle w:val="BodyText"/>
                    <w:spacing w:before="215" w:line="222" w:lineRule="auto"/>
                    <w:ind w:left="852"/>
                    <w:rPr>
                      <w:sz w:val="55"/>
                      <w:szCs w:val="55"/>
                    </w:rPr>
                  </w:pPr>
                  <w:r>
                    <w:rPr>
                      <w:color w:val="FFFFFF"/>
                      <w:spacing w:val="-1"/>
                      <w:sz w:val="55"/>
                      <w:szCs w:val="55"/>
                      <w14:textOutline w14:w="10145">
                        <w14:solidFill>
                          <w14:srgbClr w14:val="FFFFFF"/>
                        </w14:solidFill>
                        <w14:prstDash w14:val="solid"/>
                        <w14:miter w14:lim="10"/>
                      </w14:textOutline>
                    </w:rPr>
                    <w:t>强于大市</w:t>
                  </w:r>
                </w:p>
              </w:txbxContent>
            </v:textbox>
          </v:shape>
        </w:pict>
      </w:r>
      <w:r>
        <w:rPr>
          <w:spacing w:val="1"/>
          <w:position w:val="11"/>
          <w:sz w:val="55"/>
          <w:szCs w:val="55"/>
          <w14:textOutline w14:w="10145">
            <w14:solidFill>
              <w14:srgbClr w14:val="000000"/>
            </w14:solidFill>
            <w14:prstDash w14:val="solid"/>
            <w14:miter w14:lim="10"/>
          </w14:textOutline>
        </w:rPr>
        <w:t>新能源汽车行业</w:t>
      </w:r>
      <w:r>
        <w:rPr>
          <w:spacing w:val="1"/>
          <w:position w:val="11"/>
          <w:sz w:val="55"/>
          <w:szCs w:val="5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11"/>
          <w:sz w:val="55"/>
          <w:szCs w:val="55"/>
        </w:rPr>
        <w:t>2024</w:t>
      </w:r>
      <w:r>
        <w:rPr>
          <w:rFonts w:ascii="Times New Roman" w:eastAsia="Times New Roman" w:hAnsi="Times New Roman" w:cs="Times New Roman"/>
          <w:b/>
          <w:bCs/>
          <w:spacing w:val="135"/>
          <w:position w:val="11"/>
          <w:sz w:val="55"/>
          <w:szCs w:val="55"/>
        </w:rPr>
        <w:t xml:space="preserve"> </w:t>
      </w:r>
      <w:r>
        <w:rPr>
          <w:spacing w:val="1"/>
          <w:position w:val="11"/>
          <w:sz w:val="55"/>
          <w:szCs w:val="55"/>
          <w14:textOutline w14:w="10145">
            <w14:solidFill>
              <w14:srgbClr w14:val="000000"/>
            </w14:solidFill>
            <w14:prstDash w14:val="solid"/>
            <w14:miter w14:lim="10"/>
          </w14:textOutline>
        </w:rPr>
        <w:t>年度</w:t>
      </w:r>
    </w:p>
    <w:p>
      <w:pPr>
        <w:pStyle w:val="BodyText"/>
        <w:spacing w:line="219" w:lineRule="auto"/>
        <w:ind w:left="4697"/>
        <w:rPr>
          <w:sz w:val="55"/>
          <w:szCs w:val="55"/>
        </w:rPr>
      </w:pPr>
      <w:r>
        <w:rPr>
          <w:spacing w:val="-2"/>
          <w:sz w:val="55"/>
          <w:szCs w:val="55"/>
          <w14:textOutline w14:w="10145">
            <w14:solidFill>
              <w14:srgbClr w14:val="000000"/>
            </w14:solidFill>
            <w14:prstDash w14:val="solid"/>
            <w14:miter w14:lim="10"/>
          </w14:textOutline>
        </w:rPr>
        <w:t>策略</w:t>
      </w:r>
    </w:p>
    <w:p>
      <w:pPr>
        <w:pStyle w:val="BodyText"/>
        <w:spacing w:before="127" w:line="206" w:lineRule="auto"/>
        <w:ind w:left="4696"/>
        <w:rPr>
          <w:sz w:val="33"/>
          <w:szCs w:val="33"/>
        </w:rPr>
      </w:pPr>
      <w:r>
        <w:rPr>
          <w:i/>
          <w:iCs/>
          <w:spacing w:val="-6"/>
          <w:sz w:val="33"/>
          <w:szCs w:val="33"/>
        </w:rPr>
        <w:t>电动浪潮风起云涌，行业格局有望重塑</w:t>
      </w:r>
    </w:p>
    <w:p>
      <w:pPr>
        <w:pStyle w:val="BodyText"/>
        <w:spacing w:before="117" w:line="222" w:lineRule="auto"/>
        <w:ind w:left="4678" w:right="585" w:firstLine="2"/>
        <w:jc w:val="both"/>
      </w:pPr>
      <w:r>
        <w:rPr>
          <w:spacing w:val="7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预计</w:t>
      </w:r>
      <w:r>
        <w:rPr>
          <w:spacing w:val="-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7"/>
        </w:rPr>
        <w:t xml:space="preserve">2024 </w:t>
      </w:r>
      <w:r>
        <w:rPr>
          <w:spacing w:val="7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年全球新能源汽车持续高景气发展，销量有望创新高，带动产业链</w:t>
      </w:r>
      <w:r>
        <w:t xml:space="preserve"> </w:t>
      </w:r>
      <w:r>
        <w:rPr>
          <w:spacing w:val="-3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需求高增长。</w:t>
      </w:r>
      <w:r>
        <w:rPr>
          <w:spacing w:val="52"/>
        </w:rPr>
        <w:t xml:space="preserve"> </w:t>
      </w:r>
      <w:r>
        <w:rPr>
          <w:spacing w:val="-3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随着产能出清，</w:t>
      </w:r>
      <w:r>
        <w:rPr>
          <w:spacing w:val="77"/>
        </w:rPr>
        <w:t xml:space="preserve"> </w:t>
      </w:r>
      <w:r>
        <w:rPr>
          <w:spacing w:val="-3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电池和材料环节盈利有望逐</w:t>
      </w:r>
      <w:r>
        <w:rPr>
          <w:spacing w:val="-4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步回归合理，</w:t>
      </w:r>
      <w:r>
        <w:rPr>
          <w:spacing w:val="64"/>
        </w:rPr>
        <w:t xml:space="preserve"> </w:t>
      </w:r>
      <w:r>
        <w:rPr>
          <w:spacing w:val="-4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新技</w:t>
      </w:r>
      <w:r>
        <w:t xml:space="preserve"> 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术有望逐步提升渗透率，</w:t>
      </w:r>
      <w:r>
        <w:rPr>
          <w:spacing w:val="5"/>
        </w:rPr>
        <w:t xml:space="preserve"> 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带动产业链技术升级，维持行业</w:t>
      </w:r>
      <w:r>
        <w:rPr>
          <w:i/>
          <w:iCs/>
          <w:spacing w:val="5"/>
          <w:sz w:val="20"/>
          <w:szCs w:val="20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强于大市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评级。</w:t>
      </w:r>
    </w:p>
    <w:p>
      <w:pPr>
        <w:pStyle w:val="BodyText"/>
        <w:spacing w:before="23" w:line="216" w:lineRule="auto"/>
        <w:ind w:left="4688"/>
        <w:rPr>
          <w:sz w:val="21"/>
          <w:szCs w:val="21"/>
        </w:rPr>
      </w:pPr>
      <w:r>
        <w:rPr>
          <w:color w:val="A7001D"/>
          <w:spacing w:val="-2"/>
          <w:sz w:val="21"/>
          <w:szCs w:val="21"/>
          <w14:textOutline w14:w="3831">
            <w14:solidFill>
              <w14:srgbClr w14:val="A7001D"/>
            </w14:solidFill>
            <w14:prstDash w14:val="solid"/>
            <w14:miter w14:lim="10"/>
          </w14:textOutline>
        </w:rPr>
        <w:t>支撑评级的要点</w:t>
      </w:r>
    </w:p>
    <w:p>
      <w:pPr>
        <w:pStyle w:val="BodyText"/>
        <w:spacing w:before="10" w:line="239" w:lineRule="auto"/>
        <w:ind w:left="5035" w:right="585" w:hanging="353"/>
      </w:pPr>
      <w:r>
        <w:rPr>
          <w:rFonts w:ascii="Wingdings" w:eastAsia="Wingdings" w:hAnsi="Wingdings" w:cs="Wingdings"/>
          <w:color w:val="A7001D"/>
          <w:spacing w:val="5"/>
          <w:sz w:val="16"/>
          <w:szCs w:val="16"/>
        </w:rPr>
        <w:sym w:font="Wingdings" w:char="F06E"/>
      </w:r>
      <w:r>
        <w:rPr>
          <w:rFonts w:ascii="Wingdings" w:eastAsia="Wingdings" w:hAnsi="Wingdings" w:cs="Wingdings"/>
          <w:color w:val="A7001D"/>
          <w:spacing w:val="124"/>
          <w:sz w:val="16"/>
          <w:szCs w:val="16"/>
        </w:rPr>
        <w:t xml:space="preserve"> 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新能源汽车：预计</w:t>
      </w:r>
      <w:r>
        <w:rPr>
          <w:spacing w:val="-3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 xml:space="preserve">2024 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年新能源汽车需求将保持高增长：</w:t>
      </w:r>
      <w:r>
        <w:rPr>
          <w:rFonts w:ascii="Times New Roman" w:eastAsia="Times New Roman" w:hAnsi="Times New Roman" w:cs="Times New Roman"/>
          <w:spacing w:val="5"/>
        </w:rPr>
        <w:t xml:space="preserve">2023 </w:t>
      </w:r>
      <w:r>
        <w:rPr>
          <w:spacing w:val="5"/>
        </w:rPr>
        <w:t>年全球新</w:t>
      </w:r>
      <w:r>
        <w:t xml:space="preserve"> </w:t>
      </w:r>
      <w:r>
        <w:rPr>
          <w:spacing w:val="12"/>
        </w:rPr>
        <w:t>能源汽车销量基本呈现稳步上升态势，渗透率持续提升，市场空间不断</w:t>
      </w:r>
      <w:r>
        <w:rPr>
          <w:spacing w:val="13"/>
        </w:rPr>
        <w:t xml:space="preserve"> </w:t>
      </w:r>
      <w:r>
        <w:rPr>
          <w:spacing w:val="6"/>
        </w:rPr>
        <w:t>扩大。</w:t>
      </w:r>
      <w:r>
        <w:rPr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 xml:space="preserve">2024  </w:t>
      </w:r>
      <w:r>
        <w:rPr>
          <w:spacing w:val="6"/>
        </w:rPr>
        <w:t>年随着需求复苏、新车型持续推出、智能化、网联化以及快</w:t>
      </w:r>
      <w:r>
        <w:t xml:space="preserve"> </w:t>
      </w:r>
      <w:r>
        <w:rPr>
          <w:spacing w:val="11"/>
        </w:rPr>
        <w:t>充等新技术带来的产品力提升，</w:t>
      </w:r>
      <w:r>
        <w:rPr>
          <w:spacing w:val="-45"/>
        </w:rPr>
        <w:t xml:space="preserve"> </w:t>
      </w:r>
      <w:r>
        <w:rPr>
          <w:spacing w:val="11"/>
        </w:rPr>
        <w:t>国内新能源销量有望再创</w:t>
      </w:r>
      <w:r>
        <w:rPr>
          <w:spacing w:val="10"/>
        </w:rPr>
        <w:t>新高。碳中和</w:t>
      </w:r>
      <w:r>
        <w:t xml:space="preserve"> </w:t>
      </w:r>
      <w:r>
        <w:rPr>
          <w:spacing w:val="12"/>
        </w:rPr>
        <w:t>背景下全球汽车电动化大趋势不改，海外新能源汽车需求景气度有望持</w:t>
      </w:r>
      <w:r>
        <w:rPr>
          <w:spacing w:val="13"/>
        </w:rPr>
        <w:t xml:space="preserve"> </w:t>
      </w:r>
      <w:r>
        <w:rPr>
          <w:spacing w:val="5"/>
        </w:rPr>
        <w:t>续向上，</w:t>
      </w:r>
      <w:r>
        <w:rPr>
          <w:spacing w:val="5"/>
        </w:rPr>
        <w:t xml:space="preserve"> </w:t>
      </w:r>
      <w:r>
        <w:rPr>
          <w:spacing w:val="5"/>
        </w:rPr>
        <w:t>整体销量维持高增。我们预计</w:t>
      </w:r>
      <w:r>
        <w:rPr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 xml:space="preserve">2024 </w:t>
      </w:r>
      <w:r>
        <w:rPr>
          <w:spacing w:val="5"/>
        </w:rPr>
        <w:t>年中国、海外新能源汽车销</w:t>
      </w:r>
      <w:r>
        <w:t xml:space="preserve"> </w:t>
      </w:r>
      <w:r>
        <w:rPr>
          <w:spacing w:val="5"/>
        </w:rPr>
        <w:t>量分别约</w:t>
      </w:r>
      <w:r>
        <w:rPr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1,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165</w:t>
      </w:r>
      <w:r>
        <w:rPr>
          <w:rFonts w:ascii="Times New Roman" w:eastAsia="Times New Roman" w:hAnsi="Times New Roman" w:cs="Times New Roman"/>
          <w:spacing w:val="16"/>
          <w:w w:val="101"/>
        </w:rPr>
        <w:t xml:space="preserve"> </w:t>
      </w:r>
      <w:r>
        <w:rPr>
          <w:spacing w:val="5"/>
        </w:rPr>
        <w:t>万辆、</w:t>
      </w:r>
      <w:r>
        <w:rPr>
          <w:rFonts w:ascii="Times New Roman" w:eastAsia="Times New Roman" w:hAnsi="Times New Roman" w:cs="Times New Roman"/>
          <w:spacing w:val="5"/>
        </w:rPr>
        <w:t>560</w:t>
      </w:r>
      <w:r>
        <w:rPr>
          <w:rFonts w:ascii="Times New Roman" w:eastAsia="Times New Roman" w:hAnsi="Times New Roman" w:cs="Times New Roman"/>
          <w:spacing w:val="16"/>
          <w:w w:val="101"/>
        </w:rPr>
        <w:t xml:space="preserve"> </w:t>
      </w:r>
      <w:r>
        <w:rPr>
          <w:spacing w:val="5"/>
        </w:rPr>
        <w:t>万辆，同比均增长约</w:t>
      </w:r>
      <w:r>
        <w:rPr>
          <w:spacing w:val="-37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24%</w:t>
      </w:r>
      <w:r>
        <w:rPr>
          <w:spacing w:val="5"/>
        </w:rPr>
        <w:t>；全球新能源汽车销</w:t>
      </w:r>
      <w:r>
        <w:t xml:space="preserve"> </w:t>
      </w:r>
      <w:r>
        <w:rPr>
          <w:spacing w:val="4"/>
        </w:rPr>
        <w:t>量约</w:t>
      </w:r>
      <w:r>
        <w:rPr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1,725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spacing w:val="4"/>
        </w:rPr>
        <w:t>万辆，同比增长</w:t>
      </w:r>
      <w:r>
        <w:rPr>
          <w:spacing w:val="-4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24%</w:t>
      </w:r>
      <w:r>
        <w:rPr>
          <w:spacing w:val="4"/>
        </w:rPr>
        <w:t>。</w:t>
      </w:r>
    </w:p>
    <w:p>
      <w:pPr>
        <w:pStyle w:val="BodyText"/>
        <w:spacing w:before="10" w:line="237" w:lineRule="auto"/>
        <w:ind w:left="5032" w:right="585" w:hanging="350"/>
      </w:pPr>
      <w:r>
        <w:pict>
          <v:shape id="_x0000_s1029" type="#_x0000_t202" style="width:186.6pt;height:59.1pt;margin-top:4.87pt;margin-left:37.48pt;position:absolute;z-index:25166028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31" w:lineRule="auto"/>
                    <w:ind w:left="29"/>
                  </w:pPr>
                  <w:r>
                    <w:rPr>
                      <w:color w:val="A7001D"/>
                      <w:spacing w:val="9"/>
                      <w14:textOutline w14:w="3614">
                        <w14:solidFill>
                          <w14:srgbClr w14:val="A7001D"/>
                        </w14:solidFill>
                        <w14:prstDash w14:val="solid"/>
                        <w14:miter w14:lim="10"/>
                      </w14:textOutline>
                    </w:rPr>
                    <w:t>相关研究报告</w:t>
                  </w:r>
                </w:p>
                <w:p>
                  <w:pPr>
                    <w:pStyle w:val="BodyText"/>
                    <w:spacing w:before="16" w:line="230" w:lineRule="auto"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spacing w:val="-1"/>
                      <w:sz w:val="18"/>
                      <w:szCs w:val="18"/>
                      <w14:textOutline w14:w="326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《新能源发电行业</w:t>
                  </w:r>
                  <w:r>
                    <w:rPr>
                      <w:spacing w:val="-3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18"/>
                      <w:szCs w:val="18"/>
                    </w:rPr>
                    <w:t xml:space="preserve">2024 </w:t>
                  </w:r>
                  <w:r>
                    <w:rPr>
                      <w:spacing w:val="-1"/>
                      <w:sz w:val="18"/>
                      <w:szCs w:val="18"/>
                      <w14:textOutline w14:w="326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年度策略》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18"/>
                      <w:szCs w:val="18"/>
                    </w:rPr>
                    <w:t xml:space="preserve">20240104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</w:rPr>
                    <w:t xml:space="preserve">  </w:t>
                  </w:r>
                  <w:r>
                    <w:rPr>
                      <w:spacing w:val="-1"/>
                      <w:sz w:val="18"/>
                      <w:szCs w:val="18"/>
                      <w14:textOutline w14:w="326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《电力设备与新能源行业</w:t>
                  </w:r>
                  <w:r>
                    <w:rPr>
                      <w:spacing w:val="-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18"/>
                      <w:szCs w:val="18"/>
                    </w:rPr>
                    <w:t xml:space="preserve">12  </w:t>
                  </w:r>
                  <w:r>
                    <w:rPr>
                      <w:spacing w:val="-1"/>
                      <w:sz w:val="18"/>
                      <w:szCs w:val="18"/>
                      <w14:textOutline w14:w="326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月第</w:t>
                  </w:r>
                  <w:r>
                    <w:rPr>
                      <w:spacing w:val="2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1"/>
                      <w:sz w:val="18"/>
                      <w:szCs w:val="18"/>
                    </w:rPr>
                    <w:t xml:space="preserve">5  </w:t>
                  </w:r>
                  <w:r>
                    <w:rPr>
                      <w:spacing w:val="-1"/>
                      <w:sz w:val="18"/>
                      <w:szCs w:val="18"/>
                      <w14:textOutline w14:w="326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周周报》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20240101</w:t>
                  </w:r>
                </w:p>
                <w:p>
                  <w:pPr>
                    <w:pStyle w:val="BodyText"/>
                    <w:spacing w:before="27" w:line="219" w:lineRule="auto"/>
                    <w:ind w:left="2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14:textOutline w14:w="326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《充电桩行业深度报告》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20231226</w:t>
                  </w:r>
                </w:p>
              </w:txbxContent>
            </v:textbox>
          </v:shape>
        </w:pict>
      </w:r>
      <w:r>
        <w:rPr>
          <w:rFonts w:ascii="Wingdings" w:eastAsia="Wingdings" w:hAnsi="Wingdings" w:cs="Wingdings"/>
          <w:color w:val="A7001D"/>
          <w:spacing w:val="10"/>
          <w:sz w:val="16"/>
          <w:szCs w:val="16"/>
        </w:rPr>
        <w:sym w:font="Wingdings" w:char="F06E"/>
      </w:r>
      <w:r>
        <w:rPr>
          <w:rFonts w:ascii="Wingdings" w:eastAsia="Wingdings" w:hAnsi="Wingdings" w:cs="Wingdings"/>
          <w:color w:val="A7001D"/>
          <w:spacing w:val="104"/>
          <w:sz w:val="16"/>
          <w:szCs w:val="16"/>
        </w:rPr>
        <w:t xml:space="preserve"> </w:t>
      </w:r>
      <w:r>
        <w:rPr>
          <w:spacing w:val="10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动力电池：动力电池装机保持增长，新技术有望落地：</w:t>
      </w:r>
      <w:r>
        <w:rPr>
          <w:spacing w:val="-53"/>
        </w:rPr>
        <w:t xml:space="preserve"> </w:t>
      </w:r>
      <w:r>
        <w:rPr>
          <w:spacing w:val="10"/>
        </w:rPr>
        <w:t>受益于全球新能</w:t>
      </w:r>
      <w:r>
        <w:t xml:space="preserve"> </w:t>
      </w:r>
      <w:r>
        <w:rPr>
          <w:spacing w:val="9"/>
        </w:rPr>
        <w:t>源汽车高景气增长，动力电池装机量继续保持高速增长。我们预计</w:t>
      </w:r>
      <w:r>
        <w:rPr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8"/>
        </w:rPr>
        <w:t>2023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7"/>
        </w:rPr>
        <w:t>年和</w:t>
      </w:r>
      <w:r>
        <w:rPr>
          <w:spacing w:val="-18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2024</w:t>
      </w:r>
      <w:r>
        <w:rPr>
          <w:rFonts w:ascii="Times New Roman" w:eastAsia="Times New Roman" w:hAnsi="Times New Roman" w:cs="Times New Roman"/>
          <w:spacing w:val="15"/>
          <w:w w:val="101"/>
        </w:rPr>
        <w:t xml:space="preserve"> </w:t>
      </w:r>
      <w:r>
        <w:rPr>
          <w:spacing w:val="7"/>
        </w:rPr>
        <w:t>年全球动力电池需求分别达到</w:t>
      </w:r>
      <w:r>
        <w:rPr>
          <w:spacing w:val="-24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870</w:t>
      </w:r>
      <w:r>
        <w:rPr>
          <w:rFonts w:ascii="Times New Roman" w:eastAsia="Times New Roman" w:hAnsi="Times New Roman" w:cs="Times New Roman"/>
        </w:rPr>
        <w:t>GWh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spacing w:val="7"/>
        </w:rPr>
        <w:t>和</w:t>
      </w:r>
      <w:r>
        <w:rPr>
          <w:spacing w:val="-15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1,092</w:t>
      </w:r>
      <w:r>
        <w:rPr>
          <w:rFonts w:ascii="Times New Roman" w:eastAsia="Times New Roman" w:hAnsi="Times New Roman" w:cs="Times New Roman"/>
        </w:rPr>
        <w:t>GWh</w:t>
      </w:r>
      <w:r>
        <w:rPr>
          <w:spacing w:val="7"/>
        </w:rPr>
        <w:t>，同比分</w:t>
      </w:r>
      <w:r>
        <w:t xml:space="preserve"> </w:t>
      </w:r>
      <w:r>
        <w:rPr>
          <w:spacing w:val="7"/>
        </w:rPr>
        <w:t>别增长</w:t>
      </w:r>
      <w:r>
        <w:rPr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27%</w:t>
      </w:r>
      <w:r>
        <w:rPr>
          <w:spacing w:val="7"/>
        </w:rPr>
        <w:t>和</w:t>
      </w:r>
      <w:r>
        <w:rPr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26%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spacing w:val="7"/>
        </w:rPr>
        <w:t>。里程和补能焦虑是消费者购买新能源汽车</w:t>
      </w:r>
      <w:r>
        <w:rPr>
          <w:spacing w:val="6"/>
        </w:rPr>
        <w:t>的重要考</w:t>
      </w:r>
      <w:r>
        <w:t xml:space="preserve"> </w:t>
      </w:r>
      <w:r>
        <w:rPr>
          <w:spacing w:val="12"/>
        </w:rPr>
        <w:t>虑因素，随着以碳酸锂为代表的电池主材价格下降，三元电池能量密度</w:t>
      </w:r>
      <w:r>
        <w:rPr>
          <w:spacing w:val="17"/>
        </w:rPr>
        <w:t xml:space="preserve"> </w:t>
      </w:r>
      <w:r>
        <w:rPr>
          <w:spacing w:val="13"/>
        </w:rPr>
        <w:t>优势逐步显现，性价比提升，未来市场份额有望提</w:t>
      </w:r>
      <w:r>
        <w:rPr>
          <w:spacing w:val="12"/>
        </w:rPr>
        <w:t>升；快充电池有望在</w:t>
      </w:r>
      <w: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2024 </w:t>
      </w:r>
      <w:r>
        <w:rPr>
          <w:spacing w:val="4"/>
        </w:rPr>
        <w:t>年批量出货，带动正负极材料、隔膜、电解液等材料体系升级。</w:t>
      </w:r>
      <w:r>
        <w:rPr>
          <w:rFonts w:ascii="Times New Roman" w:eastAsia="Times New Roman" w:hAnsi="Times New Roman" w:cs="Times New Roman"/>
          <w:spacing w:val="4"/>
        </w:rPr>
        <w:t>2023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spacing w:val="2"/>
        </w:rPr>
        <w:t>年固态电池实现</w:t>
      </w:r>
      <w:r>
        <w:rPr>
          <w:spacing w:val="-3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0-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1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spacing w:val="2"/>
        </w:rPr>
        <w:t>突破，</w:t>
      </w:r>
      <w:r>
        <w:rPr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 xml:space="preserve">2024 </w:t>
      </w:r>
      <w:r>
        <w:rPr>
          <w:spacing w:val="2"/>
        </w:rPr>
        <w:t>年或迎来规</w:t>
      </w:r>
      <w:r>
        <w:rPr>
          <w:spacing w:val="1"/>
        </w:rPr>
        <w:t>模化应用。</w:t>
      </w:r>
    </w:p>
    <w:p>
      <w:pPr>
        <w:pStyle w:val="BodyText"/>
        <w:spacing w:before="23" w:line="238" w:lineRule="auto"/>
        <w:ind w:left="5031" w:right="586" w:hanging="349"/>
      </w:pPr>
      <w:r>
        <w:pict>
          <v:shape id="_x0000_s1030" type="#_x0000_t202" style="width:183.35pt;height:131.15pt;margin-top:-3.1pt;margin-left:36.84pt;position:absolute;z-index:2516592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29" w:lineRule="auto"/>
                    <w:ind w:left="64"/>
                  </w:pPr>
                  <w:r>
                    <w:rPr>
                      <w:spacing w:val="8"/>
                      <w14:textOutline w14:w="3614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中银国际证券股份有限公司</w:t>
                  </w:r>
                </w:p>
                <w:p>
                  <w:pPr>
                    <w:pStyle w:val="BodyText"/>
                    <w:spacing w:line="226" w:lineRule="auto"/>
                    <w:ind w:left="43"/>
                  </w:pPr>
                  <w:r>
                    <w:rPr>
                      <w:spacing w:val="9"/>
                      <w14:textOutline w14:w="3614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具备证券投资咨询业务资格</w:t>
                  </w:r>
                </w:p>
                <w:p>
                  <w:pPr>
                    <w:pStyle w:val="BodyText"/>
                    <w:spacing w:before="100" w:line="228" w:lineRule="auto"/>
                    <w:ind w:left="60"/>
                  </w:pPr>
                  <w:r>
                    <w:rPr>
                      <w:spacing w:val="4"/>
                      <w14:textOutline w14:w="3614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电力设备</w:t>
                  </w:r>
                </w:p>
                <w:p>
                  <w:pPr>
                    <w:pStyle w:val="BodyText"/>
                    <w:spacing w:before="137" w:line="226" w:lineRule="auto"/>
                    <w:ind w:left="39"/>
                  </w:pPr>
                  <w:r>
                    <w:rPr>
                      <w:spacing w:val="9"/>
                      <w14:textOutline w14:w="3614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证券分析师：武佳雄</w:t>
                  </w:r>
                </w:p>
                <w:p>
                  <w:pPr>
                    <w:spacing w:before="55" w:line="190" w:lineRule="auto"/>
                    <w:ind w:left="2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jiaxiong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wu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  <w:sz w:val="18"/>
                      <w:szCs w:val="18"/>
                    </w:rPr>
                    <w:t>@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bocichina</w:t>
                  </w:r>
                  <w:r>
                    <w:rPr>
                      <w:rFonts w:ascii="Times New Roman" w:eastAsia="Times New Roman" w:hAnsi="Times New Roman" w:cs="Times New Roman"/>
                      <w:spacing w:val="5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com</w:t>
                  </w:r>
                </w:p>
                <w:p>
                  <w:pPr>
                    <w:pStyle w:val="BodyText"/>
                    <w:spacing w:before="30" w:line="217" w:lineRule="auto"/>
                    <w:ind w:left="39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spacing w:val="-5"/>
                      <w:sz w:val="18"/>
                      <w:szCs w:val="18"/>
                    </w:rPr>
                    <w:t>证券投资咨询业务证书编号：</w:t>
                  </w:r>
                  <w:r>
                    <w:rPr>
                      <w:spacing w:val="4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5"/>
                      <w:sz w:val="18"/>
                      <w:szCs w:val="18"/>
                    </w:rPr>
                    <w:t>S130052</w:t>
                  </w:r>
                  <w:r>
                    <w:rPr>
                      <w:rFonts w:ascii="Times New Roman" w:eastAsia="Times New Roman" w:hAnsi="Times New Roman" w:cs="Times New Roman"/>
                      <w:spacing w:val="-6"/>
                      <w:sz w:val="18"/>
                      <w:szCs w:val="18"/>
                    </w:rPr>
                    <w:t>3070001</w:t>
                  </w:r>
                </w:p>
                <w:p>
                  <w:pPr>
                    <w:pStyle w:val="BodyText"/>
                    <w:spacing w:before="255" w:line="226" w:lineRule="auto"/>
                    <w:ind w:left="39"/>
                  </w:pPr>
                  <w:r>
                    <w:rPr>
                      <w:spacing w:val="9"/>
                      <w14:textOutline w14:w="3614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证券分析师：李扬</w:t>
                  </w:r>
                </w:p>
                <w:p>
                  <w:pPr>
                    <w:spacing w:before="55" w:line="190" w:lineRule="auto"/>
                    <w:ind w:left="34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yang.li@bocichina.c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18"/>
                      <w:szCs w:val="18"/>
                    </w:rPr>
                    <w:t>om</w:t>
                  </w:r>
                </w:p>
                <w:p>
                  <w:pPr>
                    <w:pStyle w:val="BodyText"/>
                    <w:spacing w:before="30" w:line="217" w:lineRule="auto"/>
                    <w:ind w:left="39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spacing w:val="-5"/>
                      <w:sz w:val="18"/>
                      <w:szCs w:val="18"/>
                    </w:rPr>
                    <w:t>证券投资咨询业务证书编号：</w:t>
                  </w:r>
                  <w:r>
                    <w:rPr>
                      <w:spacing w:val="4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5"/>
                      <w:sz w:val="18"/>
                      <w:szCs w:val="18"/>
                    </w:rPr>
                    <w:t>S130052</w:t>
                  </w:r>
                  <w:r>
                    <w:rPr>
                      <w:rFonts w:ascii="Times New Roman" w:eastAsia="Times New Roman" w:hAnsi="Times New Roman" w:cs="Times New Roman"/>
                      <w:spacing w:val="-6"/>
                      <w:sz w:val="18"/>
                      <w:szCs w:val="18"/>
                    </w:rPr>
                    <w:t>3080002</w:t>
                  </w:r>
                </w:p>
              </w:txbxContent>
            </v:textbox>
          </v:shape>
        </w:pict>
      </w:r>
      <w:r>
        <w:rPr>
          <w:rFonts w:ascii="Wingdings" w:eastAsia="Wingdings" w:hAnsi="Wingdings" w:cs="Wingdings"/>
          <w:color w:val="A7001D"/>
          <w:spacing w:val="5"/>
          <w:sz w:val="16"/>
          <w:szCs w:val="16"/>
        </w:rPr>
        <w:sym w:font="Wingdings" w:char="F06E"/>
      </w:r>
      <w:r>
        <w:rPr>
          <w:rFonts w:ascii="Wingdings" w:eastAsia="Wingdings" w:hAnsi="Wingdings" w:cs="Wingdings"/>
          <w:color w:val="A7001D"/>
          <w:spacing w:val="125"/>
          <w:sz w:val="16"/>
          <w:szCs w:val="16"/>
        </w:rPr>
        <w:t xml:space="preserve"> 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中游材料：</w:t>
      </w:r>
      <w:r>
        <w:rPr>
          <w:spacing w:val="5"/>
        </w:rPr>
        <w:t xml:space="preserve"> 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中游材料价格大幅回落，</w:t>
      </w:r>
      <w:r>
        <w:rPr>
          <w:rFonts w:ascii="Times New Roman" w:eastAsia="Times New Roman" w:hAnsi="Times New Roman" w:cs="Times New Roman"/>
          <w:b/>
          <w:bCs/>
          <w:spacing w:val="5"/>
        </w:rPr>
        <w:t>2024</w:t>
      </w:r>
      <w:r>
        <w:rPr>
          <w:rFonts w:ascii="Times New Roman" w:eastAsia="Times New Roman" w:hAnsi="Times New Roman" w:cs="Times New Roman"/>
          <w:b/>
          <w:bCs/>
          <w:spacing w:val="32"/>
          <w:w w:val="101"/>
        </w:rPr>
        <w:t xml:space="preserve"> 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年变数增多</w:t>
      </w:r>
      <w:r>
        <w:rPr>
          <w:spacing w:val="4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spacing w:val="4"/>
        </w:rPr>
        <w:t>受短期供需变化</w:t>
      </w:r>
      <w:r>
        <w:t xml:space="preserve"> </w:t>
      </w:r>
      <w:r>
        <w:rPr>
          <w:spacing w:val="6"/>
        </w:rPr>
        <w:t>以及下游企业去库存影响，</w:t>
      </w:r>
      <w:r>
        <w:rPr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 xml:space="preserve">2023  </w:t>
      </w:r>
      <w:r>
        <w:rPr>
          <w:spacing w:val="6"/>
        </w:rPr>
        <w:t>年中游材料普</w:t>
      </w:r>
      <w:r>
        <w:rPr>
          <w:spacing w:val="5"/>
        </w:rPr>
        <w:t>遍面临出货量减少、产能</w:t>
      </w:r>
      <w:r>
        <w:t xml:space="preserve"> </w:t>
      </w:r>
      <w:r>
        <w:rPr>
          <w:spacing w:val="12"/>
        </w:rPr>
        <w:t>利用率较低等情况，叠加新增产能逐步落地，部分环节出现了产能过剩</w:t>
      </w:r>
      <w:r>
        <w:rPr>
          <w:spacing w:val="17"/>
        </w:rPr>
        <w:t xml:space="preserve"> </w:t>
      </w:r>
      <w:r>
        <w:rPr>
          <w:spacing w:val="11"/>
        </w:rPr>
        <w:t>情况，价格竞争较为激烈。</w:t>
      </w:r>
      <w:r>
        <w:rPr>
          <w:spacing w:val="-36"/>
        </w:rPr>
        <w:t xml:space="preserve"> </w:t>
      </w:r>
      <w:r>
        <w:rPr>
          <w:spacing w:val="11"/>
        </w:rPr>
        <w:t>目前中游材料产能投放进</w:t>
      </w:r>
      <w:r>
        <w:rPr>
          <w:spacing w:val="10"/>
        </w:rPr>
        <w:t>度与扩产项目规模</w:t>
      </w:r>
      <w:r>
        <w:t xml:space="preserve"> </w:t>
      </w:r>
      <w:r>
        <w:rPr>
          <w:spacing w:val="11"/>
        </w:rPr>
        <w:t>已明显放缓，</w:t>
      </w:r>
      <w:r>
        <w:rPr>
          <w:spacing w:val="-40"/>
        </w:rPr>
        <w:t xml:space="preserve"> </w:t>
      </w:r>
      <w:r>
        <w:rPr>
          <w:spacing w:val="11"/>
        </w:rPr>
        <w:t>当前价格和盈利水平下部分产能面临淘汰风险。在行业整</w:t>
      </w:r>
      <w:r>
        <w:t xml:space="preserve"> </w:t>
      </w:r>
      <w:r>
        <w:rPr>
          <w:spacing w:val="13"/>
        </w:rPr>
        <w:t>体需求保持增长以及竞争加剧的背景下，我们预计中游</w:t>
      </w:r>
      <w:r>
        <w:rPr>
          <w:spacing w:val="12"/>
        </w:rPr>
        <w:t>材料市场格局将</w:t>
      </w:r>
      <w:r>
        <w:t xml:space="preserve"> </w:t>
      </w:r>
      <w:r>
        <w:rPr>
          <w:spacing w:val="13"/>
        </w:rPr>
        <w:t>出现变化，价格盈利有望逐步回归合理，进入</w:t>
      </w:r>
      <w:r>
        <w:rPr>
          <w:spacing w:val="12"/>
        </w:rPr>
        <w:t>稳定向好阶段。头部企业</w:t>
      </w:r>
      <w:r>
        <w:t xml:space="preserve"> </w:t>
      </w:r>
      <w:r>
        <w:rPr>
          <w:spacing w:val="13"/>
        </w:rPr>
        <w:t>凭借成本、技术、客户等优势在价格博弈中盈利具备</w:t>
      </w:r>
      <w:r>
        <w:rPr>
          <w:spacing w:val="12"/>
        </w:rPr>
        <w:t>较强韧性。磷酸锰</w:t>
      </w:r>
      <w:r>
        <w:t xml:space="preserve"> </w:t>
      </w:r>
      <w:r>
        <w:rPr>
          <w:spacing w:val="12"/>
        </w:rPr>
        <w:t>铁锂、单晶高压三元、硅基负极、复合集流体等新材料凭借高性能、低</w:t>
      </w:r>
      <w:r>
        <w:rPr>
          <w:spacing w:val="17"/>
        </w:rPr>
        <w:t xml:space="preserve"> </w:t>
      </w:r>
      <w:r>
        <w:rPr>
          <w:spacing w:val="12"/>
        </w:rPr>
        <w:t>成本等优势有望逐步推广应用，在新技术、新材料上优先布局的头部企</w:t>
      </w:r>
      <w:r>
        <w:rPr>
          <w:spacing w:val="17"/>
        </w:rPr>
        <w:t xml:space="preserve"> </w:t>
      </w:r>
      <w:r>
        <w:rPr>
          <w:spacing w:val="5"/>
        </w:rPr>
        <w:t>业有望受益。</w:t>
      </w:r>
    </w:p>
    <w:p>
      <w:pPr>
        <w:pStyle w:val="BodyText"/>
        <w:spacing w:before="23" w:line="219" w:lineRule="auto"/>
        <w:ind w:left="4678"/>
        <w:rPr>
          <w:sz w:val="21"/>
          <w:szCs w:val="21"/>
        </w:rPr>
      </w:pPr>
      <w:r>
        <w:rPr>
          <w:color w:val="A7001D"/>
          <w:spacing w:val="-1"/>
          <w:sz w:val="21"/>
          <w:szCs w:val="21"/>
          <w14:textOutline w14:w="3831">
            <w14:solidFill>
              <w14:srgbClr w14:val="A7001D"/>
            </w14:solidFill>
            <w14:prstDash w14:val="solid"/>
            <w14:miter w14:lim="10"/>
          </w14:textOutline>
        </w:rPr>
        <w:t>投资建议</w:t>
      </w:r>
    </w:p>
    <w:p>
      <w:pPr>
        <w:pStyle w:val="BodyText"/>
        <w:spacing w:before="17" w:line="238" w:lineRule="auto"/>
        <w:ind w:left="5032" w:right="574" w:hanging="350"/>
      </w:pPr>
      <w:r>
        <w:rPr>
          <w:rFonts w:ascii="Wingdings" w:eastAsia="Wingdings" w:hAnsi="Wingdings" w:cs="Wingdings"/>
          <w:color w:val="A7001D"/>
          <w:spacing w:val="5"/>
          <w:sz w:val="16"/>
          <w:szCs w:val="16"/>
        </w:rPr>
        <w:sym w:font="Wingdings" w:char="F06E"/>
      </w:r>
      <w:r>
        <w:rPr>
          <w:rFonts w:ascii="Wingdings" w:eastAsia="Wingdings" w:hAnsi="Wingdings" w:cs="Wingdings"/>
          <w:color w:val="A7001D"/>
          <w:spacing w:val="107"/>
          <w:sz w:val="16"/>
          <w:szCs w:val="16"/>
        </w:rPr>
        <w:t xml:space="preserve"> </w:t>
      </w:r>
      <w:r>
        <w:rPr>
          <w:spacing w:val="5"/>
        </w:rPr>
        <w:t>新能源汽车全球景气度持续向上，</w:t>
      </w:r>
      <w:r>
        <w:rPr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2024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spacing w:val="4"/>
        </w:rPr>
        <w:t>年销量有望再创历史新高。电芯</w:t>
      </w:r>
      <w:r>
        <w:t xml:space="preserve"> </w:t>
      </w:r>
      <w:r>
        <w:rPr>
          <w:spacing w:val="13"/>
        </w:rPr>
        <w:t>环节竞争格局较优，盈利具备较强韧性，大圆柱和固</w:t>
      </w:r>
      <w:r>
        <w:rPr>
          <w:spacing w:val="12"/>
        </w:rPr>
        <w:t>态电池有望规模化</w:t>
      </w:r>
      <w:r>
        <w:t xml:space="preserve"> </w:t>
      </w:r>
      <w:r>
        <w:rPr>
          <w:spacing w:val="11"/>
        </w:rPr>
        <w:t>量产，</w:t>
      </w:r>
      <w:r>
        <w:rPr>
          <w:spacing w:val="-41"/>
        </w:rPr>
        <w:t xml:space="preserve"> </w:t>
      </w:r>
      <w:r>
        <w:rPr>
          <w:spacing w:val="11"/>
        </w:rPr>
        <w:t>带动相关产业链高速增长；快充电池、磷酸锰铁锂、单晶高压三</w:t>
      </w:r>
      <w:r>
        <w:t xml:space="preserve"> </w:t>
      </w:r>
      <w:r>
        <w:rPr>
          <w:spacing w:val="13"/>
        </w:rPr>
        <w:t>元、硅基负极、复合箔材等新材料、新技术有</w:t>
      </w:r>
      <w:r>
        <w:rPr>
          <w:spacing w:val="12"/>
        </w:rPr>
        <w:t>望推动产业技术升级；建</w:t>
      </w:r>
      <w:r>
        <w:t xml:space="preserve"> </w:t>
      </w:r>
      <w:r>
        <w:rPr>
          <w:spacing w:val="12"/>
        </w:rPr>
        <w:t>议优先布局格局较优的电芯环节，海外客户放量以及一体化布局较优的</w:t>
      </w:r>
      <w:r>
        <w:rPr>
          <w:spacing w:val="16"/>
        </w:rPr>
        <w:t xml:space="preserve"> </w:t>
      </w:r>
      <w:r>
        <w:rPr>
          <w:spacing w:val="11"/>
        </w:rPr>
        <w:t>部分中游材料环节。推荐宁德时代、亿纬锂能、国轩高科、欣旺达、</w:t>
      </w:r>
      <w:r>
        <w:rPr>
          <w:spacing w:val="-40"/>
        </w:rPr>
        <w:t xml:space="preserve"> </w:t>
      </w:r>
      <w:r>
        <w:rPr>
          <w:spacing w:val="11"/>
        </w:rPr>
        <w:t>豪</w:t>
      </w:r>
      <w:r>
        <w:t xml:space="preserve"> </w:t>
      </w:r>
      <w:r>
        <w:rPr>
          <w:spacing w:val="11"/>
        </w:rPr>
        <w:t>鹏科技、</w:t>
      </w:r>
      <w:r>
        <w:rPr>
          <w:spacing w:val="-47"/>
        </w:rPr>
        <w:t xml:space="preserve"> </w:t>
      </w:r>
      <w:r>
        <w:rPr>
          <w:spacing w:val="11"/>
        </w:rPr>
        <w:t>当升科技、容百科技、德方纳米、厦钨新能、振华新材、华友</w:t>
      </w:r>
      <w:r>
        <w:t xml:space="preserve"> </w:t>
      </w:r>
      <w:r>
        <w:rPr>
          <w:spacing w:val="7"/>
        </w:rPr>
        <w:t>钴业、璞泰来、尚太科技、杉杉股份、中科电气、恩捷股份</w:t>
      </w:r>
      <w:r>
        <w:rPr>
          <w:spacing w:val="6"/>
        </w:rPr>
        <w:t>、星源材质、</w:t>
      </w:r>
      <w:r>
        <w:t xml:space="preserve"> </w:t>
      </w:r>
      <w:r>
        <w:rPr>
          <w:spacing w:val="6"/>
        </w:rPr>
        <w:t>天赐材料、新宙邦、多氟多、嘉元科技、鼎胜新材、壹石通、科达利等，</w:t>
      </w:r>
      <w:r>
        <w:rPr>
          <w:spacing w:val="14"/>
        </w:rPr>
        <w:t xml:space="preserve"> </w:t>
      </w:r>
      <w:r>
        <w:rPr>
          <w:spacing w:val="12"/>
        </w:rPr>
        <w:t>建议关注孚能科技、长远锂科、中伟股份、帕瓦股份、贝特瑞、信德新</w:t>
      </w:r>
      <w:r>
        <w:rPr>
          <w:spacing w:val="16"/>
        </w:rPr>
        <w:t xml:space="preserve"> </w:t>
      </w:r>
      <w:r>
        <w:rPr>
          <w:spacing w:val="8"/>
        </w:rPr>
        <w:t>材、中一科技等。</w:t>
      </w:r>
    </w:p>
    <w:p>
      <w:pPr>
        <w:pStyle w:val="BodyText"/>
        <w:spacing w:before="24" w:line="216" w:lineRule="auto"/>
        <w:ind w:left="4678"/>
        <w:rPr>
          <w:sz w:val="21"/>
          <w:szCs w:val="21"/>
        </w:rPr>
        <w:sectPr>
          <w:headerReference w:type="default" r:id="rId5"/>
          <w:pgSz w:w="11907" w:h="16839"/>
          <w:pgMar w:top="1" w:right="0" w:bottom="0" w:left="0" w:header="0" w:footer="0" w:gutter="0"/>
          <w:cols w:space="708"/>
        </w:sectPr>
      </w:pPr>
      <w:r>
        <w:rPr>
          <w:color w:val="A7001D"/>
          <w:sz w:val="21"/>
          <w:szCs w:val="21"/>
          <w14:textOutline w14:w="3831">
            <w14:solidFill>
              <w14:srgbClr w14:val="A7001D"/>
            </w14:solidFill>
            <w14:prstDash w14:val="solid"/>
            <w14:miter w14:lim="10"/>
          </w14:textOutline>
        </w:rPr>
        <w:t>评级面临的主要风险</w:t>
      </w:r>
    </w:p>
    <w:p>
      <w:pPr>
        <w:pStyle w:val="BodyText"/>
        <w:spacing w:before="16" w:line="224" w:lineRule="auto"/>
        <w:ind w:left="4682"/>
      </w:pPr>
      <w:r>
        <w:rPr>
          <w:rFonts w:ascii="Wingdings" w:eastAsia="Wingdings" w:hAnsi="Wingdings" w:cs="Wingdings"/>
          <w:color w:val="A7001D"/>
          <w:spacing w:val="6"/>
          <w:sz w:val="16"/>
          <w:szCs w:val="16"/>
        </w:rPr>
        <w:sym w:font="Wingdings" w:char="F06E"/>
      </w:r>
      <w:r>
        <w:rPr>
          <w:rFonts w:ascii="Wingdings" w:eastAsia="Wingdings" w:hAnsi="Wingdings" w:cs="Wingdings"/>
          <w:color w:val="A7001D"/>
          <w:spacing w:val="106"/>
          <w:sz w:val="16"/>
          <w:szCs w:val="16"/>
        </w:rPr>
        <w:t xml:space="preserve"> </w:t>
      </w:r>
      <w:r>
        <w:rPr>
          <w:spacing w:val="6"/>
        </w:rPr>
        <w:t>新能源汽车产业政策不达预期；新能源汽车</w:t>
      </w:r>
      <w:r>
        <w:rPr>
          <w:spacing w:val="5"/>
        </w:rPr>
        <w:t>产品力不达预期；产业链需求</w:t>
      </w:r>
    </w:p>
    <w:p>
      <w:pPr>
        <w:pStyle w:val="BodyText"/>
        <w:spacing w:before="17" w:line="224" w:lineRule="auto"/>
        <w:ind w:left="5039"/>
      </w:pPr>
      <w:r>
        <w:rPr>
          <w:spacing w:val="-2"/>
        </w:rPr>
        <w:t>不达预期；产业链价格竞争超预期；国际贸易摩擦风险；技术迭代风险。</w:t>
      </w:r>
    </w:p>
    <w:p>
      <w:pPr>
        <w:spacing w:line="224" w:lineRule="auto"/>
        <w:sectPr>
          <w:headerReference w:type="default" r:id="rId6"/>
          <w:type w:val="nextPage"/>
          <w:pgSz w:w="11907" w:h="16839"/>
          <w:pgMar w:top="1" w:right="0" w:bottom="0" w:left="0" w:header="0" w:footer="0" w:gutter="0"/>
          <w:pgNumType w:start="2"/>
          <w:cols w:space="708"/>
          <w:titlePg w:val="0"/>
        </w:sectPr>
      </w:pPr>
    </w:p>
    <w:p>
      <w:pPr>
        <w:spacing w:before="110" w:line="861" w:lineRule="exact"/>
      </w:pPr>
      <w:r>
        <w:rPr>
          <w:position w:val="-17"/>
        </w:rPr>
        <w:drawing>
          <wp:inline distT="0" distB="0" distL="0" distR="0">
            <wp:extent cx="6524879" cy="546734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4879" cy="54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Arial" w:eastAsia="Arial" w:hAnsi="Arial" w:cs="Arial"/>
          <w:sz w:val="21"/>
          <w:szCs w:val="21"/>
        </w:rPr>
        <w:id w:val="18131168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8"/>
          <w:szCs w:val="28"/>
        </w:rPr>
      </w:sdtEndPr>
      <w:sdtContent>
        <w:p>
          <w:pPr>
            <w:pStyle w:val="BodyText"/>
            <w:spacing w:before="378" w:line="219" w:lineRule="auto"/>
            <w:ind w:left="4781"/>
            <w:rPr>
              <w:sz w:val="48"/>
              <w:szCs w:val="48"/>
            </w:rPr>
          </w:pPr>
          <w:bookmarkStart w:id="0" w:name="bookmark1"/>
          <w:bookmarkEnd w:id="0"/>
          <w:r>
            <w:rPr>
              <w:color w:val="A7001D"/>
              <w:spacing w:val="-31"/>
              <w:sz w:val="48"/>
              <w:szCs w:val="48"/>
              <w14:textOutline w14:w="8708">
                <w14:solidFill>
                  <w14:srgbClr w14:val="A7001D"/>
                </w14:solidFill>
                <w14:prstDash w14:val="solid"/>
                <w14:miter w14:lim="10"/>
              </w14:textOutline>
            </w:rPr>
            <w:t>目录</w:t>
          </w:r>
        </w:p>
        <w:p>
          <w:pPr>
            <w:pStyle w:val="BodyText"/>
            <w:tabs>
              <w:tab w:val="right" w:leader="dot" w:pos="10273"/>
            </w:tabs>
            <w:spacing w:before="261" w:line="227" w:lineRule="auto"/>
            <w:ind w:left="1444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spacing w:val="-2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电动化大趋势不改，新能源汽车延续增长</w:t>
          </w:r>
          <w:r>
            <w:rPr>
              <w:sz w:val="28"/>
              <w:szCs w:val="28"/>
            </w:rPr>
            <w:tab/>
          </w:r>
          <w:r>
            <w:rPr>
              <w:spacing w:val="-90"/>
              <w:sz w:val="28"/>
              <w:szCs w:val="28"/>
            </w:rPr>
            <w:t xml:space="preserve"> </w:t>
          </w:r>
          <w:hyperlink w:anchor="bookmark2" w:history="1"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252" w:line="221" w:lineRule="auto"/>
            <w:ind w:left="2042"/>
            <w:rPr>
              <w:rFonts w:ascii="Times New Roman" w:eastAsia="Times New Roman" w:hAnsi="Times New Roman" w:cs="Times New Roman"/>
            </w:rPr>
          </w:pPr>
          <w:r>
            <w:rPr>
              <w:spacing w:val="9"/>
            </w:rPr>
            <w:t>全球新能源汽车市场保持增长，渗透率持续提升</w:t>
          </w:r>
          <w:r>
            <w:rPr>
              <w:spacing w:val="-53"/>
            </w:rPr>
            <w:t xml:space="preserve"> </w:t>
          </w:r>
          <w:r>
            <w:tab/>
          </w:r>
          <w:r>
            <w:rPr>
              <w:spacing w:val="-47"/>
            </w:rPr>
            <w:t xml:space="preserve"> </w:t>
          </w:r>
          <w:hyperlink w:anchor="bookmark3" w:history="1">
            <w:r>
              <w:rPr>
                <w:rFonts w:ascii="Times New Roman" w:eastAsia="Times New Roman" w:hAnsi="Times New Roman" w:cs="Times New Roman"/>
              </w:rPr>
              <w:t>5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91" w:line="221" w:lineRule="auto"/>
            <w:ind w:left="2062"/>
            <w:rPr>
              <w:rFonts w:ascii="Times New Roman" w:eastAsia="Times New Roman" w:hAnsi="Times New Roman" w:cs="Times New Roman"/>
            </w:rPr>
          </w:pPr>
          <w:r>
            <w:rPr>
              <w:spacing w:val="8"/>
            </w:rPr>
            <w:t>中国：内生增长彰显需求韧性，平价技术推动渗透率突破</w:t>
          </w:r>
          <w:r>
            <w:rPr>
              <w:spacing w:val="-37"/>
            </w:rPr>
            <w:t xml:space="preserve"> </w:t>
          </w:r>
          <w:r>
            <w:tab/>
          </w:r>
          <w:r>
            <w:rPr>
              <w:spacing w:val="-48"/>
            </w:rPr>
            <w:t xml:space="preserve"> </w:t>
          </w:r>
          <w:hyperlink w:anchor="bookmark4" w:history="1">
            <w:r>
              <w:rPr>
                <w:rFonts w:ascii="Times New Roman" w:eastAsia="Times New Roman" w:hAnsi="Times New Roman" w:cs="Times New Roman"/>
              </w:rPr>
              <w:t>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92" w:line="221" w:lineRule="auto"/>
            <w:ind w:left="2049"/>
            <w:rPr>
              <w:rFonts w:ascii="Times New Roman" w:eastAsia="Times New Roman" w:hAnsi="Times New Roman" w:cs="Times New Roman"/>
            </w:rPr>
          </w:pPr>
          <w:r>
            <w:rPr>
              <w:spacing w:val="3"/>
            </w:rPr>
            <w:t>欧洲：长期电动化趋势明确，</w:t>
          </w:r>
          <w:r>
            <w:rPr>
              <w:spacing w:val="30"/>
            </w:rPr>
            <w:t xml:space="preserve"> </w:t>
          </w:r>
          <w:r>
            <w:rPr>
              <w:spacing w:val="3"/>
            </w:rPr>
            <w:t>本土制造诉求加强</w:t>
          </w:r>
          <w:r>
            <w:rPr>
              <w:spacing w:val="-59"/>
            </w:rPr>
            <w:t xml:space="preserve"> </w:t>
          </w:r>
          <w:r>
            <w:tab/>
          </w:r>
          <w:r>
            <w:rPr>
              <w:spacing w:val="-44"/>
            </w:rPr>
            <w:t xml:space="preserve"> </w:t>
          </w:r>
          <w:hyperlink w:anchor="bookmark5" w:history="1">
            <w:r>
              <w:rPr>
                <w:rFonts w:ascii="Times New Roman" w:eastAsia="Times New Roman" w:hAnsi="Times New Roman" w:cs="Times New Roman"/>
              </w:rPr>
              <w:t>8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92" w:line="221" w:lineRule="auto"/>
            <w:ind w:left="2051"/>
            <w:rPr>
              <w:rFonts w:ascii="Times New Roman" w:eastAsia="Times New Roman" w:hAnsi="Times New Roman" w:cs="Times New Roman"/>
            </w:rPr>
          </w:pPr>
          <w:r>
            <w:rPr>
              <w:spacing w:val="1"/>
            </w:rPr>
            <w:t>美国：增长潜力较大，</w:t>
          </w:r>
          <w:r>
            <w:rPr>
              <w:spacing w:val="1"/>
            </w:rPr>
            <w:t xml:space="preserve"> </w:t>
          </w:r>
          <w:r>
            <w:rPr>
              <w:rFonts w:ascii="Times New Roman" w:eastAsia="Times New Roman" w:hAnsi="Times New Roman" w:cs="Times New Roman"/>
            </w:rPr>
            <w:t>IRA</w:t>
          </w:r>
          <w:r>
            <w:rPr>
              <w:rFonts w:ascii="Times New Roman" w:eastAsia="Times New Roman" w:hAnsi="Times New Roman" w:cs="Times New Roman"/>
              <w:spacing w:val="28"/>
              <w:w w:val="101"/>
            </w:rPr>
            <w:t xml:space="preserve"> </w:t>
          </w:r>
          <w:r>
            <w:rPr>
              <w:spacing w:val="1"/>
            </w:rPr>
            <w:t>细则落地</w:t>
          </w:r>
          <w:r>
            <w:rPr>
              <w:spacing w:val="-64"/>
            </w:rPr>
            <w:t xml:space="preserve"> </w:t>
          </w:r>
          <w:r>
            <w:tab/>
          </w:r>
          <w:r>
            <w:rPr>
              <w:spacing w:val="-30"/>
            </w:rPr>
            <w:t xml:space="preserve"> </w:t>
          </w:r>
          <w:hyperlink w:anchor="bookmark6" w:history="1">
            <w:r>
              <w:rPr>
                <w:rFonts w:ascii="Times New Roman" w:eastAsia="Times New Roman" w:hAnsi="Times New Roman" w:cs="Times New Roman"/>
                <w:spacing w:val="-4"/>
              </w:rPr>
              <w:t>12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280" w:line="227" w:lineRule="auto"/>
            <w:ind w:left="1419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spacing w:val="-12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动力电池装机持续增长，</w:t>
          </w:r>
          <w:r>
            <w:rPr>
              <w:spacing w:val="81"/>
              <w:sz w:val="28"/>
              <w:szCs w:val="28"/>
            </w:rPr>
            <w:t xml:space="preserve"> </w:t>
          </w:r>
          <w:r>
            <w:rPr>
              <w:spacing w:val="-12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新技术有望落地</w:t>
          </w:r>
          <w:r>
            <w:rPr>
              <w:sz w:val="28"/>
              <w:szCs w:val="28"/>
            </w:rPr>
            <w:tab/>
          </w:r>
          <w:r>
            <w:rPr>
              <w:spacing w:val="-83"/>
              <w:sz w:val="28"/>
              <w:szCs w:val="28"/>
            </w:rPr>
            <w:t xml:space="preserve"> </w:t>
          </w:r>
          <w:hyperlink w:anchor="bookmark7" w:history="1"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14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249" w:line="221" w:lineRule="auto"/>
            <w:ind w:left="2042"/>
            <w:rPr>
              <w:rFonts w:ascii="Times New Roman" w:eastAsia="Times New Roman" w:hAnsi="Times New Roman" w:cs="Times New Roman"/>
            </w:rPr>
          </w:pPr>
          <w:r>
            <w:rPr>
              <w:spacing w:val="9"/>
            </w:rPr>
            <w:t>全球动力电池市场呈现快速发展，格局基本形成</w:t>
          </w:r>
          <w:r>
            <w:rPr>
              <w:spacing w:val="-53"/>
            </w:rPr>
            <w:t xml:space="preserve"> </w:t>
          </w:r>
          <w:r>
            <w:tab/>
          </w:r>
          <w:r>
            <w:rPr>
              <w:spacing w:val="-30"/>
            </w:rPr>
            <w:t xml:space="preserve"> </w:t>
          </w:r>
          <w:hyperlink w:anchor="bookmark8" w:history="1">
            <w:r>
              <w:rPr>
                <w:rFonts w:ascii="Times New Roman" w:eastAsia="Times New Roman" w:hAnsi="Times New Roman" w:cs="Times New Roman"/>
                <w:spacing w:val="-4"/>
              </w:rPr>
              <w:t>14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93" w:line="221" w:lineRule="auto"/>
            <w:ind w:left="2062"/>
            <w:rPr>
              <w:rFonts w:ascii="Times New Roman" w:eastAsia="Times New Roman" w:hAnsi="Times New Roman" w:cs="Times New Roman"/>
            </w:rPr>
          </w:pPr>
          <w:r>
            <w:rPr>
              <w:spacing w:val="3"/>
            </w:rPr>
            <w:t>国内动力电池装机保持增长，</w:t>
          </w:r>
          <w:r>
            <w:rPr>
              <w:spacing w:val="3"/>
            </w:rPr>
            <w:t xml:space="preserve"> </w:t>
          </w:r>
          <w:r>
            <w:rPr>
              <w:spacing w:val="3"/>
            </w:rPr>
            <w:t>价格大幅下滑</w:t>
          </w:r>
          <w:r>
            <w:rPr>
              <w:spacing w:val="-62"/>
            </w:rPr>
            <w:t xml:space="preserve"> </w:t>
          </w:r>
          <w:r>
            <w:tab/>
          </w:r>
          <w:r>
            <w:rPr>
              <w:spacing w:val="-30"/>
            </w:rPr>
            <w:t xml:space="preserve"> </w:t>
          </w:r>
          <w:hyperlink w:anchor="bookmark9" w:history="1">
            <w:r>
              <w:rPr>
                <w:rFonts w:ascii="Times New Roman" w:eastAsia="Times New Roman" w:hAnsi="Times New Roman" w:cs="Times New Roman"/>
                <w:spacing w:val="-4"/>
              </w:rPr>
              <w:t>15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92" w:line="221" w:lineRule="auto"/>
            <w:ind w:left="2039"/>
            <w:rPr>
              <w:rFonts w:ascii="Times New Roman" w:eastAsia="Times New Roman" w:hAnsi="Times New Roman" w:cs="Times New Roman"/>
            </w:rPr>
          </w:pPr>
          <w:r>
            <w:rPr>
              <w:spacing w:val="9"/>
            </w:rPr>
            <w:t>动力电池行业总产能面临过剩，快充和固态电池有望加速落地</w:t>
          </w:r>
          <w:r>
            <w:rPr>
              <w:spacing w:val="-34"/>
            </w:rPr>
            <w:t xml:space="preserve"> </w:t>
          </w:r>
          <w:r>
            <w:tab/>
          </w:r>
          <w:r>
            <w:rPr>
              <w:spacing w:val="-30"/>
            </w:rPr>
            <w:t xml:space="preserve"> </w:t>
          </w:r>
          <w:hyperlink w:anchor="bookmark10" w:history="1">
            <w:r>
              <w:rPr>
                <w:rFonts w:ascii="Times New Roman" w:eastAsia="Times New Roman" w:hAnsi="Times New Roman" w:cs="Times New Roman"/>
                <w:spacing w:val="-4"/>
              </w:rPr>
              <w:t>18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280" w:line="227" w:lineRule="auto"/>
            <w:ind w:left="1421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spacing w:val="-11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原材料价格大幅回落，</w:t>
          </w:r>
          <w:r>
            <w:rPr>
              <w:spacing w:val="8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1"/>
              <w:sz w:val="28"/>
              <w:szCs w:val="28"/>
            </w:rPr>
            <w:t xml:space="preserve">2024 </w:t>
          </w:r>
          <w:r>
            <w:rPr>
              <w:spacing w:val="-11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年变数增多</w:t>
          </w:r>
          <w:r>
            <w:rPr>
              <w:sz w:val="28"/>
              <w:szCs w:val="28"/>
            </w:rPr>
            <w:tab/>
          </w:r>
          <w:hyperlink w:anchor="bookmark11" w:history="1"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</w:rPr>
              <w:t>20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252" w:line="221" w:lineRule="auto"/>
            <w:ind w:left="2034"/>
            <w:rPr>
              <w:rFonts w:ascii="Times New Roman" w:eastAsia="Times New Roman" w:hAnsi="Times New Roman" w:cs="Times New Roman"/>
            </w:rPr>
          </w:pPr>
          <w:r>
            <w:t>锂资源：</w:t>
          </w:r>
          <w:r>
            <w:t xml:space="preserve"> </w:t>
          </w:r>
          <w:r>
            <w:t>产能依然面临过剩，</w:t>
          </w:r>
          <w:r>
            <w:rPr>
              <w:spacing w:val="43"/>
            </w:rPr>
            <w:t xml:space="preserve"> </w:t>
          </w:r>
          <w:r>
            <w:t>高成本产能面临经营压力</w:t>
          </w:r>
          <w:r>
            <w:rPr>
              <w:spacing w:val="-54"/>
            </w:rPr>
            <w:t xml:space="preserve"> </w:t>
          </w:r>
          <w:r>
            <w:tab/>
          </w:r>
          <w:r>
            <w:rPr>
              <w:spacing w:val="-50"/>
            </w:rPr>
            <w:t xml:space="preserve"> </w:t>
          </w:r>
          <w:hyperlink w:anchor="bookmark12" w:history="1">
            <w:r>
              <w:rPr>
                <w:rFonts w:ascii="Times New Roman" w:eastAsia="Times New Roman" w:hAnsi="Times New Roman" w:cs="Times New Roman"/>
                <w:spacing w:val="3"/>
              </w:rPr>
              <w:t>20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92" w:line="221" w:lineRule="auto"/>
            <w:ind w:left="2039"/>
            <w:rPr>
              <w:rFonts w:ascii="Times New Roman" w:eastAsia="Times New Roman" w:hAnsi="Times New Roman" w:cs="Times New Roman"/>
            </w:rPr>
          </w:pPr>
          <w:r>
            <w:rPr>
              <w:spacing w:val="9"/>
            </w:rPr>
            <w:t>正极材料：出货量保持快速增长，三元材料份额有望提升</w:t>
          </w:r>
          <w:r>
            <w:rPr>
              <w:spacing w:val="-39"/>
            </w:rPr>
            <w:t xml:space="preserve"> </w:t>
          </w:r>
          <w:r>
            <w:tab/>
          </w:r>
          <w:r>
            <w:rPr>
              <w:spacing w:val="-50"/>
            </w:rPr>
            <w:t xml:space="preserve"> </w:t>
          </w:r>
          <w:hyperlink w:anchor="bookmark13" w:history="1">
            <w:r>
              <w:rPr>
                <w:rFonts w:ascii="Times New Roman" w:eastAsia="Times New Roman" w:hAnsi="Times New Roman" w:cs="Times New Roman"/>
                <w:spacing w:val="3"/>
              </w:rPr>
              <w:t>20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91" w:line="221" w:lineRule="auto"/>
            <w:ind w:left="2052"/>
            <w:rPr>
              <w:rFonts w:ascii="Times New Roman" w:eastAsia="Times New Roman" w:hAnsi="Times New Roman" w:cs="Times New Roman"/>
            </w:rPr>
          </w:pPr>
          <w:r>
            <w:rPr>
              <w:spacing w:val="8"/>
            </w:rPr>
            <w:t>隔膜：出货量保持增长，市场格局出现变化</w:t>
          </w:r>
          <w:r>
            <w:rPr>
              <w:spacing w:val="-49"/>
            </w:rPr>
            <w:t xml:space="preserve"> </w:t>
          </w:r>
          <w:r>
            <w:tab/>
          </w:r>
          <w:r>
            <w:rPr>
              <w:spacing w:val="-50"/>
            </w:rPr>
            <w:t xml:space="preserve"> </w:t>
          </w:r>
          <w:hyperlink w:anchor="bookmark14" w:history="1">
            <w:r>
              <w:rPr>
                <w:rFonts w:ascii="Times New Roman" w:eastAsia="Times New Roman" w:hAnsi="Times New Roman" w:cs="Times New Roman"/>
                <w:spacing w:val="3"/>
              </w:rPr>
              <w:t>25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92" w:line="221" w:lineRule="auto"/>
            <w:ind w:left="2057"/>
            <w:rPr>
              <w:rFonts w:ascii="Times New Roman" w:eastAsia="Times New Roman" w:hAnsi="Times New Roman" w:cs="Times New Roman"/>
            </w:rPr>
          </w:pPr>
          <w:r>
            <w:rPr>
              <w:spacing w:val="2"/>
            </w:rPr>
            <w:t>电解液：</w:t>
          </w:r>
          <w:r>
            <w:rPr>
              <w:spacing w:val="2"/>
            </w:rPr>
            <w:t xml:space="preserve"> </w:t>
          </w:r>
          <w:r>
            <w:rPr>
              <w:spacing w:val="2"/>
            </w:rPr>
            <w:t>盈利持续下滑，行业洗牌加速</w:t>
          </w:r>
          <w:r>
            <w:rPr>
              <w:spacing w:val="-56"/>
            </w:rPr>
            <w:t xml:space="preserve"> </w:t>
          </w:r>
          <w:r>
            <w:tab/>
          </w:r>
          <w:r>
            <w:rPr>
              <w:spacing w:val="-50"/>
            </w:rPr>
            <w:t xml:space="preserve"> </w:t>
          </w:r>
          <w:hyperlink w:anchor="bookmark15" w:history="1">
            <w:r>
              <w:rPr>
                <w:rFonts w:ascii="Times New Roman" w:eastAsia="Times New Roman" w:hAnsi="Times New Roman" w:cs="Times New Roman"/>
                <w:spacing w:val="3"/>
              </w:rPr>
              <w:t>26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92" w:line="221" w:lineRule="auto"/>
            <w:ind w:left="2036"/>
            <w:rPr>
              <w:rFonts w:ascii="Times New Roman" w:eastAsia="Times New Roman" w:hAnsi="Times New Roman" w:cs="Times New Roman"/>
            </w:rPr>
          </w:pPr>
          <w:r>
            <w:rPr>
              <w:spacing w:val="10"/>
            </w:rPr>
            <w:t>铜箔：极薄铜箔主流化，</w:t>
          </w:r>
          <w:r>
            <w:rPr>
              <w:rFonts w:ascii="Times New Roman" w:eastAsia="Times New Roman" w:hAnsi="Times New Roman" w:cs="Times New Roman"/>
            </w:rPr>
            <w:t>PET</w:t>
          </w:r>
          <w:r>
            <w:rPr>
              <w:rFonts w:ascii="Times New Roman" w:eastAsia="Times New Roman" w:hAnsi="Times New Roman" w:cs="Times New Roman"/>
              <w:spacing w:val="10"/>
            </w:rPr>
            <w:t xml:space="preserve"> </w:t>
          </w:r>
          <w:r>
            <w:rPr>
              <w:spacing w:val="10"/>
            </w:rPr>
            <w:t>铜箔开启技术验证</w:t>
          </w:r>
          <w:r>
            <w:rPr>
              <w:spacing w:val="-63"/>
            </w:rPr>
            <w:t xml:space="preserve"> </w:t>
          </w:r>
          <w:r>
            <w:tab/>
          </w:r>
          <w:r>
            <w:rPr>
              <w:spacing w:val="-50"/>
            </w:rPr>
            <w:t xml:space="preserve"> </w:t>
          </w:r>
          <w:hyperlink w:anchor="bookmark16" w:history="1">
            <w:r>
              <w:rPr>
                <w:rFonts w:ascii="Times New Roman" w:eastAsia="Times New Roman" w:hAnsi="Times New Roman" w:cs="Times New Roman"/>
                <w:spacing w:val="3"/>
              </w:rPr>
              <w:t>28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281" w:line="232" w:lineRule="auto"/>
            <w:ind w:left="1420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spacing w:val="-2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投资建议</w:t>
          </w:r>
          <w:r>
            <w:rPr>
              <w:spacing w:val="-88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ab/>
          </w:r>
          <w:r>
            <w:rPr>
              <w:spacing w:val="-98"/>
              <w:sz w:val="28"/>
              <w:szCs w:val="28"/>
            </w:rPr>
            <w:t xml:space="preserve"> </w:t>
          </w:r>
          <w:hyperlink w:anchor="bookmark17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30</w:t>
            </w:r>
          </w:hyperlink>
        </w:p>
        <w:p>
          <w:pPr>
            <w:pStyle w:val="BodyText"/>
            <w:tabs>
              <w:tab w:val="right" w:leader="dot" w:pos="10273"/>
            </w:tabs>
            <w:spacing w:before="250" w:line="237" w:lineRule="auto"/>
            <w:ind w:left="1413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spacing w:val="-1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风险提示</w:t>
          </w:r>
          <w:r>
            <w:rPr>
              <w:spacing w:val="-85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ab/>
          </w:r>
          <w:r>
            <w:rPr>
              <w:spacing w:val="-98"/>
              <w:sz w:val="28"/>
              <w:szCs w:val="28"/>
            </w:rPr>
            <w:t xml:space="preserve"> </w:t>
          </w:r>
          <w:hyperlink w:anchor="bookmark18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31</w:t>
            </w:r>
          </w:hyperlink>
        </w:p>
      </w:sdtContent>
    </w:sdt>
    <w:p>
      <w:pPr>
        <w:spacing w:line="237" w:lineRule="auto"/>
        <w:rPr>
          <w:rFonts w:ascii="Times New Roman" w:eastAsia="Times New Roman" w:hAnsi="Times New Roman" w:cs="Times New Roman"/>
          <w:sz w:val="28"/>
          <w:szCs w:val="28"/>
        </w:rPr>
        <w:sectPr>
          <w:headerReference w:type="default" r:id="rId8"/>
          <w:footerReference w:type="default" r:id="rId9"/>
          <w:pgSz w:w="11907" w:h="16839"/>
          <w:pgMar w:top="400" w:right="708" w:bottom="703" w:left="906" w:header="0" w:footer="422" w:gutter="0"/>
          <w:pgNumType w:start="3"/>
          <w:cols w:space="708"/>
        </w:sectPr>
      </w:pPr>
    </w:p>
    <w:p>
      <w:pPr>
        <w:spacing w:before="110" w:line="861" w:lineRule="exact"/>
      </w:pPr>
      <w:r>
        <w:rPr>
          <w:position w:val="-17"/>
        </w:rPr>
        <w:drawing>
          <wp:inline distT="0" distB="0" distL="0" distR="0">
            <wp:extent cx="6524879" cy="546734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4879" cy="54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Arial" w:eastAsia="Arial" w:hAnsi="Arial" w:cs="Arial"/>
          <w:sz w:val="21"/>
          <w:szCs w:val="21"/>
        </w:rPr>
        <w:id w:val="166099195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>
          <w:pPr>
            <w:pStyle w:val="BodyText"/>
            <w:spacing w:before="378" w:line="219" w:lineRule="auto"/>
            <w:ind w:left="4253"/>
            <w:rPr>
              <w:sz w:val="48"/>
              <w:szCs w:val="48"/>
            </w:rPr>
          </w:pPr>
          <w:bookmarkStart w:id="1" w:name="bookmark19"/>
          <w:bookmarkEnd w:id="1"/>
          <w:r>
            <w:rPr>
              <w:color w:val="A7001D"/>
              <w:spacing w:val="-14"/>
              <w:sz w:val="48"/>
              <w:szCs w:val="48"/>
              <w14:textOutline w14:w="8708">
                <w14:solidFill>
                  <w14:srgbClr w14:val="A7001D"/>
                </w14:solidFill>
                <w14:prstDash w14:val="solid"/>
                <w14:miter w14:lim="10"/>
              </w14:textOutline>
            </w:rPr>
            <w:t>图表目录</w:t>
          </w:r>
        </w:p>
        <w:p>
          <w:pPr>
            <w:pStyle w:val="BodyText"/>
            <w:tabs>
              <w:tab w:val="right" w:leader="dot" w:pos="10270"/>
            </w:tabs>
            <w:spacing w:before="136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4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1.2022-2023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10</w:t>
          </w:r>
          <w:r>
            <w:rPr>
              <w:rFonts w:ascii="Times New Roman" w:eastAsia="Times New Roman" w:hAnsi="Times New Roman" w:cs="Times New Roman"/>
              <w:b/>
              <w:bCs/>
              <w:spacing w:val="19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月全球新能源汽车月度销量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2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5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2.2022-2023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10</w:t>
          </w:r>
          <w:r>
            <w:rPr>
              <w:rFonts w:ascii="Times New Roman" w:eastAsia="Times New Roman" w:hAnsi="Times New Roman" w:cs="Times New Roman"/>
              <w:b/>
              <w:bCs/>
              <w:spacing w:val="19"/>
              <w:sz w:val="24"/>
              <w:szCs w:val="24"/>
            </w:rPr>
            <w:t xml:space="preserve">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月全球新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能源汽车月度渗透率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3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5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8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3.2023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1-10</w:t>
          </w:r>
          <w:r>
            <w:rPr>
              <w:rFonts w:ascii="Times New Roman" w:eastAsia="Times New Roman" w:hAnsi="Times New Roman" w:cs="Times New Roman"/>
              <w:b/>
              <w:bCs/>
              <w:spacing w:val="19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月全球新能源汽车车型销量前十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20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5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28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8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4.2023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1-10</w:t>
          </w:r>
          <w:r>
            <w:rPr>
              <w:rFonts w:ascii="Times New Roman" w:eastAsia="Times New Roman" w:hAnsi="Times New Roman" w:cs="Times New Roman"/>
              <w:b/>
              <w:bCs/>
              <w:spacing w:val="19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月全球新能源汽车品牌销量前十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21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5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6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9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5.2022-2023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11</w:t>
          </w:r>
          <w:r>
            <w:rPr>
              <w:rFonts w:ascii="Times New Roman" w:eastAsia="Times New Roman" w:hAnsi="Times New Roman" w:cs="Times New Roman"/>
              <w:b/>
              <w:bCs/>
              <w:spacing w:val="18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月国内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新能源汽车销量</w:t>
          </w:r>
          <w:r>
            <w:rPr>
              <w:sz w:val="24"/>
              <w:szCs w:val="24"/>
            </w:rPr>
            <w:tab/>
          </w:r>
          <w:hyperlink w:anchor="bookmark22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5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6.2022-2023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11</w:t>
          </w:r>
          <w:r>
            <w:rPr>
              <w:rFonts w:ascii="Times New Roman" w:eastAsia="Times New Roman" w:hAnsi="Times New Roman" w:cs="Times New Roman"/>
              <w:b/>
              <w:bCs/>
              <w:spacing w:val="18"/>
              <w:w w:val="10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月国内新能源汽车月度渗透率</w:t>
          </w:r>
          <w:r>
            <w:rPr>
              <w:sz w:val="24"/>
              <w:szCs w:val="24"/>
            </w:rPr>
            <w:tab/>
          </w:r>
          <w:hyperlink w:anchor="bookmark23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8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 xml:space="preserve">7.2022-2023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11</w:t>
          </w:r>
          <w:r>
            <w:rPr>
              <w:rFonts w:ascii="Times New Roman" w:eastAsia="Times New Roman" w:hAnsi="Times New Roman" w:cs="Times New Roman"/>
              <w:b/>
              <w:bCs/>
              <w:spacing w:val="18"/>
              <w:w w:val="101"/>
              <w:sz w:val="24"/>
              <w:szCs w:val="24"/>
            </w:rPr>
            <w:t xml:space="preserve">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月国内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BEV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、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PHEV</w:t>
          </w:r>
          <w:r>
            <w:rPr>
              <w:rFonts w:ascii="Times New Roman" w:eastAsia="Times New Roman" w:hAnsi="Times New Roman" w:cs="Times New Roman"/>
              <w:b/>
              <w:bCs/>
              <w:spacing w:val="20"/>
              <w:w w:val="101"/>
              <w:sz w:val="24"/>
              <w:szCs w:val="24"/>
            </w:rPr>
            <w:t xml:space="preserve">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月度销量</w:t>
          </w:r>
          <w:r>
            <w:rPr>
              <w:spacing w:val="-56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24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27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5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8.2022-2023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11</w:t>
          </w:r>
          <w:r>
            <w:rPr>
              <w:rFonts w:ascii="Times New Roman" w:eastAsia="Times New Roman" w:hAnsi="Times New Roman" w:cs="Times New Roman"/>
              <w:b/>
              <w:bCs/>
              <w:spacing w:val="18"/>
              <w:w w:val="10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月国内新能源乘用车销量占比</w:t>
          </w:r>
          <w:r>
            <w:rPr>
              <w:sz w:val="24"/>
              <w:szCs w:val="24"/>
            </w:rPr>
            <w:tab/>
          </w:r>
          <w:hyperlink w:anchor="bookmark25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7" w:line="229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9.2022-2023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年国内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BEV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在不同价格段渗透率</w:t>
          </w:r>
          <w:r>
            <w:rPr>
              <w:spacing w:val="-66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26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7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5" w:line="229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10.2022-2023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年国内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PHEV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在不同价格段渗透率</w:t>
          </w:r>
          <w:r>
            <w:rPr>
              <w:spacing w:val="-58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27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7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28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 xml:space="preserve">11.2021-2023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12</w:t>
          </w:r>
          <w:r>
            <w:rPr>
              <w:rFonts w:ascii="Times New Roman" w:eastAsia="Times New Roman" w:hAnsi="Times New Roman" w:cs="Times New Roman"/>
              <w:b/>
              <w:bCs/>
              <w:spacing w:val="21"/>
              <w:sz w:val="24"/>
              <w:szCs w:val="24"/>
            </w:rPr>
            <w:t xml:space="preserve">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月三元锂电池瓦时价格</w:t>
          </w:r>
          <w:r>
            <w:rPr>
              <w:sz w:val="24"/>
              <w:szCs w:val="24"/>
            </w:rPr>
            <w:tab/>
          </w:r>
          <w:hyperlink w:anchor="bookmark28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7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4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 xml:space="preserve">12.2021-2023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12</w:t>
          </w:r>
          <w:r>
            <w:rPr>
              <w:rFonts w:ascii="Times New Roman" w:eastAsia="Times New Roman" w:hAnsi="Times New Roman" w:cs="Times New Roman"/>
              <w:b/>
              <w:bCs/>
              <w:spacing w:val="21"/>
              <w:sz w:val="24"/>
              <w:szCs w:val="24"/>
            </w:rPr>
            <w:t xml:space="preserve">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月碳酸锂价格</w:t>
          </w:r>
          <w:r>
            <w:rPr>
              <w:sz w:val="24"/>
              <w:szCs w:val="24"/>
            </w:rPr>
            <w:tab/>
          </w:r>
          <w:hyperlink w:anchor="bookmark29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7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27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25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13.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新能源乘用车不同价格带销量占比</w:t>
          </w:r>
          <w:r>
            <w:rPr>
              <w:sz w:val="24"/>
              <w:szCs w:val="24"/>
            </w:rPr>
            <w:tab/>
          </w:r>
          <w:hyperlink w:anchor="bookmark30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8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4" w:line="227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8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14.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新能源乘用车车型销量结构</w:t>
          </w:r>
          <w:r>
            <w:rPr>
              <w:sz w:val="24"/>
              <w:szCs w:val="24"/>
            </w:rPr>
            <w:tab/>
          </w:r>
          <w:hyperlink w:anchor="bookmark31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8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7" w:line="229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7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15.2023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1-10</w:t>
          </w:r>
          <w:r>
            <w:rPr>
              <w:rFonts w:ascii="Times New Roman" w:eastAsia="Times New Roman" w:hAnsi="Times New Roman" w:cs="Times New Roman"/>
              <w:b/>
              <w:bCs/>
              <w:spacing w:val="19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月新能源汽车出口及同比增长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32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8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5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16.2022-2023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10</w:t>
          </w:r>
          <w:r>
            <w:rPr>
              <w:rFonts w:ascii="Times New Roman" w:eastAsia="Times New Roman" w:hAnsi="Times New Roman" w:cs="Times New Roman"/>
              <w:b/>
              <w:bCs/>
              <w:spacing w:val="2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月欧洲新能源汽车销量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33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9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28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17.2022-2023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10</w:t>
          </w:r>
          <w:r>
            <w:rPr>
              <w:rFonts w:ascii="Times New Roman" w:eastAsia="Times New Roman" w:hAnsi="Times New Roman" w:cs="Times New Roman"/>
              <w:b/>
              <w:bCs/>
              <w:spacing w:val="2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月欧洲新能源汽车月度渗透率</w:t>
          </w:r>
          <w:r>
            <w:rPr>
              <w:spacing w:val="-55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34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9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18.2022-2023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10</w:t>
          </w:r>
          <w:r>
            <w:rPr>
              <w:rFonts w:ascii="Times New Roman" w:eastAsia="Times New Roman" w:hAnsi="Times New Roman" w:cs="Times New Roman"/>
              <w:b/>
              <w:bCs/>
              <w:spacing w:val="20"/>
              <w:w w:val="10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月欧洲新能源车型销量</w:t>
          </w:r>
          <w:r>
            <w:rPr>
              <w:spacing w:val="-51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35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9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25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 xml:space="preserve">19.2022-2023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10</w:t>
          </w:r>
          <w:r>
            <w:rPr>
              <w:rFonts w:ascii="Times New Roman" w:eastAsia="Times New Roman" w:hAnsi="Times New Roman" w:cs="Times New Roman"/>
              <w:b/>
              <w:bCs/>
              <w:spacing w:val="21"/>
              <w:sz w:val="24"/>
              <w:szCs w:val="24"/>
            </w:rPr>
            <w:t xml:space="preserve">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月欧洲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EV</w:t>
          </w:r>
          <w:r>
            <w:rPr>
              <w:rFonts w:ascii="Times New Roman" w:eastAsia="Times New Roman" w:hAnsi="Times New Roman" w:cs="Times New Roman"/>
              <w:b/>
              <w:bCs/>
              <w:spacing w:val="-34"/>
              <w:sz w:val="24"/>
              <w:szCs w:val="24"/>
            </w:rPr>
            <w:t xml:space="preserve">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、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 xml:space="preserve">PHEV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销量占比</w:t>
          </w:r>
          <w:r>
            <w:rPr>
              <w:sz w:val="24"/>
              <w:szCs w:val="24"/>
            </w:rPr>
            <w:tab/>
          </w:r>
          <w:hyperlink w:anchor="bookmark36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</w:rPr>
              <w:t>9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33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5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20.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欧盟反补贴主要调查流程及时间点</w:t>
          </w:r>
          <w:r>
            <w:rPr>
              <w:sz w:val="24"/>
              <w:szCs w:val="24"/>
            </w:rPr>
            <w:tab/>
          </w:r>
          <w:hyperlink w:anchor="bookmark37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10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29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21.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中国动力电池产业链欧洲布局</w:t>
          </w:r>
          <w:r>
            <w:rPr>
              <w:sz w:val="24"/>
              <w:szCs w:val="24"/>
            </w:rPr>
            <w:tab/>
          </w:r>
          <w:hyperlink w:anchor="bookmark38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10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5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5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5"/>
              <w:sz w:val="24"/>
              <w:szCs w:val="24"/>
            </w:rPr>
            <w:t>22.</w:t>
          </w:r>
          <w:r>
            <w:rPr>
              <w:spacing w:val="-5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中国纯电动汽车在欧洲市场销售情况（辆）</w:t>
          </w:r>
          <w:r>
            <w:rPr>
              <w:spacing w:val="-5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r>
            <w:rPr>
              <w:spacing w:val="-72"/>
              <w:sz w:val="24"/>
              <w:szCs w:val="24"/>
            </w:rPr>
            <w:t xml:space="preserve"> </w:t>
          </w:r>
          <w:hyperlink w:anchor="bookmark39" w:history="1"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11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29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23.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中国动力电池产业链欧洲布局</w:t>
          </w:r>
          <w:r>
            <w:rPr>
              <w:sz w:val="24"/>
              <w:szCs w:val="24"/>
            </w:rPr>
            <w:tab/>
          </w:r>
          <w:r>
            <w:rPr>
              <w:spacing w:val="-72"/>
              <w:sz w:val="24"/>
              <w:szCs w:val="24"/>
            </w:rPr>
            <w:t xml:space="preserve"> </w:t>
          </w:r>
          <w:hyperlink w:anchor="bookmark40" w:history="1"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11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29" w:lineRule="auto"/>
            <w:ind w:left="172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续图表</w:t>
          </w:r>
          <w:r>
            <w:rPr>
              <w:spacing w:val="-48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4"/>
              <w:szCs w:val="24"/>
            </w:rPr>
            <w:t>23.</w:t>
          </w:r>
          <w:r>
            <w:rPr>
              <w:spacing w:val="-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中国动力电池产业链欧洲布局</w:t>
          </w:r>
          <w:r>
            <w:rPr>
              <w:sz w:val="24"/>
              <w:szCs w:val="24"/>
            </w:rPr>
            <w:tab/>
          </w:r>
          <w:hyperlink w:anchor="bookmark41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12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5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24. 2022-2023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10</w:t>
          </w:r>
          <w:r>
            <w:rPr>
              <w:rFonts w:ascii="Times New Roman" w:eastAsia="Times New Roman" w:hAnsi="Times New Roman" w:cs="Times New Roman"/>
              <w:b/>
              <w:bCs/>
              <w:spacing w:val="21"/>
              <w:sz w:val="24"/>
              <w:szCs w:val="24"/>
            </w:rPr>
            <w:t xml:space="preserve">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月美国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新能源汽车月度销量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42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13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25. 2022-2023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10</w:t>
          </w:r>
          <w:r>
            <w:rPr>
              <w:rFonts w:ascii="Times New Roman" w:eastAsia="Times New Roman" w:hAnsi="Times New Roman" w:cs="Times New Roman"/>
              <w:b/>
              <w:bCs/>
              <w:spacing w:val="2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月美国新能源月度渗透率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43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13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0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4"/>
              <w:szCs w:val="24"/>
            </w:rPr>
            <w:t xml:space="preserve">26. 2021-2025 </w:t>
          </w:r>
          <w:r>
            <w:rPr>
              <w:spacing w:val="-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年全球新能源汽车销量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及预测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44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13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6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27. 2022-2023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9</w:t>
          </w:r>
          <w:r>
            <w:rPr>
              <w:rFonts w:ascii="Times New Roman" w:eastAsia="Times New Roman" w:hAnsi="Times New Roman" w:cs="Times New Roman"/>
              <w:b/>
              <w:bCs/>
              <w:spacing w:val="21"/>
              <w:sz w:val="24"/>
              <w:szCs w:val="24"/>
            </w:rPr>
            <w:t xml:space="preserve">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月全球动力电池装机量及增长率</w:t>
          </w:r>
          <w:r>
            <w:rPr>
              <w:spacing w:val="-55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45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14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3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28. 2022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年全球动力电池市场份额</w:t>
          </w:r>
          <w:r>
            <w:rPr>
              <w:sz w:val="24"/>
              <w:szCs w:val="24"/>
            </w:rPr>
            <w:tab/>
          </w:r>
          <w:hyperlink w:anchor="bookmark46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15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32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  <w:sectPr>
              <w:headerReference w:type="default" r:id="rId10"/>
              <w:footerReference w:type="default" r:id="rId11"/>
              <w:pgSz w:w="11907" w:h="16839"/>
              <w:pgMar w:top="400" w:right="708" w:bottom="703" w:left="906" w:header="0" w:footer="422" w:gutter="0"/>
              <w:pgNumType w:start="4"/>
              <w:cols w:space="708"/>
            </w:sect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29. 2023.1-10</w:t>
          </w:r>
          <w:r>
            <w:rPr>
              <w:rFonts w:ascii="Times New Roman" w:eastAsia="Times New Roman" w:hAnsi="Times New Roman" w:cs="Times New Roman"/>
              <w:b/>
              <w:bCs/>
              <w:spacing w:val="20"/>
              <w:w w:val="101"/>
              <w:sz w:val="24"/>
              <w:szCs w:val="24"/>
            </w:rPr>
            <w:t xml:space="preserve">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月全球动力电池市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场份额</w:t>
          </w:r>
          <w:r>
            <w:rPr>
              <w:spacing w:val="-51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47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15</w:t>
            </w:r>
          </w:hyperlink>
        </w:p>
      </w:sdtContent>
    </w:sdt>
    <w:sdt>
      <w:sdtPr>
        <w:rPr>
          <w:rFonts w:ascii="Arial" w:eastAsia="Arial" w:hAnsi="Arial" w:cs="Arial"/>
          <w:sz w:val="21"/>
          <w:szCs w:val="21"/>
        </w:rPr>
        <w:id w:val="53070367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>
          <w:pPr>
            <w:pStyle w:val="BodyText"/>
            <w:tabs>
              <w:tab w:val="right" w:leader="dot" w:pos="10270"/>
            </w:tabs>
            <w:spacing w:before="70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3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30. 2022-2023.11</w:t>
          </w:r>
          <w:r>
            <w:rPr>
              <w:rFonts w:ascii="Times New Roman" w:eastAsia="Times New Roman" w:hAnsi="Times New Roman" w:cs="Times New Roman"/>
              <w:b/>
              <w:bCs/>
              <w:spacing w:val="39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国内动力电池装机量及增长率</w:t>
          </w:r>
          <w:r>
            <w:rPr>
              <w:sz w:val="24"/>
              <w:szCs w:val="24"/>
            </w:rPr>
            <w:tab/>
          </w:r>
          <w:hyperlink w:anchor="bookmark48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15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31. 2022.7-2023.11</w:t>
          </w:r>
          <w:r>
            <w:rPr>
              <w:rFonts w:ascii="Times New Roman" w:eastAsia="Times New Roman" w:hAnsi="Times New Roman" w:cs="Times New Roman"/>
              <w:b/>
              <w:bCs/>
              <w:spacing w:val="37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中国动力电池出口量</w:t>
          </w:r>
          <w:r>
            <w:rPr>
              <w:sz w:val="24"/>
              <w:szCs w:val="24"/>
            </w:rPr>
            <w:tab/>
          </w:r>
          <w:hyperlink w:anchor="bookmark49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8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32. 2022.7-2023.11</w:t>
          </w:r>
          <w:r>
            <w:rPr>
              <w:rFonts w:ascii="Times New Roman" w:eastAsia="Times New Roman" w:hAnsi="Times New Roman" w:cs="Times New Roman"/>
              <w:b/>
              <w:bCs/>
              <w:spacing w:val="37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中国动力电池出口结构</w:t>
          </w:r>
          <w:r>
            <w:rPr>
              <w:sz w:val="24"/>
              <w:szCs w:val="24"/>
            </w:rPr>
            <w:tab/>
          </w:r>
          <w:hyperlink w:anchor="bookmark50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29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6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33.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中国动力电池产量与装机量、出口量差距</w:t>
          </w:r>
          <w:r>
            <w:rPr>
              <w:sz w:val="24"/>
              <w:szCs w:val="24"/>
            </w:rPr>
            <w:tab/>
          </w:r>
          <w:hyperlink w:anchor="bookmark51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5" w:line="230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5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34.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中国三元和磷酸铁锂电池份额变化</w:t>
          </w:r>
          <w:r>
            <w:rPr>
              <w:sz w:val="24"/>
              <w:szCs w:val="24"/>
            </w:rPr>
            <w:tab/>
          </w:r>
          <w:hyperlink w:anchor="bookmark52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0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3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35. 2022-2023.11</w:t>
          </w:r>
          <w:r>
            <w:rPr>
              <w:rFonts w:ascii="Times New Roman" w:eastAsia="Times New Roman" w:hAnsi="Times New Roman" w:cs="Times New Roman"/>
              <w:b/>
              <w:bCs/>
              <w:spacing w:val="37"/>
              <w:w w:val="10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中国三元动力电池装机量变化</w:t>
          </w:r>
          <w:r>
            <w:rPr>
              <w:sz w:val="24"/>
              <w:szCs w:val="24"/>
            </w:rPr>
            <w:tab/>
          </w:r>
          <w:hyperlink w:anchor="bookmark53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17</w:t>
            </w:r>
          </w:hyperlink>
        </w:p>
      </w:sdtContent>
    </w:sdt>
    <w:p>
      <w:pPr>
        <w:spacing w:line="231" w:lineRule="auto"/>
        <w:rPr>
          <w:rFonts w:ascii="Times New Roman" w:eastAsia="Times New Roman" w:hAnsi="Times New Roman" w:cs="Times New Roman"/>
          <w:sz w:val="24"/>
          <w:szCs w:val="24"/>
        </w:rPr>
        <w:sectPr>
          <w:headerReference w:type="default" r:id="rId12"/>
          <w:footerReference w:type="default" r:id="rId13"/>
          <w:type w:val="nextPage"/>
          <w:pgSz w:w="11907" w:h="16839"/>
          <w:pgMar w:top="400" w:right="708" w:bottom="703" w:left="906" w:header="0" w:footer="422" w:gutter="0"/>
          <w:pgNumType w:start="5"/>
          <w:cols w:space="708"/>
          <w:titlePg w:val="0"/>
        </w:sectPr>
      </w:pPr>
    </w:p>
    <w:p>
      <w:pPr>
        <w:spacing w:before="110" w:line="861" w:lineRule="exact"/>
      </w:pPr>
      <w:r>
        <w:rPr>
          <w:position w:val="-17"/>
        </w:rPr>
        <w:drawing>
          <wp:inline distT="0" distB="0" distL="0" distR="0">
            <wp:extent cx="6524879" cy="546734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4879" cy="54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KaiTi" w:eastAsia="KaiTi" w:hAnsi="KaiTi" w:cs="KaiTi"/>
          <w:sz w:val="24"/>
          <w:szCs w:val="24"/>
        </w:rPr>
        <w:id w:val="88303243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>
          <w:pPr>
            <w:pStyle w:val="BodyText"/>
            <w:tabs>
              <w:tab w:val="right" w:leader="dot" w:pos="10270"/>
            </w:tabs>
            <w:spacing w:before="103" w:line="230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bookmarkStart w:id="2" w:name="bookmark54"/>
          <w:bookmarkEnd w:id="2"/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4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36. 2022-2023.11</w:t>
          </w:r>
          <w:r>
            <w:rPr>
              <w:rFonts w:ascii="Times New Roman" w:eastAsia="Times New Roman" w:hAnsi="Times New Roman" w:cs="Times New Roman"/>
              <w:b/>
              <w:bCs/>
              <w:spacing w:val="37"/>
              <w:w w:val="101"/>
              <w:sz w:val="24"/>
              <w:szCs w:val="24"/>
            </w:rPr>
            <w:t xml:space="preserve">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中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国磷酸铁锂动力电池装机量变化</w:t>
          </w:r>
          <w:r>
            <w:rPr>
              <w:sz w:val="24"/>
              <w:szCs w:val="24"/>
            </w:rPr>
            <w:tab/>
          </w:r>
          <w:hyperlink w:anchor="bookmark55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17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3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8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37. 2023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年动力电池价格变化</w:t>
          </w:r>
          <w:r>
            <w:rPr>
              <w:sz w:val="24"/>
              <w:szCs w:val="24"/>
            </w:rPr>
            <w:tab/>
          </w:r>
          <w:hyperlink w:anchor="bookmark56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17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4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4"/>
              <w:szCs w:val="24"/>
            </w:rPr>
            <w:t xml:space="preserve">38. 2022 </w:t>
          </w:r>
          <w:r>
            <w:rPr>
              <w:spacing w:val="-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年国内动力电池装机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量市场份额</w:t>
          </w:r>
          <w:r>
            <w:rPr>
              <w:sz w:val="24"/>
              <w:szCs w:val="24"/>
            </w:rPr>
            <w:tab/>
          </w:r>
          <w:hyperlink w:anchor="bookmark57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18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39. 2023.1-11</w:t>
          </w:r>
          <w:r>
            <w:rPr>
              <w:rFonts w:ascii="Times New Roman" w:eastAsia="Times New Roman" w:hAnsi="Times New Roman" w:cs="Times New Roman"/>
              <w:b/>
              <w:bCs/>
              <w:spacing w:val="38"/>
              <w:w w:val="10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国内动力电池装机量市场份额</w:t>
          </w:r>
          <w:r>
            <w:rPr>
              <w:sz w:val="24"/>
              <w:szCs w:val="24"/>
            </w:rPr>
            <w:tab/>
          </w:r>
          <w:hyperlink w:anchor="bookmark58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18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30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4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>40.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全球新能源汽车销量及动力电池需求量测算</w:t>
          </w:r>
          <w:r>
            <w:rPr>
              <w:sz w:val="24"/>
              <w:szCs w:val="24"/>
            </w:rPr>
            <w:tab/>
          </w:r>
          <w:hyperlink w:anchor="bookmark59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18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41.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宁德时代神行电池</w:t>
          </w:r>
          <w:r>
            <w:rPr>
              <w:sz w:val="24"/>
              <w:szCs w:val="24"/>
            </w:rPr>
            <w:tab/>
          </w:r>
          <w:r>
            <w:rPr>
              <w:spacing w:val="-87"/>
              <w:sz w:val="24"/>
              <w:szCs w:val="24"/>
            </w:rPr>
            <w:t xml:space="preserve"> </w:t>
          </w:r>
          <w:hyperlink w:anchor="bookmark60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19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28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8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42.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宁德时代凝聚态电池示意图</w:t>
          </w:r>
          <w:r>
            <w:rPr>
              <w:sz w:val="24"/>
              <w:szCs w:val="24"/>
            </w:rPr>
            <w:tab/>
          </w:r>
          <w:hyperlink w:anchor="bookmark61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19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6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4"/>
              <w:szCs w:val="24"/>
            </w:rPr>
            <w:t xml:space="preserve">43. 2022-2023 </w:t>
          </w:r>
          <w:r>
            <w:rPr>
              <w:spacing w:val="-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碳酸锂和氢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氧化锂价格变化</w:t>
          </w:r>
          <w:r>
            <w:rPr>
              <w:spacing w:val="-50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62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20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44. 2024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年碳酸锂成本曲线</w:t>
          </w:r>
          <w:r>
            <w:rPr>
              <w:sz w:val="24"/>
              <w:szCs w:val="24"/>
            </w:rPr>
            <w:tab/>
          </w:r>
          <w:hyperlink w:anchor="bookmark63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20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0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4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45. 2022-2023.10</w:t>
          </w:r>
          <w:r>
            <w:rPr>
              <w:rFonts w:ascii="Times New Roman" w:eastAsia="Times New Roman" w:hAnsi="Times New Roman" w:cs="Times New Roman"/>
              <w:b/>
              <w:bCs/>
              <w:spacing w:val="36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国内正极材料出货量</w:t>
          </w:r>
          <w:r>
            <w:rPr>
              <w:sz w:val="24"/>
              <w:szCs w:val="24"/>
            </w:rPr>
            <w:tab/>
          </w:r>
          <w:hyperlink w:anchor="bookmark64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21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7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46. 2022-2023.10</w:t>
          </w:r>
          <w:r>
            <w:rPr>
              <w:rFonts w:ascii="Times New Roman" w:eastAsia="Times New Roman" w:hAnsi="Times New Roman" w:cs="Times New Roman"/>
              <w:b/>
              <w:bCs/>
              <w:spacing w:val="36"/>
              <w:w w:val="10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国内正极材料出货量结构</w:t>
          </w:r>
          <w:r>
            <w:rPr>
              <w:sz w:val="24"/>
              <w:szCs w:val="24"/>
            </w:rPr>
            <w:tab/>
          </w:r>
          <w:hyperlink w:anchor="bookmark65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21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4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47. 2022-2023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正极材料价格变化</w:t>
          </w:r>
          <w:r>
            <w:rPr>
              <w:sz w:val="24"/>
              <w:szCs w:val="24"/>
            </w:rPr>
            <w:tab/>
          </w:r>
          <w:hyperlink w:anchor="bookmark66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21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6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5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48. 2023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1-9</w:t>
          </w:r>
          <w:r>
            <w:rPr>
              <w:rFonts w:ascii="Times New Roman" w:eastAsia="Times New Roman" w:hAnsi="Times New Roman" w:cs="Times New Roman"/>
              <w:b/>
              <w:bCs/>
              <w:spacing w:val="18"/>
              <w:w w:val="10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月三元材料市场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份额</w:t>
          </w:r>
          <w:r>
            <w:rPr>
              <w:sz w:val="24"/>
              <w:szCs w:val="24"/>
            </w:rPr>
            <w:tab/>
          </w:r>
          <w:hyperlink w:anchor="bookmark67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22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0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4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49. 2023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年上半年磷酸铁锂材料市场份额</w:t>
          </w:r>
          <w:r>
            <w:rPr>
              <w:sz w:val="24"/>
              <w:szCs w:val="24"/>
            </w:rPr>
            <w:tab/>
          </w:r>
          <w:hyperlink w:anchor="bookmark68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22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2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3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50. 2022-2023.11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三元正极材料出货量结构变化</w:t>
          </w:r>
          <w:r>
            <w:rPr>
              <w:sz w:val="24"/>
              <w:szCs w:val="24"/>
            </w:rPr>
            <w:tab/>
          </w:r>
          <w:hyperlink w:anchor="bookmark69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22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28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7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51. 2022-2023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56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LME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镍价走势</w:t>
          </w:r>
          <w:r>
            <w:rPr>
              <w:spacing w:val="-51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70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22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5" w:line="229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3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52. 2022-2023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10</w:t>
          </w:r>
          <w:r>
            <w:rPr>
              <w:rFonts w:ascii="Times New Roman" w:eastAsia="Times New Roman" w:hAnsi="Times New Roman" w:cs="Times New Roman"/>
              <w:b/>
              <w:bCs/>
              <w:spacing w:val="2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月中国负极材料月度产量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71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23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5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6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53. 2023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年上半年全球负极材料市占率</w:t>
          </w:r>
          <w:r>
            <w:rPr>
              <w:sz w:val="24"/>
              <w:szCs w:val="24"/>
            </w:rPr>
            <w:tab/>
          </w:r>
          <w:hyperlink w:anchor="bookmark72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23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6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54. 2023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年焦类原料价格</w:t>
          </w:r>
          <w:r>
            <w:rPr>
              <w:sz w:val="24"/>
              <w:szCs w:val="24"/>
            </w:rPr>
            <w:tab/>
          </w:r>
          <w:hyperlink w:anchor="bookmark73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23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6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55. 2023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年石墨化加工费</w:t>
          </w:r>
          <w:r>
            <w:rPr>
              <w:sz w:val="24"/>
              <w:szCs w:val="24"/>
            </w:rPr>
            <w:tab/>
          </w:r>
          <w:hyperlink w:anchor="bookmark74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23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30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4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57.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负极包覆材料需求测算</w:t>
          </w:r>
          <w:r>
            <w:rPr>
              <w:sz w:val="24"/>
              <w:szCs w:val="24"/>
            </w:rPr>
            <w:tab/>
          </w:r>
          <w:hyperlink w:anchor="bookmark75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25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29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6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4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6"/>
              <w:sz w:val="24"/>
              <w:szCs w:val="24"/>
            </w:rPr>
            <w:t>58.</w:t>
          </w:r>
          <w:r>
            <w:rPr>
              <w:spacing w:val="-6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不同硅氧（纯硅粉）</w:t>
          </w:r>
          <w:r>
            <w:rPr>
              <w:spacing w:val="-35"/>
              <w:sz w:val="24"/>
              <w:szCs w:val="24"/>
            </w:rPr>
            <w:t xml:space="preserve"> </w:t>
          </w:r>
          <w:r>
            <w:rPr>
              <w:spacing w:val="-6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成本与性能对比</w:t>
          </w:r>
          <w:r>
            <w:rPr>
              <w:sz w:val="24"/>
              <w:szCs w:val="24"/>
            </w:rPr>
            <w:tab/>
          </w:r>
          <w:hyperlink w:anchor="bookmark76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25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4" w:line="229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3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 xml:space="preserve">59. 2023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4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1-10</w:t>
          </w:r>
          <w:r>
            <w:rPr>
              <w:rFonts w:ascii="Times New Roman" w:eastAsia="Times New Roman" w:hAnsi="Times New Roman" w:cs="Times New Roman"/>
              <w:b/>
              <w:bCs/>
              <w:spacing w:val="18"/>
              <w:w w:val="101"/>
              <w:sz w:val="24"/>
              <w:szCs w:val="24"/>
            </w:rPr>
            <w:t xml:space="preserve">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月中国隔膜产量</w:t>
          </w:r>
          <w:r>
            <w:rPr>
              <w:sz w:val="24"/>
              <w:szCs w:val="24"/>
            </w:rPr>
            <w:tab/>
          </w:r>
          <w:hyperlink w:anchor="bookmark77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5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60. 2023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年上半年国内隔膜市场份额</w:t>
          </w:r>
          <w:r>
            <w:rPr>
              <w:sz w:val="24"/>
              <w:szCs w:val="24"/>
            </w:rPr>
            <w:tab/>
          </w:r>
          <w:hyperlink w:anchor="bookmark78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5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61. 2022-2023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年锂电隔膜价格</w:t>
          </w:r>
          <w:r>
            <w:rPr>
              <w:sz w:val="24"/>
              <w:szCs w:val="24"/>
            </w:rPr>
            <w:tab/>
          </w:r>
          <w:hyperlink w:anchor="bookmark79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26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29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9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62. 2022-2023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</w:t>
          </w:r>
          <w:r>
            <w:rPr>
              <w:spacing w:val="-52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9</w:t>
          </w:r>
          <w:r>
            <w:rPr>
              <w:rFonts w:ascii="Times New Roman" w:eastAsia="Times New Roman" w:hAnsi="Times New Roman" w:cs="Times New Roman"/>
              <w:b/>
              <w:bCs/>
              <w:spacing w:val="20"/>
              <w:w w:val="101"/>
              <w:sz w:val="24"/>
              <w:szCs w:val="24"/>
            </w:rPr>
            <w:t xml:space="preserve">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月国内电解液产量</w:t>
          </w:r>
          <w:r>
            <w:rPr>
              <w:sz w:val="24"/>
              <w:szCs w:val="24"/>
            </w:rPr>
            <w:tab/>
          </w:r>
          <w:hyperlink w:anchor="bookmark80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27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4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63. 2023H1</w:t>
          </w:r>
          <w:r>
            <w:rPr>
              <w:rFonts w:ascii="Times New Roman" w:eastAsia="Times New Roman" w:hAnsi="Times New Roman" w:cs="Times New Roman"/>
              <w:b/>
              <w:bCs/>
              <w:spacing w:val="37"/>
              <w:w w:val="101"/>
              <w:sz w:val="24"/>
              <w:szCs w:val="24"/>
            </w:rPr>
            <w:t xml:space="preserve">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国内电解液行业格局</w:t>
          </w:r>
          <w:r>
            <w:rPr>
              <w:sz w:val="24"/>
              <w:szCs w:val="24"/>
            </w:rPr>
            <w:tab/>
          </w:r>
          <w:hyperlink w:anchor="bookmark81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27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2" w:line="230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64. 2022-2023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年电解液和六氟磷酸锂价格</w:t>
          </w:r>
          <w:r>
            <w:rPr>
              <w:spacing w:val="-50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82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27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1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9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65. 2023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年电解液毛利</w:t>
          </w:r>
          <w:r>
            <w:rPr>
              <w:sz w:val="24"/>
              <w:szCs w:val="24"/>
            </w:rPr>
            <w:tab/>
          </w:r>
          <w:hyperlink w:anchor="bookmark83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</w:t>
            </w:r>
          </w:hyperlink>
          <w:r>
            <w:rPr>
              <w:rFonts w:ascii="Times New Roman" w:eastAsia="Times New Roman" w:hAnsi="Times New Roman" w:cs="Times New Roman"/>
              <w:b/>
              <w:bCs/>
              <w:spacing w:val="8"/>
              <w:sz w:val="24"/>
              <w:szCs w:val="24"/>
            </w:rPr>
            <w:t>7</w:t>
          </w:r>
        </w:p>
        <w:p>
          <w:pPr>
            <w:pStyle w:val="BodyText"/>
            <w:tabs>
              <w:tab w:val="right" w:leader="dot" w:pos="10270"/>
            </w:tabs>
            <w:spacing w:before="71" w:line="229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66.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主要企业</w:t>
          </w:r>
          <w:r>
            <w:rPr>
              <w:spacing w:val="-54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LiFSI</w:t>
          </w:r>
          <w:r>
            <w:rPr>
              <w:rFonts w:ascii="Times New Roman" w:eastAsia="Times New Roman" w:hAnsi="Times New Roman" w:cs="Times New Roman"/>
              <w:b/>
              <w:bCs/>
              <w:spacing w:val="19"/>
              <w:sz w:val="24"/>
              <w:szCs w:val="24"/>
            </w:rPr>
            <w:t xml:space="preserve"> 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生产规划</w:t>
          </w:r>
          <w:r>
            <w:rPr>
              <w:sz w:val="24"/>
              <w:szCs w:val="24"/>
            </w:rPr>
            <w:tab/>
          </w:r>
          <w:hyperlink w:anchor="bookmark84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28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5" w:line="231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6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4"/>
              <w:szCs w:val="24"/>
            </w:rPr>
            <w:t xml:space="preserve">67. 2023 </w:t>
          </w:r>
          <w:r>
            <w:rPr>
              <w:spacing w:val="-2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年国内锂电铜箔加工费</w:t>
          </w:r>
          <w:r>
            <w:rPr>
              <w:sz w:val="24"/>
              <w:szCs w:val="24"/>
            </w:rPr>
            <w:tab/>
          </w:r>
          <w:hyperlink w:anchor="bookmark85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28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69" w:line="230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  <w:sectPr>
              <w:headerReference w:type="default" r:id="rId14"/>
              <w:footerReference w:type="default" r:id="rId15"/>
              <w:pgSz w:w="11907" w:h="16839"/>
              <w:pgMar w:top="400" w:right="708" w:bottom="703" w:left="906" w:header="0" w:footer="422" w:gutter="0"/>
              <w:pgNumType w:start="6"/>
              <w:cols w:space="708"/>
            </w:sectPr>
          </w:pP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4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>68.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铜箔厂商</w:t>
          </w:r>
          <w:r>
            <w:rPr>
              <w:spacing w:val="-5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4"/>
              <w:szCs w:val="24"/>
            </w:rPr>
            <w:t xml:space="preserve">4.5 </w:t>
          </w:r>
          <w:r>
            <w:rPr>
              <w:spacing w:val="-3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微米铜箔进展</w:t>
          </w:r>
          <w:r>
            <w:rPr>
              <w:sz w:val="24"/>
              <w:szCs w:val="24"/>
            </w:rPr>
            <w:tab/>
          </w:r>
          <w:hyperlink w:anchor="bookmark86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29</w:t>
            </w:r>
          </w:hyperlink>
        </w:p>
      </w:sdtContent>
    </w:sdt>
    <w:sdt>
      <w:sdtPr>
        <w:rPr>
          <w:rFonts w:ascii="KaiTi" w:eastAsia="KaiTi" w:hAnsi="KaiTi" w:cs="KaiTi"/>
          <w:sz w:val="24"/>
          <w:szCs w:val="24"/>
        </w:rPr>
        <w:id w:val="171699774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>
          <w:pPr>
            <w:pStyle w:val="BodyText"/>
            <w:tabs>
              <w:tab w:val="right" w:leader="dot" w:pos="10270"/>
            </w:tabs>
            <w:spacing w:before="73" w:line="230" w:lineRule="auto"/>
            <w:ind w:left="174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</w:t>
          </w:r>
          <w:r>
            <w:rPr>
              <w:spacing w:val="-39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4"/>
              <w:szCs w:val="24"/>
            </w:rPr>
            <w:t>69.</w:t>
          </w:r>
          <w:r>
            <w:rPr>
              <w:spacing w:val="-4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复合铜箔技术进展</w:t>
          </w:r>
          <w:r>
            <w:rPr>
              <w:sz w:val="24"/>
              <w:szCs w:val="24"/>
            </w:rPr>
            <w:tab/>
          </w:r>
          <w:hyperlink w:anchor="bookmark87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29</w:t>
            </w:r>
          </w:hyperlink>
        </w:p>
        <w:p>
          <w:pPr>
            <w:pStyle w:val="BodyText"/>
            <w:tabs>
              <w:tab w:val="right" w:leader="dot" w:pos="10270"/>
            </w:tabs>
            <w:spacing w:before="73" w:line="231" w:lineRule="auto"/>
            <w:ind w:left="1728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spacing w:val="-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附录图表</w:t>
          </w:r>
          <w:r>
            <w:rPr>
              <w:spacing w:val="-1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4"/>
              <w:szCs w:val="24"/>
            </w:rPr>
            <w:t>70.</w:t>
          </w:r>
          <w:r>
            <w:rPr>
              <w:spacing w:val="-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报告中提及上市公司估值表</w:t>
          </w:r>
          <w:r>
            <w:rPr>
              <w:sz w:val="24"/>
              <w:szCs w:val="24"/>
            </w:rPr>
            <w:tab/>
          </w:r>
          <w:hyperlink w:anchor="bookmark88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>32</w:t>
            </w:r>
          </w:hyperlink>
        </w:p>
      </w:sdtContent>
    </w:sdt>
    <w:p>
      <w:pPr>
        <w:spacing w:line="231" w:lineRule="auto"/>
        <w:rPr>
          <w:rFonts w:ascii="Times New Roman" w:eastAsia="Times New Roman" w:hAnsi="Times New Roman" w:cs="Times New Roman"/>
          <w:sz w:val="24"/>
          <w:szCs w:val="24"/>
        </w:rPr>
        <w:sectPr>
          <w:headerReference w:type="default" r:id="rId16"/>
          <w:footerReference w:type="default" r:id="rId17"/>
          <w:type w:val="nextPage"/>
          <w:pgSz w:w="11907" w:h="16839"/>
          <w:pgMar w:top="400" w:right="708" w:bottom="703" w:left="906" w:header="0" w:footer="422" w:gutter="0"/>
          <w:pgNumType w:start="7"/>
          <w:cols w:space="708"/>
          <w:titlePg w:val="0"/>
        </w:sectPr>
      </w:pPr>
    </w:p>
    <w:p>
      <w:pPr>
        <w:spacing w:before="110" w:line="861" w:lineRule="exact"/>
      </w:pPr>
      <w:r>
        <w:rPr>
          <w:position w:val="-17"/>
        </w:rPr>
        <w:drawing>
          <wp:inline distT="0" distB="0" distL="0" distR="0">
            <wp:extent cx="6524879" cy="546734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4879" cy="54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34" w:line="218" w:lineRule="auto"/>
        <w:ind w:left="1687"/>
        <w:rPr>
          <w:sz w:val="31"/>
          <w:szCs w:val="31"/>
        </w:rPr>
      </w:pPr>
      <w:bookmarkStart w:id="3" w:name="bookmark89"/>
      <w:bookmarkEnd w:id="3"/>
      <w:bookmarkStart w:id="4" w:name="bookmark2"/>
      <w:bookmarkEnd w:id="4"/>
      <w:bookmarkStart w:id="5" w:name="bookmark3"/>
      <w:bookmarkEnd w:id="5"/>
      <w:bookmarkStart w:id="6" w:name="bookmark20"/>
      <w:bookmarkEnd w:id="6"/>
      <w:bookmarkStart w:id="7" w:name="bookmark21"/>
      <w:bookmarkEnd w:id="7"/>
      <w:r>
        <w:rPr>
          <w:color w:val="A7001D"/>
          <w:spacing w:val="8"/>
          <w:sz w:val="31"/>
          <w:szCs w:val="31"/>
          <w14:textOutline w14:w="5791">
            <w14:solidFill>
              <w14:srgbClr w14:val="A7001D"/>
            </w14:solidFill>
            <w14:prstDash w14:val="solid"/>
            <w14:miter w14:lim="10"/>
          </w14:textOutline>
        </w:rPr>
        <w:t>电动化大趋势不改，新能源汽车延续增长</w:t>
      </w:r>
    </w:p>
    <w:p>
      <w:pPr>
        <w:pStyle w:val="BodyText"/>
        <w:spacing w:before="281" w:line="212" w:lineRule="auto"/>
        <w:ind w:left="1658"/>
        <w:rPr>
          <w:sz w:val="24"/>
          <w:szCs w:val="24"/>
        </w:rPr>
      </w:pPr>
      <w:r>
        <w:rPr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全球新能源汽车市场保持增长，渗透率持续提升</w:t>
      </w:r>
    </w:p>
    <w:p>
      <w:pPr>
        <w:pStyle w:val="BodyText"/>
        <w:spacing w:before="108" w:line="246" w:lineRule="auto"/>
        <w:ind w:left="1649" w:right="10"/>
      </w:pPr>
      <w:r>
        <w:rPr>
          <w:rFonts w:ascii="Times New Roman" w:eastAsia="Times New Roman" w:hAnsi="Times New Roman" w:cs="Times New Roman"/>
          <w:b/>
          <w:bCs/>
          <w:spacing w:val="6"/>
        </w:rPr>
        <w:t>2023</w:t>
      </w:r>
      <w:r>
        <w:rPr>
          <w:rFonts w:ascii="Times New Roman" w:eastAsia="Times New Roman" w:hAnsi="Times New Roman" w:cs="Times New Roman"/>
          <w:b/>
          <w:bCs/>
          <w:spacing w:val="58"/>
          <w:w w:val="101"/>
        </w:rPr>
        <w:t xml:space="preserve"> </w:t>
      </w:r>
      <w:r>
        <w:rPr>
          <w:spacing w:val="6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年</w:t>
      </w:r>
      <w:r>
        <w:rPr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6"/>
        </w:rPr>
        <w:t>1-10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 </w:t>
      </w:r>
      <w:r>
        <w:rPr>
          <w:spacing w:val="6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月全球新能源汽车销量同比增长近四成，渗透率持续提升：</w:t>
      </w:r>
      <w:r>
        <w:rPr>
          <w:spacing w:val="6"/>
        </w:rPr>
        <w:t xml:space="preserve"> </w:t>
      </w:r>
      <w:r>
        <w:rPr>
          <w:spacing w:val="6"/>
        </w:rPr>
        <w:t>全球新能源汽车景气度持</w:t>
      </w:r>
      <w:r>
        <w:t xml:space="preserve"> </w:t>
      </w:r>
      <w:r>
        <w:rPr>
          <w:spacing w:val="2"/>
        </w:rPr>
        <w:t>续向上，</w:t>
      </w:r>
      <w:r>
        <w:rPr>
          <w:spacing w:val="-29"/>
        </w:rPr>
        <w:t xml:space="preserve"> </w:t>
      </w:r>
      <w:r>
        <w:rPr>
          <w:spacing w:val="2"/>
        </w:rPr>
        <w:t>电动化趋势明朗。从月度销量走势看，</w:t>
      </w:r>
      <w:r>
        <w:rPr>
          <w:rFonts w:ascii="Times New Roman" w:eastAsia="Times New Roman" w:hAnsi="Times New Roman" w:cs="Times New Roman"/>
          <w:spacing w:val="2"/>
        </w:rPr>
        <w:t>2023</w:t>
      </w:r>
      <w:r>
        <w:rPr>
          <w:rFonts w:ascii="Times New Roman" w:eastAsia="Times New Roman" w:hAnsi="Times New Roman" w:cs="Times New Roman"/>
          <w:spacing w:val="13"/>
          <w:w w:val="101"/>
        </w:rPr>
        <w:t xml:space="preserve"> </w:t>
      </w:r>
      <w:r>
        <w:rPr>
          <w:spacing w:val="2"/>
        </w:rPr>
        <w:t>年全球新能源汽车销量基本呈现稳步上升态势，</w:t>
      </w:r>
      <w:r>
        <w:t xml:space="preserve"> </w:t>
      </w:r>
      <w:r>
        <w:rPr>
          <w:spacing w:val="6"/>
        </w:rPr>
        <w:t>并在每个季度的最后一个月不断冲高，</w:t>
      </w:r>
      <w:r>
        <w:rPr>
          <w:spacing w:val="-27"/>
        </w:rPr>
        <w:t xml:space="preserve"> </w:t>
      </w:r>
      <w:r>
        <w:rPr>
          <w:spacing w:val="6"/>
        </w:rPr>
        <w:t>自</w:t>
      </w:r>
      <w:r>
        <w:rPr>
          <w:spacing w:val="-31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>5</w:t>
      </w:r>
      <w:r>
        <w:rPr>
          <w:rFonts w:ascii="Times New Roman" w:eastAsia="Times New Roman" w:hAnsi="Times New Roman" w:cs="Times New Roman"/>
          <w:spacing w:val="19"/>
          <w:w w:val="101"/>
        </w:rPr>
        <w:t xml:space="preserve"> </w:t>
      </w:r>
      <w:r>
        <w:rPr>
          <w:spacing w:val="6"/>
        </w:rPr>
        <w:t>月份以来，月销量维持在</w:t>
      </w:r>
      <w:r>
        <w:rPr>
          <w:spacing w:val="-18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>100</w:t>
      </w:r>
      <w:r>
        <w:rPr>
          <w:rFonts w:ascii="Times New Roman" w:eastAsia="Times New Roman" w:hAnsi="Times New Roman" w:cs="Times New Roman"/>
          <w:spacing w:val="16"/>
          <w:w w:val="102"/>
        </w:rPr>
        <w:t xml:space="preserve"> </w:t>
      </w:r>
      <w:r>
        <w:rPr>
          <w:spacing w:val="6"/>
        </w:rPr>
        <w:t>万辆以上。根据</w:t>
      </w:r>
      <w:r>
        <w:rPr>
          <w:spacing w:val="-39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Marklines </w:t>
      </w:r>
      <w:r>
        <w:t>数据，</w:t>
      </w:r>
      <w:r>
        <w:t xml:space="preserve"> </w:t>
      </w:r>
      <w:r>
        <w:rPr>
          <w:rFonts w:ascii="Times New Roman" w:eastAsia="Times New Roman" w:hAnsi="Times New Roman" w:cs="Times New Roman"/>
        </w:rPr>
        <w:t>2023</w:t>
      </w:r>
      <w:r>
        <w:rPr>
          <w:rFonts w:ascii="Times New Roman" w:eastAsia="Times New Roman" w:hAnsi="Times New Roman" w:cs="Times New Roman"/>
          <w:spacing w:val="15"/>
          <w:w w:val="101"/>
        </w:rPr>
        <w:t xml:space="preserve"> </w:t>
      </w:r>
      <w:r>
        <w:t>年</w:t>
      </w:r>
      <w: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t>至</w:t>
      </w:r>
      <w:r>
        <w:t xml:space="preserve">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t>月全球新</w:t>
      </w:r>
      <w:r>
        <w:rPr>
          <w:spacing w:val="-1"/>
        </w:rPr>
        <w:t>能源汽车销量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1,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102.27</w:t>
      </w:r>
      <w:r>
        <w:rPr>
          <w:rFonts w:ascii="Times New Roman" w:eastAsia="Times New Roman" w:hAnsi="Times New Roman" w:cs="Times New Roman"/>
          <w:spacing w:val="22"/>
          <w:w w:val="101"/>
        </w:rPr>
        <w:t xml:space="preserve"> </w:t>
      </w:r>
      <w:r>
        <w:rPr>
          <w:spacing w:val="-1"/>
        </w:rPr>
        <w:t>万辆，同比增长</w:t>
      </w:r>
      <w:r>
        <w:rPr>
          <w:spacing w:val="-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37.58%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spacing w:val="-1"/>
        </w:rPr>
        <w:t>，</w:t>
      </w:r>
      <w:r>
        <w:rPr>
          <w:rFonts w:ascii="Times New Roman" w:eastAsia="Times New Roman" w:hAnsi="Times New Roman" w:cs="Times New Roman"/>
          <w:spacing w:val="-1"/>
        </w:rPr>
        <w:t>2023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spacing w:val="-1"/>
        </w:rPr>
        <w:t>年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spacing w:val="-1"/>
        </w:rPr>
        <w:t>至</w:t>
      </w:r>
      <w:r>
        <w:rPr>
          <w:spacing w:val="-1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10</w:t>
      </w:r>
      <w:r>
        <w:rPr>
          <w:rFonts w:ascii="Times New Roman" w:eastAsia="Times New Roman" w:hAnsi="Times New Roman" w:cs="Times New Roman"/>
          <w:spacing w:val="23"/>
          <w:w w:val="101"/>
        </w:rPr>
        <w:t xml:space="preserve"> </w:t>
      </w:r>
      <w:r>
        <w:rPr>
          <w:spacing w:val="-1"/>
        </w:rPr>
        <w:t>月</w:t>
      </w:r>
      <w:r>
        <w:t xml:space="preserve"> </w:t>
      </w:r>
      <w:r>
        <w:rPr>
          <w:spacing w:val="4"/>
        </w:rPr>
        <w:t>全球新能源汽车累计渗透率</w:t>
      </w:r>
      <w:r>
        <w:rPr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16.28%</w:t>
      </w:r>
      <w:r>
        <w:rPr>
          <w:spacing w:val="4"/>
        </w:rPr>
        <w:t>，</w:t>
      </w:r>
      <w:r>
        <w:rPr>
          <w:spacing w:val="-55"/>
        </w:rPr>
        <w:t xml:space="preserve"> </w:t>
      </w:r>
      <w:r>
        <w:rPr>
          <w:spacing w:val="4"/>
        </w:rPr>
        <w:t>同比提</w:t>
      </w:r>
      <w:r>
        <w:rPr>
          <w:spacing w:val="3"/>
        </w:rPr>
        <w:t>升</w:t>
      </w:r>
      <w:r>
        <w:rPr>
          <w:spacing w:val="-3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3.17 </w:t>
      </w:r>
      <w:r>
        <w:rPr>
          <w:spacing w:val="3"/>
        </w:rPr>
        <w:t>个百分点，</w:t>
      </w:r>
      <w:r>
        <w:rPr>
          <w:spacing w:val="3"/>
        </w:rPr>
        <w:t xml:space="preserve"> </w:t>
      </w:r>
      <w:r>
        <w:rPr>
          <w:spacing w:val="3"/>
        </w:rPr>
        <w:t>市场空间持续扩大。</w:t>
      </w:r>
    </w:p>
    <w:p>
      <w:pPr>
        <w:spacing w:before="19"/>
      </w:pPr>
    </w:p>
    <w:p>
      <w:pPr>
        <w:spacing w:before="19"/>
      </w:pPr>
    </w:p>
    <w:p>
      <w:pPr>
        <w:sectPr>
          <w:headerReference w:type="default" r:id="rId18"/>
          <w:footerReference w:type="default" r:id="rId19"/>
          <w:pgSz w:w="11907" w:h="16839"/>
          <w:pgMar w:top="400" w:right="708" w:bottom="703" w:left="906" w:header="0" w:footer="422" w:gutter="0"/>
          <w:pgNumType w:start="8"/>
          <w:cols w:num="1" w:space="708" w:equalWidth="0">
            <w:col w:w="10292" w:space="0"/>
          </w:cols>
        </w:sectPr>
      </w:pPr>
    </w:p>
    <w:tbl>
      <w:tblPr>
        <w:tblStyle w:val="TableNormal0"/>
        <w:tblW w:w="4942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84"/>
        <w:gridCol w:w="4062"/>
        <w:gridCol w:w="496"/>
      </w:tblGrid>
      <w:tr>
        <w:tblPrEx>
          <w:tblW w:w="4942" w:type="dxa"/>
          <w:tblInd w:w="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55"/>
        </w:trPr>
        <w:tc>
          <w:tcPr>
            <w:tcW w:w="4942" w:type="dxa"/>
            <w:gridSpan w:val="3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line="226" w:lineRule="auto"/>
              <w:ind w:left="31"/>
              <w:rPr>
                <w:rFonts w:ascii="KaiTi" w:eastAsia="KaiTi" w:hAnsi="KaiTi" w:cs="KaiTi"/>
                <w:sz w:val="19"/>
                <w:szCs w:val="19"/>
              </w:rPr>
            </w:pP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图表</w:t>
            </w:r>
            <w:r>
              <w:rPr>
                <w:rFonts w:ascii="KaiTi" w:eastAsia="KaiTi" w:hAnsi="KaiTi" w:cs="KaiTi"/>
                <w:spacing w:val="-29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 xml:space="preserve">1.2022-2023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</w:t>
            </w:r>
            <w:r>
              <w:rPr>
                <w:rFonts w:ascii="KaiTi" w:eastAsia="KaiTi" w:hAnsi="KaiTi" w:cs="KaiTi"/>
                <w:spacing w:val="-30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>10</w:t>
            </w:r>
            <w:r>
              <w:rPr>
                <w:b/>
                <w:bCs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月全球新能源汽车月度销量</w:t>
            </w:r>
          </w:p>
        </w:tc>
      </w:tr>
      <w:tr>
        <w:tblPrEx>
          <w:tblW w:w="4942" w:type="dxa"/>
          <w:tblInd w:w="5" w:type="dxa"/>
          <w:tblLayout w:type="fixed"/>
        </w:tblPrEx>
        <w:trPr>
          <w:trHeight w:val="313"/>
        </w:trPr>
        <w:tc>
          <w:tcPr>
            <w:tcW w:w="384" w:type="dxa"/>
            <w:vMerge w:val="restart"/>
            <w:tcBorders>
              <w:top w:val="single" w:sz="2" w:space="0" w:color="000000"/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8" w:line="195" w:lineRule="auto"/>
              <w:ind w:left="154"/>
            </w:pPr>
            <w:r>
              <w:rPr>
                <w:spacing w:val="-2"/>
              </w:rPr>
              <w:t>150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8" w:line="195" w:lineRule="auto"/>
              <w:ind w:left="154"/>
            </w:pPr>
            <w:r>
              <w:rPr>
                <w:spacing w:val="-2"/>
              </w:rPr>
              <w:t>120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8" w:line="195" w:lineRule="auto"/>
              <w:ind w:left="212"/>
            </w:pPr>
            <w:r>
              <w:rPr>
                <w:spacing w:val="1"/>
              </w:rPr>
              <w:t>90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8" w:line="195" w:lineRule="auto"/>
              <w:ind w:left="212"/>
            </w:pPr>
            <w:r>
              <w:rPr>
                <w:spacing w:val="1"/>
              </w:rPr>
              <w:t>60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8" w:line="195" w:lineRule="auto"/>
              <w:ind w:left="212"/>
            </w:pPr>
            <w:r>
              <w:rPr>
                <w:spacing w:val="1"/>
              </w:rPr>
              <w:t>30</w:t>
            </w: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7" w:line="159" w:lineRule="auto"/>
              <w:ind w:left="281"/>
            </w:pPr>
            <w:r>
              <w:t>0</w:t>
            </w:r>
          </w:p>
        </w:tc>
        <w:tc>
          <w:tcPr>
            <w:tcW w:w="4062" w:type="dxa"/>
            <w:tcBorders>
              <w:top w:val="single" w:sz="2" w:space="0" w:color="000000"/>
            </w:tcBorders>
            <w:vAlign w:val="top"/>
          </w:tcPr>
          <w:p>
            <w:pPr>
              <w:spacing w:before="157" w:line="184" w:lineRule="auto"/>
              <w:rPr>
                <w:rFonts w:ascii="STKaiti" w:eastAsia="STKaiti" w:hAnsi="STKaiti" w:cs="STKaiti"/>
                <w:sz w:val="13"/>
                <w:szCs w:val="13"/>
              </w:rPr>
            </w:pPr>
            <w:r>
              <w:rPr>
                <w:rFonts w:ascii="STKaiti" w:eastAsia="STKaiti" w:hAnsi="STKaiti" w:cs="STKaiti"/>
                <w:spacing w:val="-7"/>
                <w:sz w:val="13"/>
                <w:szCs w:val="13"/>
              </w:rPr>
              <w:t>（万辆）</w:t>
            </w:r>
          </w:p>
        </w:tc>
        <w:tc>
          <w:tcPr>
            <w:tcW w:w="496" w:type="dxa"/>
            <w:vMerge w:val="restart"/>
            <w:tcBorders>
              <w:top w:val="single" w:sz="2" w:space="0" w:color="000000"/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7" w:line="227" w:lineRule="exact"/>
              <w:ind w:left="54"/>
            </w:pPr>
            <w:r>
              <w:rPr>
                <w:position w:val="9"/>
              </w:rPr>
              <w:t>140%</w:t>
            </w:r>
          </w:p>
          <w:p>
            <w:pPr>
              <w:pStyle w:val="TableText"/>
              <w:spacing w:line="195" w:lineRule="auto"/>
              <w:ind w:left="54"/>
            </w:pPr>
            <w:r>
              <w:t>120%</w:t>
            </w:r>
          </w:p>
          <w:p>
            <w:pPr>
              <w:pStyle w:val="TableText"/>
              <w:spacing w:before="104" w:line="196" w:lineRule="auto"/>
              <w:ind w:left="54"/>
            </w:pPr>
            <w:r>
              <w:t>100%</w:t>
            </w:r>
          </w:p>
          <w:p>
            <w:pPr>
              <w:pStyle w:val="TableText"/>
              <w:spacing w:before="105" w:line="195" w:lineRule="auto"/>
              <w:ind w:left="47"/>
            </w:pPr>
            <w:r>
              <w:rPr>
                <w:spacing w:val="1"/>
              </w:rPr>
              <w:t>80%</w:t>
            </w:r>
          </w:p>
          <w:p>
            <w:pPr>
              <w:pStyle w:val="TableText"/>
              <w:spacing w:before="105" w:line="195" w:lineRule="auto"/>
              <w:ind w:left="44"/>
            </w:pPr>
            <w:r>
              <w:rPr>
                <w:spacing w:val="2"/>
              </w:rPr>
              <w:t>60%</w:t>
            </w:r>
          </w:p>
          <w:p>
            <w:pPr>
              <w:pStyle w:val="TableText"/>
              <w:spacing w:before="104" w:line="196" w:lineRule="auto"/>
              <w:ind w:left="40"/>
            </w:pPr>
            <w:r>
              <w:rPr>
                <w:spacing w:val="4"/>
              </w:rPr>
              <w:t>40%</w:t>
            </w:r>
          </w:p>
          <w:p>
            <w:pPr>
              <w:pStyle w:val="TableText"/>
              <w:spacing w:before="105" w:line="195" w:lineRule="auto"/>
              <w:ind w:left="41"/>
            </w:pPr>
            <w:r>
              <w:rPr>
                <w:spacing w:val="3"/>
              </w:rPr>
              <w:t>20%</w:t>
            </w:r>
          </w:p>
          <w:p>
            <w:pPr>
              <w:pStyle w:val="TableText"/>
              <w:spacing w:before="106" w:line="195" w:lineRule="auto"/>
              <w:ind w:left="43"/>
            </w:pPr>
            <w:r>
              <w:rPr>
                <w:spacing w:val="3"/>
              </w:rPr>
              <w:t>0%</w:t>
            </w:r>
          </w:p>
          <w:p>
            <w:pPr>
              <w:pStyle w:val="TableText"/>
              <w:spacing w:before="105" w:line="226" w:lineRule="exact"/>
              <w:ind w:left="44"/>
            </w:pPr>
            <w:r>
              <w:rPr>
                <w:spacing w:val="2"/>
                <w:position w:val="9"/>
              </w:rPr>
              <w:t>-20%</w:t>
            </w:r>
          </w:p>
          <w:p>
            <w:pPr>
              <w:pStyle w:val="TableText"/>
              <w:spacing w:before="1" w:line="195" w:lineRule="auto"/>
              <w:ind w:left="44"/>
            </w:pPr>
            <w:r>
              <w:rPr>
                <w:spacing w:val="2"/>
              </w:rPr>
              <w:t>-40%</w:t>
            </w:r>
          </w:p>
          <w:p>
            <w:pPr>
              <w:pStyle w:val="TableText"/>
              <w:spacing w:before="105" w:line="159" w:lineRule="auto"/>
              <w:ind w:left="44"/>
            </w:pPr>
            <w:r>
              <w:rPr>
                <w:spacing w:val="2"/>
              </w:rPr>
              <w:t>-60%</w:t>
            </w:r>
          </w:p>
        </w:tc>
      </w:tr>
      <w:tr>
        <w:tblPrEx>
          <w:tblW w:w="4942" w:type="dxa"/>
          <w:tblInd w:w="5" w:type="dxa"/>
          <w:tblLayout w:type="fixed"/>
        </w:tblPrEx>
        <w:trPr>
          <w:trHeight w:val="2348"/>
        </w:trPr>
        <w:tc>
          <w:tcPr>
            <w:tcW w:w="38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62" w:type="dxa"/>
            <w:vAlign w:val="top"/>
          </w:tcPr>
          <w:p>
            <w:pPr>
              <w:spacing w:before="16" w:line="2314" w:lineRule="exact"/>
              <w:ind w:firstLine="37"/>
            </w:pPr>
            <w:r>
              <w:rPr>
                <w:position w:val="-46"/>
              </w:rPr>
              <w:drawing>
                <wp:inline distT="0" distB="0" distL="0" distR="0">
                  <wp:extent cx="2529999" cy="1469054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999" cy="1469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4942" w:type="dxa"/>
          <w:tblInd w:w="5" w:type="dxa"/>
          <w:tblLayout w:type="fixed"/>
        </w:tblPrEx>
        <w:trPr>
          <w:trHeight w:val="141"/>
        </w:trPr>
        <w:tc>
          <w:tcPr>
            <w:tcW w:w="4942" w:type="dxa"/>
            <w:gridSpan w:val="3"/>
            <w:vAlign w:val="top"/>
          </w:tcPr>
          <w:p>
            <w:pPr>
              <w:pStyle w:val="TableText"/>
              <w:spacing w:before="12" w:line="191" w:lineRule="auto"/>
              <w:ind w:left="329"/>
            </w:pPr>
            <w:r>
              <w:rPr>
                <w:spacing w:val="3"/>
              </w:rPr>
              <w:t>2022.01</w:t>
            </w:r>
            <w:r>
              <w:rPr>
                <w:spacing w:val="17"/>
                <w:w w:val="101"/>
              </w:rPr>
              <w:t xml:space="preserve">  </w:t>
            </w:r>
            <w:r>
              <w:rPr>
                <w:spacing w:val="3"/>
              </w:rPr>
              <w:t>2022.04</w:t>
            </w:r>
            <w:r>
              <w:rPr>
                <w:spacing w:val="10"/>
                <w:w w:val="102"/>
              </w:rPr>
              <w:t xml:space="preserve">  </w:t>
            </w:r>
            <w:r>
              <w:rPr>
                <w:spacing w:val="3"/>
              </w:rPr>
              <w:t>2022.07</w:t>
            </w:r>
            <w:r>
              <w:rPr>
                <w:spacing w:val="10"/>
                <w:w w:val="103"/>
              </w:rPr>
              <w:t xml:space="preserve">  </w:t>
            </w:r>
            <w:r>
              <w:rPr>
                <w:spacing w:val="3"/>
              </w:rPr>
              <w:t>2022.10  2023.01   2023.04</w:t>
            </w:r>
            <w:r>
              <w:rPr>
                <w:spacing w:val="10"/>
                <w:w w:val="102"/>
              </w:rPr>
              <w:t xml:space="preserve">  </w:t>
            </w:r>
            <w:r>
              <w:rPr>
                <w:spacing w:val="3"/>
              </w:rPr>
              <w:t>2023.07</w:t>
            </w:r>
            <w:r>
              <w:rPr>
                <w:spacing w:val="10"/>
                <w:w w:val="102"/>
              </w:rPr>
              <w:t xml:space="preserve">  </w:t>
            </w:r>
            <w:r>
              <w:rPr>
                <w:spacing w:val="3"/>
              </w:rPr>
              <w:t>2023.10</w:t>
            </w:r>
          </w:p>
        </w:tc>
      </w:tr>
      <w:tr>
        <w:tblPrEx>
          <w:tblW w:w="4942" w:type="dxa"/>
          <w:tblInd w:w="5" w:type="dxa"/>
          <w:tblLayout w:type="fixed"/>
        </w:tblPrEx>
        <w:trPr>
          <w:trHeight w:val="434"/>
        </w:trPr>
        <w:tc>
          <w:tcPr>
            <w:tcW w:w="4942" w:type="dxa"/>
            <w:gridSpan w:val="3"/>
            <w:tcBorders>
              <w:bottom w:val="single" w:sz="2" w:space="0" w:color="000000"/>
            </w:tcBorders>
            <w:vAlign w:val="top"/>
          </w:tcPr>
          <w:p>
            <w:pPr>
              <w:spacing w:line="34" w:lineRule="exact"/>
            </w:pPr>
          </w:p>
          <w:tbl>
            <w:tblPr>
              <w:tblStyle w:val="TableNormal0"/>
              <w:tblW w:w="4543" w:type="dxa"/>
              <w:tblInd w:w="1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Layout w:type="fixed"/>
            </w:tblPr>
            <w:tblGrid>
              <w:gridCol w:w="4543"/>
            </w:tblGrid>
            <w:tr>
              <w:tblPrEx>
                <w:tblW w:w="4543" w:type="dxa"/>
                <w:tblInd w:w="192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blBorders>
                <w:tblLayout w:type="fixed"/>
              </w:tblPrEx>
              <w:trPr>
                <w:trHeight w:val="309"/>
              </w:trPr>
              <w:tc>
                <w:tcPr>
                  <w:tcW w:w="4543" w:type="dxa"/>
                  <w:vAlign w:val="top"/>
                </w:tcPr>
                <w:p>
                  <w:pPr>
                    <w:spacing w:before="83" w:line="220" w:lineRule="auto"/>
                    <w:ind w:left="96"/>
                    <w:rPr>
                      <w:rFonts w:ascii="STKaiti" w:eastAsia="STKaiti" w:hAnsi="STKaiti" w:cs="STKaiti"/>
                      <w:sz w:val="13"/>
                      <w:szCs w:val="13"/>
                    </w:rPr>
                  </w:pPr>
                  <w:r>
                    <w:rPr>
                      <w:rFonts w:ascii="STKaiti" w:eastAsia="STKaiti" w:hAnsi="STKaiti" w:cs="STKaiti"/>
                      <w:sz w:val="13"/>
                      <w:szCs w:val="13"/>
                    </w:rPr>
                    <w:drawing>
                      <wp:inline distT="0" distB="0" distL="0" distR="0">
                        <wp:extent cx="221563" cy="43296"/>
                        <wp:effectExtent l="0" t="0" r="0" b="0"/>
                        <wp:docPr id="14" name="IM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 14"/>
                                <pic:cNvPicPr/>
                              </pic:nvPicPr>
                              <pic:blipFill>
                                <a:blip xmlns:r="http://schemas.openxmlformats.org/officeDocument/2006/relationships"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563" cy="43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pacing w:val="21"/>
                      <w:w w:val="101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-2"/>
                      <w:sz w:val="13"/>
                      <w:szCs w:val="13"/>
                    </w:rPr>
                    <w:t xml:space="preserve">销量（左轴）     </w:t>
                  </w:r>
                  <w:r>
                    <w:rPr>
                      <w:position w:val="2"/>
                      <w:sz w:val="13"/>
                      <w:szCs w:val="13"/>
                    </w:rPr>
                    <w:drawing>
                      <wp:inline distT="0" distB="0" distL="0" distR="0">
                        <wp:extent cx="241345" cy="19800"/>
                        <wp:effectExtent l="0" t="0" r="0" b="0"/>
                        <wp:docPr id="16" name="IM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IM 16"/>
                                <pic:cNvPicPr/>
                              </pic:nvPicPr>
                              <pic:blipFill>
                                <a:blip xmlns:r="http://schemas.openxmlformats.org/officeDocument/2006/relationships"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345" cy="19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pacing w:val="18"/>
                      <w:w w:val="102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-2"/>
                      <w:sz w:val="13"/>
                      <w:szCs w:val="13"/>
                    </w:rPr>
                    <w:t xml:space="preserve">同比增长（右轴）     </w:t>
                  </w:r>
                  <w:r>
                    <w:rPr>
                      <w:position w:val="2"/>
                      <w:sz w:val="13"/>
                      <w:szCs w:val="13"/>
                    </w:rPr>
                    <w:drawing>
                      <wp:inline distT="0" distB="0" distL="0" distR="0">
                        <wp:extent cx="241345" cy="19800"/>
                        <wp:effectExtent l="0" t="0" r="0" b="0"/>
                        <wp:docPr id="18" name="IM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IM 18"/>
                                <pic:cNvPicPr/>
                              </pic:nvPicPr>
                              <pic:blipFill>
                                <a:blip xmlns:r="http://schemas.openxmlformats.org/officeDocument/2006/relationships"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345" cy="19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pacing w:val="1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-2"/>
                      <w:sz w:val="13"/>
                      <w:szCs w:val="13"/>
                    </w:rPr>
                    <w:t>环比增长（右轴）</w:t>
                  </w:r>
                </w:p>
              </w:tc>
            </w:tr>
          </w:tbl>
          <w:p>
            <w:pPr>
              <w:spacing w:line="60" w:lineRule="exact"/>
              <w:rPr>
                <w:rFonts w:ascii="Arial"/>
                <w:sz w:val="5"/>
              </w:rPr>
            </w:pPr>
          </w:p>
        </w:tc>
      </w:tr>
      <w:tr>
        <w:tblPrEx>
          <w:tblW w:w="4942" w:type="dxa"/>
          <w:tblInd w:w="5" w:type="dxa"/>
          <w:tblLayout w:type="fixed"/>
        </w:tblPrEx>
        <w:trPr>
          <w:trHeight w:val="202"/>
        </w:trPr>
        <w:tc>
          <w:tcPr>
            <w:tcW w:w="4942" w:type="dxa"/>
            <w:gridSpan w:val="3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41" w:line="174" w:lineRule="auto"/>
              <w:ind w:left="5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i/>
                <w:iCs/>
                <w:spacing w:val="4"/>
                <w:sz w:val="16"/>
                <w:szCs w:val="16"/>
              </w:rPr>
              <w:t>资料来源：</w:t>
            </w:r>
            <w:r>
              <w:rPr>
                <w:i/>
                <w:iCs/>
                <w:sz w:val="16"/>
                <w:szCs w:val="16"/>
              </w:rPr>
              <w:t>Marklines</w:t>
            </w:r>
            <w:r>
              <w:rPr>
                <w:rFonts w:ascii="KaiTi" w:eastAsia="KaiTi" w:hAnsi="KaiTi" w:cs="KaiTi"/>
                <w:i/>
                <w:iCs/>
                <w:spacing w:val="4"/>
                <w:sz w:val="16"/>
                <w:szCs w:val="16"/>
              </w:rPr>
              <w:t>，中银证券</w:t>
            </w:r>
          </w:p>
        </w:tc>
      </w:tr>
    </w:tbl>
    <w:p>
      <w:pPr>
        <w:spacing w:line="126" w:lineRule="auto"/>
        <w:rPr>
          <w:rFonts w:ascii="Arial"/>
          <w:sz w:val="2"/>
        </w:rPr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tbl>
      <w:tblPr>
        <w:tblStyle w:val="TableNormal0"/>
        <w:tblW w:w="50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5040"/>
      </w:tblGrid>
      <w:tr>
        <w:tblPrEx>
          <w:tblW w:w="504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55"/>
        </w:trPr>
        <w:tc>
          <w:tcPr>
            <w:tcW w:w="5040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line="224" w:lineRule="auto"/>
              <w:ind w:left="31"/>
              <w:rPr>
                <w:rFonts w:ascii="KaiTi" w:eastAsia="KaiTi" w:hAnsi="KaiTi" w:cs="KaiTi"/>
                <w:sz w:val="19"/>
                <w:szCs w:val="19"/>
              </w:rPr>
            </w:pP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图表</w:t>
            </w:r>
            <w:r>
              <w:rPr>
                <w:rFonts w:ascii="KaiTi" w:eastAsia="KaiTi" w:hAnsi="KaiTi" w:cs="KaiTi"/>
                <w:spacing w:val="-26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 xml:space="preserve">2.2022-2023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</w:t>
            </w:r>
            <w:r>
              <w:rPr>
                <w:rFonts w:ascii="KaiTi" w:eastAsia="KaiTi" w:hAnsi="KaiTi" w:cs="KaiTi"/>
                <w:spacing w:val="-29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>10</w:t>
            </w:r>
            <w:r>
              <w:rPr>
                <w:b/>
                <w:bCs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月全球新能源汽车月度渗透率</w:t>
            </w:r>
          </w:p>
        </w:tc>
      </w:tr>
      <w:tr>
        <w:tblPrEx>
          <w:tblW w:w="5040" w:type="dxa"/>
          <w:tblInd w:w="0" w:type="dxa"/>
          <w:tblLayout w:type="fixed"/>
        </w:tblPrEx>
        <w:trPr>
          <w:trHeight w:val="2657"/>
        </w:trPr>
        <w:tc>
          <w:tcPr>
            <w:tcW w:w="5040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175" w:line="195" w:lineRule="auto"/>
              <w:ind w:left="137"/>
            </w:pPr>
            <w:r>
              <w:pict>
                <v:group id="_x0000_s1031" style="width:208.05pt;height:120.9pt;margin-top:11.17pt;margin-left:-228.87pt;mso-position-horizontal-relative:right-margin-area;mso-position-vertical-relative:top-margin-area;position:absolute;z-index:251662336" coordorigin="0,0" coordsize="4161,2418" filled="f" stroked="f">
                  <v:shape id="_x0000_s1032" style="width:4116;height:1983;left:41;position:absolute" coordorigin="0,0" coordsize="4116,1983" path="m,1979l4115,1979m,1583l4115,1583m,1189l4115,1189m,793l4115,793m,397l4115,397m,3l4115,3e" filled="f" strokecolor="black" strokeweight="0.35pt">
                    <v:stroke dashstyle="dash"/>
                  </v:shape>
                  <v:shape id="_x0000_s1033" style="width:4161;height:2418;position:absolute" coordorigin="0,0" coordsize="4161,2418" path="m41,2375l41,3m,2375l41,2375m,1979l41,1979m,1583l41,1583m,1189l41,1189m,793l41,793m,397l41,397m,3l41,3m41,2375l4157,2375m41,2375l41,2417m227,2375l227,2417m415,2375l415,2417m601,2375l601,2417m789,2375l789,2417m976,2375l976,2417m1162,2375l1162,2417m1350,2375l1350,2417m1538,2375l1538,2417m1724,2375l1724,2417m1912,2375l1912,2417m2098,2375l2098,2417m2286,2375l2286,2417m2473,2375l2473,2417m2660,2375l2660,2417m2847,2375l2847,2417m3033,2375l3033,2417m3221,2375l3221,2417m3409,2375l3409,2417m3595,2375l3595,2417m3783,2375l3783,2417m3970,2375l3970,2417m4157,2375l4157,2417e" filled="f" strokecolor="black" strokeweight="0.35pt"/>
                  <v:shape id="_x0000_s1034" style="width:3957;height:743;left:119;position:absolute;top:822" coordorigin="0,0" coordsize="3957,743" path="m13,717c76,718,138,740,200,719c263,697,325,591,388,589c450,587,512,710,575,707c637,705,699,609,762,573c824,537,887,505,949,490c1011,476,1074,507,1136,485c1198,463,1261,388,1323,359c1386,331,1448,322,1510,312c1573,301,1635,327,1697,296c1760,265,1822,169,1885,126c1947,83,2009,-38,2072,37c2134,114,2196,516,2259,582c2321,649,2384,468,2446,437c2508,407,2571,412,2633,397c2695,382,2758,367,2820,346c2882,326,2945,300,3007,275c3070,251,3132,213,3194,200c3257,187,3319,215,3381,197c3444,180,3506,102,3569,93c3631,85,3693,149,3756,146c3818,142,3880,96,3943,71e" filled="f" strokecolor="#a7001d" strokeweight="1.38pt">
                    <v:stroke endcap="round"/>
                  </v:shape>
                </v:group>
              </w:pict>
            </w:r>
            <w:r>
              <w:rPr>
                <w:spacing w:val="3"/>
              </w:rPr>
              <w:t>30%</w:t>
            </w:r>
          </w:p>
          <w:p>
            <w:pPr>
              <w:pStyle w:val="TableText"/>
              <w:spacing w:before="274" w:line="195" w:lineRule="auto"/>
              <w:ind w:left="134"/>
            </w:pPr>
            <w:r>
              <w:rPr>
                <w:spacing w:val="3"/>
              </w:rPr>
              <w:t>25%</w:t>
            </w:r>
          </w:p>
          <w:p>
            <w:pPr>
              <w:pStyle w:val="TableText"/>
              <w:spacing w:before="274" w:line="195" w:lineRule="auto"/>
              <w:ind w:left="134"/>
            </w:pPr>
            <w:r>
              <w:rPr>
                <w:spacing w:val="3"/>
              </w:rPr>
              <w:t>20%</w:t>
            </w:r>
          </w:p>
          <w:p>
            <w:pPr>
              <w:pStyle w:val="TableText"/>
              <w:spacing w:before="274" w:line="195" w:lineRule="auto"/>
              <w:ind w:left="147"/>
            </w:pPr>
            <w:r>
              <w:rPr>
                <w:spacing w:val="-1"/>
              </w:rPr>
              <w:t>15%</w:t>
            </w:r>
          </w:p>
          <w:p>
            <w:pPr>
              <w:pStyle w:val="TableText"/>
              <w:spacing w:before="274" w:line="195" w:lineRule="auto"/>
              <w:ind w:left="147"/>
            </w:pPr>
            <w:r>
              <w:rPr>
                <w:spacing w:val="-1"/>
              </w:rPr>
              <w:t>10%</w:t>
            </w:r>
          </w:p>
          <w:p>
            <w:pPr>
              <w:pStyle w:val="TableText"/>
              <w:spacing w:before="274" w:line="195" w:lineRule="auto"/>
              <w:ind w:left="207"/>
            </w:pPr>
            <w:r>
              <w:rPr>
                <w:spacing w:val="2"/>
              </w:rPr>
              <w:t>5%</w:t>
            </w:r>
          </w:p>
          <w:p>
            <w:pPr>
              <w:pStyle w:val="TableText"/>
              <w:spacing w:before="274" w:line="157" w:lineRule="auto"/>
              <w:ind w:left="205"/>
            </w:pPr>
            <w:r>
              <w:rPr>
                <w:spacing w:val="3"/>
              </w:rPr>
              <w:t>0%</w:t>
            </w:r>
          </w:p>
        </w:tc>
      </w:tr>
      <w:tr>
        <w:tblPrEx>
          <w:tblW w:w="5040" w:type="dxa"/>
          <w:tblInd w:w="0" w:type="dxa"/>
          <w:tblLayout w:type="fixed"/>
        </w:tblPrEx>
        <w:trPr>
          <w:trHeight w:val="132"/>
        </w:trPr>
        <w:tc>
          <w:tcPr>
            <w:tcW w:w="5040" w:type="dxa"/>
            <w:vAlign w:val="top"/>
          </w:tcPr>
          <w:p>
            <w:pPr>
              <w:pStyle w:val="TableText"/>
              <w:spacing w:before="12" w:line="175" w:lineRule="auto"/>
              <w:ind w:left="374"/>
            </w:pPr>
            <w:r>
              <w:rPr>
                <w:spacing w:val="3"/>
              </w:rPr>
              <w:t>2022.01   2022.04   2022.07    2022.10   2023.01   2023.04    2023.07   2023.10</w:t>
            </w:r>
          </w:p>
        </w:tc>
      </w:tr>
      <w:tr>
        <w:tblPrEx>
          <w:tblW w:w="5040" w:type="dxa"/>
          <w:tblInd w:w="0" w:type="dxa"/>
          <w:tblLayout w:type="fixed"/>
        </w:tblPrEx>
        <w:trPr>
          <w:trHeight w:val="444"/>
        </w:trPr>
        <w:tc>
          <w:tcPr>
            <w:tcW w:w="5040" w:type="dxa"/>
            <w:tcBorders>
              <w:bottom w:val="single" w:sz="2" w:space="0" w:color="000000"/>
            </w:tcBorders>
            <w:vAlign w:val="top"/>
          </w:tcPr>
          <w:p>
            <w:pPr>
              <w:spacing w:line="26" w:lineRule="exact"/>
            </w:pPr>
          </w:p>
          <w:tbl>
            <w:tblPr>
              <w:tblStyle w:val="TableNormal0"/>
              <w:tblW w:w="4524" w:type="dxa"/>
              <w:tblInd w:w="18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Layout w:type="fixed"/>
            </w:tblPr>
            <w:tblGrid>
              <w:gridCol w:w="4524"/>
            </w:tblGrid>
            <w:tr>
              <w:tblPrEx>
                <w:tblW w:w="4524" w:type="dxa"/>
                <w:tblInd w:w="184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blBorders>
                <w:tblLayout w:type="fixed"/>
              </w:tblPrEx>
              <w:trPr>
                <w:trHeight w:val="293"/>
              </w:trPr>
              <w:tc>
                <w:tcPr>
                  <w:tcW w:w="4524" w:type="dxa"/>
                  <w:vAlign w:val="top"/>
                </w:tcPr>
                <w:p>
                  <w:pPr>
                    <w:spacing w:before="75" w:line="216" w:lineRule="auto"/>
                    <w:ind w:left="1291"/>
                    <w:rPr>
                      <w:rFonts w:ascii="STKaiti" w:eastAsia="STKaiti" w:hAnsi="STKaiti" w:cs="STKaiti"/>
                      <w:sz w:val="13"/>
                      <w:szCs w:val="13"/>
                    </w:rPr>
                  </w:pPr>
                  <w:r>
                    <w:rPr>
                      <w:rFonts w:ascii="STKaiti" w:eastAsia="STKaiti" w:hAnsi="STKaiti" w:cs="STKaiti"/>
                      <w:position w:val="2"/>
                      <w:sz w:val="13"/>
                      <w:szCs w:val="13"/>
                    </w:rPr>
                    <w:drawing>
                      <wp:inline distT="0" distB="0" distL="0" distR="0">
                        <wp:extent cx="186394" cy="17533"/>
                        <wp:effectExtent l="0" t="0" r="0" b="0"/>
                        <wp:docPr id="20" name="IM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 20"/>
                                <pic:cNvPicPr/>
                              </pic:nvPicPr>
                              <pic:blipFill>
                                <a:blip xmlns:r="http://schemas.openxmlformats.org/officeDocument/2006/relationships"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6394" cy="175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pacing w:val="3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6"/>
                      <w:sz w:val="13"/>
                      <w:szCs w:val="13"/>
                    </w:rPr>
                    <w:t>全球新能源汽车月度渗透率</w:t>
                  </w:r>
                </w:p>
              </w:tc>
            </w:tr>
          </w:tbl>
          <w:p>
            <w:pPr>
              <w:spacing w:line="93" w:lineRule="exact"/>
              <w:rPr>
                <w:rFonts w:ascii="Arial"/>
                <w:sz w:val="8"/>
              </w:rPr>
            </w:pPr>
          </w:p>
        </w:tc>
      </w:tr>
      <w:tr>
        <w:tblPrEx>
          <w:tblW w:w="5040" w:type="dxa"/>
          <w:tblInd w:w="0" w:type="dxa"/>
          <w:tblLayout w:type="fixed"/>
        </w:tblPrEx>
        <w:trPr>
          <w:trHeight w:val="214"/>
        </w:trPr>
        <w:tc>
          <w:tcPr>
            <w:tcW w:w="5040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42" w:line="186" w:lineRule="auto"/>
              <w:ind w:left="5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i/>
                <w:iCs/>
                <w:spacing w:val="4"/>
                <w:sz w:val="16"/>
                <w:szCs w:val="16"/>
              </w:rPr>
              <w:t>资料来源：</w:t>
            </w:r>
            <w:r>
              <w:rPr>
                <w:i/>
                <w:iCs/>
                <w:sz w:val="16"/>
                <w:szCs w:val="16"/>
              </w:rPr>
              <w:t>Marklines</w:t>
            </w:r>
            <w:r>
              <w:rPr>
                <w:rFonts w:ascii="KaiTi" w:eastAsia="KaiTi" w:hAnsi="KaiTi" w:cs="KaiTi"/>
                <w:i/>
                <w:iCs/>
                <w:spacing w:val="4"/>
                <w:sz w:val="16"/>
                <w:szCs w:val="16"/>
              </w:rPr>
              <w:t>，中银证券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eastAsia="Arial" w:hAnsi="Arial" w:cs="Arial"/>
          <w:sz w:val="2"/>
          <w:szCs w:val="2"/>
        </w:rPr>
        <w:sectPr>
          <w:headerReference w:type="default" r:id="rId25"/>
          <w:footerReference w:type="default" r:id="rId26"/>
          <w:type w:val="continuous"/>
          <w:pgSz w:w="11907" w:h="16839"/>
          <w:pgMar w:top="400" w:right="708" w:bottom="703" w:left="906" w:header="0" w:footer="422" w:gutter="0"/>
          <w:pgNumType w:start="9"/>
          <w:cols w:num="2" w:space="708" w:equalWidth="0">
            <w:col w:w="5083" w:space="100"/>
            <w:col w:w="5109" w:space="0"/>
          </w:cols>
        </w:sectPr>
      </w:pPr>
    </w:p>
    <w:p>
      <w:pPr>
        <w:spacing w:line="333" w:lineRule="auto"/>
        <w:rPr>
          <w:rFonts w:ascii="Arial"/>
          <w:sz w:val="21"/>
        </w:rPr>
      </w:pPr>
    </w:p>
    <w:p>
      <w:pPr>
        <w:pStyle w:val="BodyText"/>
        <w:spacing w:before="61" w:line="249" w:lineRule="auto"/>
        <w:ind w:left="1648" w:right="9"/>
      </w:pPr>
      <w:r>
        <w:rPr>
          <w:rFonts w:ascii="Times New Roman" w:eastAsia="Times New Roman" w:hAnsi="Times New Roman" w:cs="Times New Roman"/>
          <w:b/>
          <w:bCs/>
        </w:rPr>
        <w:t>Model</w:t>
      </w:r>
      <w:r>
        <w:rPr>
          <w:rFonts w:ascii="Times New Roman" w:eastAsia="Times New Roman" w:hAnsi="Times New Roman" w:cs="Times New Roman"/>
          <w:b/>
          <w:bCs/>
          <w:spacing w:val="5"/>
        </w:rPr>
        <w:t xml:space="preserve">  </w:t>
      </w:r>
      <w:r>
        <w:rPr>
          <w:rFonts w:ascii="Times New Roman" w:eastAsia="Times New Roman" w:hAnsi="Times New Roman" w:cs="Times New Roman"/>
          <w:b/>
          <w:bCs/>
        </w:rPr>
        <w:t>Y</w:t>
      </w:r>
      <w:r>
        <w:rPr>
          <w:rFonts w:ascii="Times New Roman" w:eastAsia="Times New Roman" w:hAnsi="Times New Roman" w:cs="Times New Roman"/>
          <w:b/>
          <w:bCs/>
          <w:spacing w:val="36"/>
          <w:w w:val="101"/>
        </w:rPr>
        <w:t xml:space="preserve"> 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车型销量领先，</w:t>
      </w:r>
      <w:r>
        <w:rPr>
          <w:spacing w:val="5"/>
        </w:rPr>
        <w:t xml:space="preserve"> 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品牌榜比亚迪优势扩大：</w:t>
      </w:r>
      <w:r>
        <w:rPr>
          <w:spacing w:val="5"/>
        </w:rPr>
        <w:t>从车型销量看，</w:t>
      </w:r>
      <w:r>
        <w:rPr>
          <w:rFonts w:ascii="Times New Roman" w:eastAsia="Times New Roman" w:hAnsi="Times New Roman" w:cs="Times New Roman"/>
          <w:spacing w:val="5"/>
        </w:rPr>
        <w:t>2023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spacing w:val="5"/>
        </w:rPr>
        <w:t>年</w:t>
      </w:r>
      <w:r>
        <w:rPr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1-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10</w:t>
      </w:r>
      <w:r>
        <w:rPr>
          <w:rFonts w:ascii="Times New Roman" w:eastAsia="Times New Roman" w:hAnsi="Times New Roman" w:cs="Times New Roman"/>
          <w:spacing w:val="28"/>
          <w:w w:val="102"/>
        </w:rPr>
        <w:t xml:space="preserve"> </w:t>
      </w:r>
      <w:r>
        <w:rPr>
          <w:spacing w:val="5"/>
        </w:rPr>
        <w:t>月特斯拉</w:t>
      </w:r>
      <w:r>
        <w:rPr>
          <w:spacing w:val="-29"/>
        </w:rPr>
        <w:t xml:space="preserve"> </w:t>
      </w:r>
      <w:r>
        <w:rPr>
          <w:rFonts w:ascii="Times New Roman" w:eastAsia="Times New Roman" w:hAnsi="Times New Roman" w:cs="Times New Roman"/>
        </w:rPr>
        <w:t>Model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spacing w:val="2"/>
        </w:rPr>
        <w:t>销量领先，是第二名的两倍多，</w:t>
      </w:r>
      <w:r>
        <w:rPr>
          <w:rFonts w:ascii="Times New Roman" w:eastAsia="Times New Roman" w:hAnsi="Times New Roman" w:cs="Times New Roman"/>
        </w:rPr>
        <w:t>Model</w:t>
      </w:r>
      <w:r>
        <w:rPr>
          <w:rFonts w:ascii="Times New Roman" w:eastAsia="Times New Roman" w:hAnsi="Times New Roman" w:cs="Times New Roman"/>
          <w:spacing w:val="2"/>
        </w:rPr>
        <w:t xml:space="preserve"> 3</w:t>
      </w:r>
      <w:r>
        <w:rPr>
          <w:rFonts w:ascii="Times New Roman" w:eastAsia="Times New Roman" w:hAnsi="Times New Roman" w:cs="Times New Roman"/>
          <w:spacing w:val="23"/>
          <w:w w:val="101"/>
        </w:rPr>
        <w:t xml:space="preserve"> </w:t>
      </w:r>
      <w:r>
        <w:rPr>
          <w:spacing w:val="2"/>
        </w:rPr>
        <w:t>受换代影响，在</w:t>
      </w:r>
      <w:r>
        <w:rPr>
          <w:spacing w:val="-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9</w:t>
      </w:r>
      <w:r>
        <w:rPr>
          <w:rFonts w:ascii="Times New Roman" w:eastAsia="Times New Roman" w:hAnsi="Times New Roman" w:cs="Times New Roman"/>
          <w:spacing w:val="21"/>
          <w:w w:val="101"/>
        </w:rPr>
        <w:t xml:space="preserve"> </w:t>
      </w:r>
      <w:r>
        <w:rPr>
          <w:spacing w:val="1"/>
        </w:rPr>
        <w:t>月销量环比出现下滑，但在十月重回增长。</w:t>
      </w:r>
      <w:r>
        <w:t xml:space="preserve"> </w:t>
      </w:r>
      <w:r>
        <w:rPr>
          <w:spacing w:val="8"/>
        </w:rPr>
        <w:t>第三至第十名销量接近，竞争较为激烈。其中</w:t>
      </w:r>
      <w:r>
        <w:rPr>
          <w:spacing w:val="-35"/>
        </w:rPr>
        <w:t xml:space="preserve"> </w:t>
      </w:r>
      <w:r>
        <w:rPr>
          <w:rFonts w:ascii="Times New Roman" w:eastAsia="Times New Roman" w:hAnsi="Times New Roman" w:cs="Times New Roman"/>
        </w:rPr>
        <w:t>Aion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spacing w:val="8"/>
        </w:rPr>
        <w:t>和</w:t>
      </w:r>
      <w:r>
        <w:rPr>
          <w:spacing w:val="-41"/>
        </w:rPr>
        <w:t xml:space="preserve"> </w:t>
      </w:r>
      <w:r>
        <w:rPr>
          <w:rFonts w:ascii="Times New Roman" w:eastAsia="Times New Roman" w:hAnsi="Times New Roman" w:cs="Times New Roman"/>
        </w:rPr>
        <w:t>Aion</w:t>
      </w:r>
      <w:r>
        <w:rPr>
          <w:rFonts w:ascii="Times New Roman" w:eastAsia="Times New Roman" w:hAnsi="Times New Roman" w:cs="Times New Roman"/>
          <w:spacing w:val="8"/>
        </w:rPr>
        <w:t xml:space="preserve"> 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spacing w:val="8"/>
        </w:rPr>
        <w:t>凭借较强的产品力，</w:t>
      </w:r>
      <w:r>
        <w:rPr>
          <w:rFonts w:ascii="Times New Roman" w:eastAsia="Times New Roman" w:hAnsi="Times New Roman" w:cs="Times New Roman"/>
          <w:spacing w:val="8"/>
        </w:rPr>
        <w:t>1-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rFonts w:ascii="Times New Roman" w:eastAsia="Times New Roman" w:hAnsi="Times New Roman" w:cs="Times New Roman"/>
          <w:spacing w:val="8"/>
        </w:rPr>
        <w:t>10</w:t>
      </w:r>
      <w:r>
        <w:rPr>
          <w:rFonts w:ascii="Times New Roman" w:eastAsia="Times New Roman" w:hAnsi="Times New Roman" w:cs="Times New Roman"/>
          <w:spacing w:val="21"/>
          <w:w w:val="101"/>
        </w:rPr>
        <w:t xml:space="preserve"> </w:t>
      </w:r>
      <w:r>
        <w:rPr>
          <w:spacing w:val="8"/>
        </w:rPr>
        <w:t>月销量同</w:t>
      </w:r>
      <w:r>
        <w:t xml:space="preserve"> </w:t>
      </w:r>
      <w:r>
        <w:rPr>
          <w:spacing w:val="4"/>
        </w:rPr>
        <w:t>比分别增长</w:t>
      </w:r>
      <w:r>
        <w:rPr>
          <w:spacing w:val="-3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93.88%</w:t>
      </w:r>
      <w:r>
        <w:rPr>
          <w:spacing w:val="4"/>
        </w:rPr>
        <w:t>和</w:t>
      </w:r>
      <w:r>
        <w:rPr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123.33%</w:t>
      </w:r>
      <w:r>
        <w:rPr>
          <w:spacing w:val="4"/>
        </w:rPr>
        <w:t>。从品牌榜看，根据</w:t>
      </w:r>
      <w:r>
        <w:rPr>
          <w:spacing w:val="-38"/>
        </w:rPr>
        <w:t xml:space="preserve"> </w:t>
      </w:r>
      <w:r>
        <w:rPr>
          <w:rFonts w:ascii="Times New Roman" w:eastAsia="Times New Roman" w:hAnsi="Times New Roman" w:cs="Times New Roman"/>
        </w:rPr>
        <w:t>Marklines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spacing w:val="4"/>
        </w:rPr>
        <w:t>数据，</w:t>
      </w:r>
      <w:r>
        <w:rPr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 xml:space="preserve">2023 </w:t>
      </w:r>
      <w:r>
        <w:rPr>
          <w:spacing w:val="3"/>
        </w:rPr>
        <w:t>年</w:t>
      </w:r>
      <w:r>
        <w:rPr>
          <w:spacing w:val="-18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1-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10</w:t>
      </w:r>
      <w:r>
        <w:rPr>
          <w:rFonts w:ascii="Times New Roman" w:eastAsia="Times New Roman" w:hAnsi="Times New Roman" w:cs="Times New Roman"/>
          <w:spacing w:val="21"/>
          <w:w w:val="101"/>
        </w:rPr>
        <w:t xml:space="preserve"> </w:t>
      </w:r>
      <w:r>
        <w:rPr>
          <w:spacing w:val="3"/>
        </w:rPr>
        <w:t>月比亚迪全球销量</w:t>
      </w:r>
      <w:r>
        <w:t xml:space="preserve"> </w:t>
      </w:r>
      <w:r>
        <w:rPr>
          <w:rFonts w:ascii="Times New Roman" w:eastAsia="Times New Roman" w:hAnsi="Times New Roman" w:cs="Times New Roman"/>
          <w:spacing w:val="4"/>
        </w:rPr>
        <w:t>244.0</w:t>
      </w:r>
      <w:r>
        <w:rPr>
          <w:rFonts w:ascii="Times New Roman" w:eastAsia="Times New Roman" w:hAnsi="Times New Roman" w:cs="Times New Roman"/>
          <w:spacing w:val="19"/>
          <w:w w:val="101"/>
        </w:rPr>
        <w:t xml:space="preserve"> </w:t>
      </w:r>
      <w:r>
        <w:rPr>
          <w:spacing w:val="4"/>
        </w:rPr>
        <w:t>万辆，</w:t>
      </w:r>
      <w:r>
        <w:rPr>
          <w:spacing w:val="32"/>
        </w:rPr>
        <w:t xml:space="preserve"> </w:t>
      </w:r>
      <w:r>
        <w:rPr>
          <w:spacing w:val="4"/>
        </w:rPr>
        <w:t>同比增长</w:t>
      </w:r>
      <w:r>
        <w:rPr>
          <w:spacing w:val="-3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74.99%</w:t>
      </w:r>
      <w:r>
        <w:rPr>
          <w:spacing w:val="4"/>
        </w:rPr>
        <w:t>，全球市占率同比提升</w:t>
      </w:r>
      <w:r>
        <w:rPr>
          <w:spacing w:val="-3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4.73 </w:t>
      </w:r>
      <w:r>
        <w:rPr>
          <w:spacing w:val="4"/>
        </w:rPr>
        <w:t>个百分</w:t>
      </w:r>
      <w:r>
        <w:rPr>
          <w:spacing w:val="3"/>
        </w:rPr>
        <w:t>点至</w:t>
      </w:r>
      <w:r>
        <w:rPr>
          <w:spacing w:val="-4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22.14%</w:t>
      </w:r>
      <w:r>
        <w:rPr>
          <w:spacing w:val="3"/>
        </w:rPr>
        <w:t>保持第一。</w:t>
      </w:r>
      <w:r>
        <w:rPr>
          <w:rFonts w:ascii="Times New Roman" w:eastAsia="Times New Roman" w:hAnsi="Times New Roman" w:cs="Times New Roman"/>
          <w:spacing w:val="3"/>
        </w:rPr>
        <w:t xml:space="preserve">2023 </w:t>
      </w:r>
      <w:r>
        <w:rPr>
          <w:spacing w:val="3"/>
        </w:rPr>
        <w:t>年</w:t>
      </w:r>
      <w:r>
        <w:rPr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1-7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7"/>
        </w:rPr>
        <w:t>月，比亚迪已推出海鸥、宋</w:t>
      </w:r>
      <w:r>
        <w:rPr>
          <w:spacing w:val="-32"/>
        </w:rPr>
        <w:t xml:space="preserve"> </w:t>
      </w:r>
      <w:r>
        <w:rPr>
          <w:rFonts w:ascii="Times New Roman" w:eastAsia="Times New Roman" w:hAnsi="Times New Roman" w:cs="Times New Roman"/>
        </w:rPr>
        <w:t>Pro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DM</w:t>
      </w:r>
      <w:r>
        <w:rPr>
          <w:rFonts w:ascii="Times New Roman" w:eastAsia="Times New Roman" w:hAnsi="Times New Roman" w:cs="Times New Roman"/>
          <w:spacing w:val="7"/>
        </w:rPr>
        <w:t>-i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spacing w:val="7"/>
        </w:rPr>
        <w:t>冠军版、腾势</w:t>
      </w:r>
      <w:r>
        <w:rPr>
          <w:spacing w:val="-44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 xml:space="preserve">N7 </w:t>
      </w:r>
      <w:r>
        <w:rPr>
          <w:spacing w:val="7"/>
        </w:rPr>
        <w:t>等十余款新车，</w:t>
      </w:r>
      <w:r>
        <w:rPr>
          <w:spacing w:val="6"/>
        </w:rPr>
        <w:t xml:space="preserve"> </w:t>
      </w:r>
      <w:r>
        <w:rPr>
          <w:spacing w:val="6"/>
        </w:rPr>
        <w:t>并受到了市场高度关注和用</w:t>
      </w:r>
      <w:r>
        <w:t xml:space="preserve"> </w:t>
      </w:r>
      <w:r>
        <w:rPr>
          <w:spacing w:val="7"/>
        </w:rPr>
        <w:t>户认同。</w:t>
      </w:r>
      <w:r>
        <w:rPr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 xml:space="preserve">2023 </w:t>
      </w:r>
      <w:r>
        <w:rPr>
          <w:spacing w:val="7"/>
        </w:rPr>
        <w:t>年四季度比亚迪推出比亚迪宋</w:t>
      </w:r>
      <w:r>
        <w:rPr>
          <w:spacing w:val="-34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L</w:t>
      </w:r>
      <w:r>
        <w:rPr>
          <w:spacing w:val="6"/>
        </w:rPr>
        <w:t>、方程豹豹</w:t>
      </w:r>
      <w:r>
        <w:rPr>
          <w:spacing w:val="-30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 xml:space="preserve">5 </w:t>
      </w:r>
      <w:r>
        <w:rPr>
          <w:spacing w:val="6"/>
        </w:rPr>
        <w:t>等新车，新车型有望为比亚迪销量增长</w:t>
      </w:r>
      <w:r>
        <w:t xml:space="preserve"> </w:t>
      </w:r>
      <w:r>
        <w:rPr>
          <w:spacing w:val="6"/>
        </w:rPr>
        <w:t>注入动力。</w:t>
      </w:r>
    </w:p>
    <w:p>
      <w:pPr>
        <w:spacing w:before="14"/>
      </w:pPr>
    </w:p>
    <w:p>
      <w:pPr>
        <w:spacing w:before="13"/>
      </w:pPr>
    </w:p>
    <w:p>
      <w:pPr>
        <w:sectPr>
          <w:headerReference w:type="default" r:id="rId27"/>
          <w:footerReference w:type="default" r:id="rId28"/>
          <w:type w:val="continuous"/>
          <w:pgSz w:w="11907" w:h="16839"/>
          <w:pgMar w:top="400" w:right="708" w:bottom="703" w:left="906" w:header="0" w:footer="422" w:gutter="0"/>
          <w:pgNumType w:start="10"/>
          <w:cols w:num="1" w:space="708" w:equalWidth="0">
            <w:col w:w="10292" w:space="0"/>
          </w:cols>
        </w:sectPr>
      </w:pPr>
    </w:p>
    <w:tbl>
      <w:tblPr>
        <w:tblStyle w:val="TableNormal0"/>
        <w:tblW w:w="4942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55"/>
        <w:gridCol w:w="4130"/>
        <w:gridCol w:w="457"/>
      </w:tblGrid>
      <w:tr>
        <w:tblPrEx>
          <w:tblW w:w="4942" w:type="dxa"/>
          <w:tblInd w:w="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55"/>
        </w:trPr>
        <w:tc>
          <w:tcPr>
            <w:tcW w:w="4942" w:type="dxa"/>
            <w:gridSpan w:val="3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line="226" w:lineRule="auto"/>
              <w:ind w:left="31"/>
              <w:rPr>
                <w:rFonts w:ascii="KaiTi" w:eastAsia="KaiTi" w:hAnsi="KaiTi" w:cs="KaiTi"/>
                <w:sz w:val="19"/>
                <w:szCs w:val="19"/>
              </w:rPr>
            </w:pP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图表</w:t>
            </w:r>
            <w:r>
              <w:rPr>
                <w:rFonts w:ascii="KaiTi" w:eastAsia="KaiTi" w:hAnsi="KaiTi" w:cs="KaiTi"/>
                <w:spacing w:val="-22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 xml:space="preserve">3.2023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</w:t>
            </w:r>
            <w:r>
              <w:rPr>
                <w:rFonts w:ascii="KaiTi" w:eastAsia="KaiTi" w:hAnsi="KaiTi" w:cs="KaiTi"/>
                <w:spacing w:val="-26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>1-10</w:t>
            </w:r>
            <w:r>
              <w:rPr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月全球新能源汽车车型销量前十</w:t>
            </w:r>
          </w:p>
        </w:tc>
      </w:tr>
      <w:tr>
        <w:tblPrEx>
          <w:tblW w:w="4942" w:type="dxa"/>
          <w:tblInd w:w="5" w:type="dxa"/>
          <w:tblLayout w:type="fixed"/>
        </w:tblPrEx>
        <w:trPr>
          <w:trHeight w:val="297"/>
        </w:trPr>
        <w:tc>
          <w:tcPr>
            <w:tcW w:w="355" w:type="dxa"/>
            <w:vMerge w:val="restart"/>
            <w:tcBorders>
              <w:top w:val="single" w:sz="2" w:space="0" w:color="000000"/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4" w:line="192" w:lineRule="auto"/>
              <w:ind w:left="145"/>
              <w:rPr>
                <w:sz w:val="12"/>
                <w:szCs w:val="12"/>
              </w:rPr>
            </w:pPr>
            <w:r>
              <w:rPr>
                <w:spacing w:val="-3"/>
                <w:sz w:val="12"/>
                <w:szCs w:val="12"/>
              </w:rPr>
              <w:t>120</w:t>
            </w:r>
          </w:p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5" w:line="192" w:lineRule="auto"/>
              <w:ind w:left="19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</w:t>
            </w:r>
          </w:p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4" w:line="192" w:lineRule="auto"/>
              <w:ind w:left="19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</w:t>
            </w:r>
          </w:p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5" w:line="192" w:lineRule="auto"/>
              <w:ind w:left="19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5" w:line="87" w:lineRule="exact"/>
              <w:ind w:left="261"/>
              <w:rPr>
                <w:sz w:val="12"/>
                <w:szCs w:val="12"/>
              </w:rPr>
            </w:pPr>
            <w:r>
              <w:rPr>
                <w:position w:val="-1"/>
                <w:sz w:val="12"/>
                <w:szCs w:val="12"/>
              </w:rPr>
              <w:t>0</w:t>
            </w:r>
          </w:p>
        </w:tc>
        <w:tc>
          <w:tcPr>
            <w:tcW w:w="4130" w:type="dxa"/>
            <w:tcBorders>
              <w:top w:val="single" w:sz="2" w:space="0" w:color="000000"/>
            </w:tcBorders>
            <w:vAlign w:val="top"/>
          </w:tcPr>
          <w:p>
            <w:pPr>
              <w:spacing w:before="150" w:line="188" w:lineRule="auto"/>
              <w:rPr>
                <w:rFonts w:ascii="STKaiti" w:eastAsia="STKaiti" w:hAnsi="STKaiti" w:cs="STKaiti"/>
                <w:sz w:val="12"/>
                <w:szCs w:val="12"/>
              </w:rPr>
            </w:pPr>
            <w:r>
              <w:rPr>
                <w:rFonts w:ascii="STKaiti" w:eastAsia="STKaiti" w:hAnsi="STKaiti" w:cs="STKaiti"/>
                <w:spacing w:val="-4"/>
                <w:sz w:val="12"/>
                <w:szCs w:val="12"/>
              </w:rPr>
              <w:t>（万辆）</w:t>
            </w:r>
          </w:p>
        </w:tc>
        <w:tc>
          <w:tcPr>
            <w:tcW w:w="457" w:type="dxa"/>
            <w:vMerge w:val="restart"/>
            <w:tcBorders>
              <w:top w:val="single" w:sz="2" w:space="0" w:color="000000"/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5" w:line="193" w:lineRule="auto"/>
              <w:ind w:left="40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</w:rPr>
              <w:t>600%</w:t>
            </w:r>
          </w:p>
          <w:p>
            <w:pPr>
              <w:pStyle w:val="TableText"/>
              <w:spacing w:before="215" w:line="193" w:lineRule="auto"/>
              <w:ind w:left="41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500%</w:t>
            </w:r>
          </w:p>
          <w:p>
            <w:pPr>
              <w:pStyle w:val="TableText"/>
              <w:spacing w:before="215" w:line="193" w:lineRule="auto"/>
              <w:ind w:left="37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</w:rPr>
              <w:t>400%</w:t>
            </w:r>
          </w:p>
          <w:p>
            <w:pPr>
              <w:pStyle w:val="TableText"/>
              <w:spacing w:before="215" w:line="193" w:lineRule="auto"/>
              <w:ind w:left="40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</w:rPr>
              <w:t>300%</w:t>
            </w:r>
          </w:p>
          <w:p>
            <w:pPr>
              <w:pStyle w:val="TableText"/>
              <w:spacing w:before="215" w:line="193" w:lineRule="auto"/>
              <w:ind w:left="37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</w:rPr>
              <w:t>200%</w:t>
            </w:r>
          </w:p>
          <w:p>
            <w:pPr>
              <w:pStyle w:val="TableText"/>
              <w:spacing w:before="215" w:line="193" w:lineRule="auto"/>
              <w:ind w:left="49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100%</w:t>
            </w:r>
          </w:p>
          <w:p>
            <w:pPr>
              <w:pStyle w:val="TableText"/>
              <w:spacing w:before="215" w:line="87" w:lineRule="exact"/>
              <w:ind w:left="39"/>
              <w:rPr>
                <w:sz w:val="12"/>
                <w:szCs w:val="12"/>
              </w:rPr>
            </w:pPr>
            <w:r>
              <w:rPr>
                <w:spacing w:val="1"/>
                <w:position w:val="-1"/>
                <w:sz w:val="12"/>
                <w:szCs w:val="12"/>
              </w:rPr>
              <w:t>0%</w:t>
            </w:r>
          </w:p>
        </w:tc>
      </w:tr>
      <w:tr>
        <w:tblPrEx>
          <w:tblW w:w="4942" w:type="dxa"/>
          <w:tblInd w:w="5" w:type="dxa"/>
          <w:tblLayout w:type="fixed"/>
        </w:tblPrEx>
        <w:trPr>
          <w:trHeight w:val="2035"/>
        </w:trPr>
        <w:tc>
          <w:tcPr>
            <w:tcW w:w="355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30" w:type="dxa"/>
            <w:vAlign w:val="top"/>
          </w:tcPr>
          <w:p>
            <w:pPr>
              <w:spacing w:line="24" w:lineRule="exact"/>
            </w:pPr>
            <w: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rightMargin">
                    <wp:posOffset>-2534648</wp:posOffset>
                  </wp:positionH>
                  <wp:positionV relativeFrom="topMargin">
                    <wp:posOffset>87554</wp:posOffset>
                  </wp:positionV>
                  <wp:extent cx="2445640" cy="1171759"/>
                  <wp:effectExtent l="0" t="0" r="0" b="0"/>
                  <wp:wrapNone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640" cy="1171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rightMargin">
                    <wp:posOffset>-2599994</wp:posOffset>
                  </wp:positionH>
                  <wp:positionV relativeFrom="topMargin">
                    <wp:posOffset>14619</wp:posOffset>
                  </wp:positionV>
                  <wp:extent cx="2577293" cy="1268646"/>
                  <wp:effectExtent l="0" t="0" r="0" b="0"/>
                  <wp:wrapNone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293" cy="1268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Normal0"/>
              <w:tblW w:w="3984" w:type="dxa"/>
              <w:tblInd w:w="71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</w:tblPr>
            <w:tblGrid>
              <w:gridCol w:w="3984"/>
            </w:tblGrid>
            <w:tr>
              <w:tblPrEx>
                <w:tblW w:w="3984" w:type="dxa"/>
                <w:tblInd w:w="71" w:type="dxa"/>
                <w:tblBorders>
                  <w:top w:val="nil"/>
                  <w:left w:val="nil"/>
                  <w:bottom w:val="nil"/>
                  <w:right w:val="nil"/>
                  <w:insideH w:val="nil"/>
                  <w:insideV w:val="nil"/>
                </w:tblBorders>
                <w:tblLayout w:type="fixed"/>
              </w:tblPrEx>
              <w:trPr>
                <w:trHeight w:val="485"/>
              </w:trPr>
              <w:tc>
                <w:tcPr>
                  <w:tcW w:w="3984" w:type="dxa"/>
                  <w:tcBorders>
                    <w:top w:val="dashed" w:sz="2" w:space="0" w:color="000000"/>
                    <w:bottom w:val="dashed" w:sz="2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3984" w:type="dxa"/>
                <w:tblInd w:w="71" w:type="dxa"/>
                <w:tblLayout w:type="fixed"/>
              </w:tblPrEx>
              <w:trPr>
                <w:trHeight w:val="482"/>
              </w:trPr>
              <w:tc>
                <w:tcPr>
                  <w:tcW w:w="3984" w:type="dxa"/>
                  <w:tcBorders>
                    <w:top w:val="dashed" w:sz="2" w:space="0" w:color="000000"/>
                    <w:bottom w:val="dashed" w:sz="2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>
              <w:tblPrEx>
                <w:tblW w:w="3984" w:type="dxa"/>
                <w:tblInd w:w="71" w:type="dxa"/>
                <w:tblLayout w:type="fixed"/>
              </w:tblPrEx>
              <w:trPr>
                <w:trHeight w:val="485"/>
              </w:trPr>
              <w:tc>
                <w:tcPr>
                  <w:tcW w:w="3984" w:type="dxa"/>
                  <w:tcBorders>
                    <w:top w:val="dashed" w:sz="2" w:space="0" w:color="000000"/>
                    <w:bottom w:val="dashed" w:sz="2" w:space="0" w:color="000000"/>
                  </w:tcBorders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headerReference w:type="default" r:id="rId31"/>
          <w:footerReference w:type="default" r:id="rId32"/>
          <w:type w:val="continuous"/>
          <w:pgSz w:w="11907" w:h="16839"/>
          <w:pgMar w:top="400" w:right="708" w:bottom="703" w:left="906" w:header="0" w:footer="422" w:gutter="0"/>
          <w:pgNumType w:start="11"/>
          <w:cols w:num="2" w:space="708" w:equalWidth="0">
            <w:col w:w="5083" w:space="100"/>
            <w:col w:w="5109" w:space="0"/>
          </w:cols>
        </w:sectPr>
      </w:pPr>
    </w:p>
    <w:tbl>
      <w:tblPr>
        <w:tblStyle w:val="TableNormal1"/>
        <w:tblW w:w="4942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4942"/>
      </w:tblGrid>
      <w:tr>
        <w:tblPrEx>
          <w:tblW w:w="4942" w:type="dxa"/>
          <w:tblInd w:w="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79"/>
        </w:trPr>
        <w:tc>
          <w:tcPr>
            <w:tcW w:w="4942" w:type="dxa"/>
            <w:vAlign w:val="top"/>
          </w:tcPr>
          <w:p>
            <w:pPr>
              <w:spacing w:before="12" w:line="350" w:lineRule="exact"/>
              <w:ind w:firstLine="201"/>
            </w:pPr>
            <w:r>
              <w:rPr>
                <w:position w:val="-7"/>
              </w:rPr>
              <w:drawing>
                <wp:inline distT="0" distB="0" distL="0" distR="0">
                  <wp:extent cx="2542016" cy="222709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16" cy="222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4942" w:type="dxa"/>
          <w:tblInd w:w="5" w:type="dxa"/>
          <w:tblLayout w:type="fixed"/>
        </w:tblPrEx>
        <w:trPr>
          <w:trHeight w:val="403"/>
        </w:trPr>
        <w:tc>
          <w:tcPr>
            <w:tcW w:w="4942" w:type="dxa"/>
            <w:tcBorders>
              <w:bottom w:val="single" w:sz="2" w:space="0" w:color="000000"/>
            </w:tcBorders>
            <w:vAlign w:val="top"/>
          </w:tcPr>
          <w:p>
            <w:pPr>
              <w:spacing w:line="20" w:lineRule="exact"/>
            </w:pPr>
          </w:p>
          <w:tbl>
            <w:tblPr>
              <w:tblStyle w:val="TableNormal1"/>
              <w:tblW w:w="4551" w:type="dxa"/>
              <w:tblInd w:w="2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Layout w:type="fixed"/>
            </w:tblPr>
            <w:tblGrid>
              <w:gridCol w:w="4551"/>
            </w:tblGrid>
            <w:tr>
              <w:tblPrEx>
                <w:tblW w:w="4551" w:type="dxa"/>
                <w:tblInd w:w="225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blBorders>
                <w:tblLayout w:type="fixed"/>
              </w:tblPrEx>
              <w:trPr>
                <w:trHeight w:val="283"/>
              </w:trPr>
              <w:tc>
                <w:tcPr>
                  <w:tcW w:w="4551" w:type="dxa"/>
                  <w:vAlign w:val="top"/>
                </w:tcPr>
                <w:p>
                  <w:pPr>
                    <w:spacing w:before="76" w:line="217" w:lineRule="auto"/>
                    <w:ind w:left="762"/>
                    <w:rPr>
                      <w:rFonts w:ascii="STKaiti" w:eastAsia="STKaiti" w:hAnsi="STKaiti" w:cs="STKaiti"/>
                      <w:sz w:val="12"/>
                      <w:szCs w:val="12"/>
                    </w:rPr>
                  </w:pPr>
                  <w:r>
                    <w:rPr>
                      <w:rFonts w:ascii="STKaiti" w:eastAsia="STKaiti" w:hAnsi="STKaiti" w:cs="STKaiti"/>
                      <w:sz w:val="12"/>
                      <w:szCs w:val="12"/>
                    </w:rPr>
                    <w:drawing>
                      <wp:inline distT="0" distB="0" distL="0" distR="0">
                        <wp:extent cx="153755" cy="40239"/>
                        <wp:effectExtent l="0" t="0" r="0" b="0"/>
                        <wp:docPr id="28" name="IM 2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IM 28"/>
                                <pic:cNvPicPr/>
                              </pic:nvPicPr>
                              <pic:blipFill>
                                <a:blip xmlns:r="http://schemas.openxmlformats.org/officeDocument/2006/relationships"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755" cy="402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-1"/>
                      <w:sz w:val="12"/>
                      <w:szCs w:val="12"/>
                    </w:rPr>
                    <w:t xml:space="preserve">销量（左轴）               </w:t>
                  </w:r>
                  <w:r>
                    <w:rPr>
                      <w:rFonts w:ascii="STKaiti" w:eastAsia="STKaiti" w:hAnsi="STKaiti" w:cs="STKaiti"/>
                      <w:spacing w:val="-2"/>
                      <w:sz w:val="12"/>
                      <w:szCs w:val="12"/>
                    </w:rPr>
                    <w:t xml:space="preserve">             </w:t>
                  </w:r>
                  <w:r>
                    <w:rPr>
                      <w:position w:val="2"/>
                      <w:sz w:val="12"/>
                      <w:szCs w:val="12"/>
                    </w:rPr>
                    <w:drawing>
                      <wp:inline distT="0" distB="0" distL="0" distR="0">
                        <wp:extent cx="171774" cy="17964"/>
                        <wp:effectExtent l="0" t="0" r="0" b="0"/>
                        <wp:docPr id="30" name="IM 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IM 30"/>
                                <pic:cNvPicPr/>
                              </pic:nvPicPr>
                              <pic:blipFill>
                                <a:blip xmlns:r="http://schemas.openxmlformats.org/officeDocument/2006/relationships"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774" cy="179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pacing w:val="7"/>
                      <w:w w:val="103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-2"/>
                      <w:sz w:val="12"/>
                      <w:szCs w:val="12"/>
                    </w:rPr>
                    <w:t>同比增长（右轴）</w:t>
                  </w:r>
                </w:p>
              </w:tc>
            </w:tr>
          </w:tbl>
          <w:p>
            <w:pPr>
              <w:spacing w:line="69" w:lineRule="exact"/>
              <w:rPr>
                <w:rFonts w:ascii="Arial"/>
                <w:sz w:val="6"/>
              </w:rPr>
            </w:pPr>
          </w:p>
        </w:tc>
      </w:tr>
      <w:tr>
        <w:tblPrEx>
          <w:tblW w:w="4942" w:type="dxa"/>
          <w:tblInd w:w="5" w:type="dxa"/>
          <w:tblLayout w:type="fixed"/>
        </w:tblPrEx>
        <w:trPr>
          <w:trHeight w:val="202"/>
        </w:trPr>
        <w:tc>
          <w:tcPr>
            <w:tcW w:w="4942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43" w:line="171" w:lineRule="auto"/>
              <w:ind w:left="5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i/>
                <w:iCs/>
                <w:spacing w:val="4"/>
                <w:sz w:val="16"/>
                <w:szCs w:val="16"/>
              </w:rPr>
              <w:t>资料来源：</w:t>
            </w:r>
            <w:r>
              <w:rPr>
                <w:i/>
                <w:iCs/>
                <w:sz w:val="16"/>
                <w:szCs w:val="16"/>
              </w:rPr>
              <w:t>Marklines</w:t>
            </w:r>
            <w:r>
              <w:rPr>
                <w:rFonts w:ascii="KaiTi" w:eastAsia="KaiTi" w:hAnsi="KaiTi" w:cs="KaiTi"/>
                <w:i/>
                <w:iCs/>
                <w:spacing w:val="4"/>
                <w:sz w:val="16"/>
                <w:szCs w:val="16"/>
              </w:rPr>
              <w:t>，中银证券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tbl>
      <w:tblPr>
        <w:tblStyle w:val="TableNormal1"/>
        <w:tblW w:w="50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36"/>
        <w:gridCol w:w="4138"/>
        <w:gridCol w:w="566"/>
      </w:tblGrid>
      <w:tr>
        <w:tblPrEx>
          <w:tblW w:w="504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55"/>
        </w:trPr>
        <w:tc>
          <w:tcPr>
            <w:tcW w:w="5040" w:type="dxa"/>
            <w:gridSpan w:val="3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line="222" w:lineRule="auto"/>
              <w:ind w:left="31"/>
              <w:rPr>
                <w:rFonts w:ascii="KaiTi" w:eastAsia="KaiTi" w:hAnsi="KaiTi" w:cs="KaiTi"/>
                <w:sz w:val="19"/>
                <w:szCs w:val="19"/>
              </w:rPr>
            </w:pP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图表</w:t>
            </w:r>
            <w:r>
              <w:rPr>
                <w:rFonts w:ascii="KaiTi" w:eastAsia="KaiTi" w:hAnsi="KaiTi" w:cs="KaiTi"/>
                <w:spacing w:val="-22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 xml:space="preserve">4.2023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</w:t>
            </w:r>
            <w:r>
              <w:rPr>
                <w:rFonts w:ascii="KaiTi" w:eastAsia="KaiTi" w:hAnsi="KaiTi" w:cs="KaiTi"/>
                <w:spacing w:val="-26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>1-10</w:t>
            </w:r>
            <w:r>
              <w:rPr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月全球新能源汽车品牌销量前十</w:t>
            </w:r>
          </w:p>
        </w:tc>
      </w:tr>
      <w:tr>
        <w:tblPrEx>
          <w:tblW w:w="5040" w:type="dxa"/>
          <w:tblInd w:w="0" w:type="dxa"/>
          <w:tblLayout w:type="fixed"/>
        </w:tblPrEx>
        <w:trPr>
          <w:trHeight w:val="334"/>
        </w:trPr>
        <w:tc>
          <w:tcPr>
            <w:tcW w:w="336" w:type="dxa"/>
            <w:vMerge w:val="restart"/>
            <w:tcBorders>
              <w:top w:val="single" w:sz="2" w:space="0" w:color="000000"/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4" w:line="193" w:lineRule="auto"/>
              <w:ind w:left="134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300</w:t>
            </w:r>
          </w:p>
          <w:p>
            <w:pPr>
              <w:pStyle w:val="TableText"/>
              <w:spacing w:before="220" w:line="192" w:lineRule="auto"/>
              <w:ind w:left="132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250</w:t>
            </w:r>
          </w:p>
          <w:p>
            <w:pPr>
              <w:pStyle w:val="TableText"/>
              <w:spacing w:before="219" w:line="192" w:lineRule="auto"/>
              <w:ind w:left="132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200</w:t>
            </w:r>
          </w:p>
          <w:p>
            <w:pPr>
              <w:pStyle w:val="TableText"/>
              <w:spacing w:before="219" w:line="192" w:lineRule="auto"/>
              <w:ind w:left="144"/>
              <w:rPr>
                <w:sz w:val="12"/>
                <w:szCs w:val="12"/>
              </w:rPr>
            </w:pPr>
            <w:r>
              <w:rPr>
                <w:spacing w:val="-3"/>
                <w:sz w:val="12"/>
                <w:szCs w:val="12"/>
              </w:rPr>
              <w:t>150</w:t>
            </w:r>
          </w:p>
          <w:p>
            <w:pPr>
              <w:pStyle w:val="TableText"/>
              <w:spacing w:before="220" w:line="192" w:lineRule="auto"/>
              <w:ind w:left="144"/>
              <w:rPr>
                <w:sz w:val="12"/>
                <w:szCs w:val="12"/>
              </w:rPr>
            </w:pPr>
            <w:r>
              <w:rPr>
                <w:spacing w:val="-3"/>
                <w:sz w:val="12"/>
                <w:szCs w:val="12"/>
              </w:rPr>
              <w:t>100</w:t>
            </w:r>
          </w:p>
          <w:p>
            <w:pPr>
              <w:pStyle w:val="TableText"/>
              <w:spacing w:before="220" w:line="192" w:lineRule="auto"/>
              <w:ind w:left="19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</w:t>
            </w:r>
          </w:p>
          <w:p>
            <w:pPr>
              <w:pStyle w:val="TableText"/>
              <w:spacing w:before="220" w:line="192" w:lineRule="auto"/>
              <w:ind w:right="16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4138" w:type="dxa"/>
            <w:tcBorders>
              <w:top w:val="single" w:sz="2" w:space="0" w:color="000000"/>
            </w:tcBorders>
            <w:vAlign w:val="top"/>
          </w:tcPr>
          <w:p>
            <w:pPr>
              <w:spacing w:before="180" w:line="197" w:lineRule="auto"/>
              <w:rPr>
                <w:rFonts w:ascii="STKaiti" w:eastAsia="STKaiti" w:hAnsi="STKaiti" w:cs="STKaiti"/>
                <w:sz w:val="12"/>
                <w:szCs w:val="12"/>
              </w:rPr>
            </w:pPr>
            <w:r>
              <w:rPr>
                <w:rFonts w:ascii="STKaiti" w:eastAsia="STKaiti" w:hAnsi="STKaiti" w:cs="STKaiti"/>
                <w:spacing w:val="-4"/>
                <w:sz w:val="12"/>
                <w:szCs w:val="12"/>
              </w:rPr>
              <w:t>（万辆）</w:t>
            </w:r>
          </w:p>
        </w:tc>
        <w:tc>
          <w:tcPr>
            <w:tcW w:w="566" w:type="dxa"/>
            <w:vMerge w:val="restart"/>
            <w:tcBorders>
              <w:top w:val="single" w:sz="2" w:space="0" w:color="000000"/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4" w:line="193" w:lineRule="auto"/>
              <w:ind w:left="49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100%</w:t>
            </w:r>
          </w:p>
          <w:p>
            <w:pPr>
              <w:pStyle w:val="TableText"/>
              <w:spacing w:before="172" w:line="193" w:lineRule="auto"/>
              <w:ind w:left="4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80%</w:t>
            </w:r>
          </w:p>
          <w:p>
            <w:pPr>
              <w:pStyle w:val="TableText"/>
              <w:spacing w:before="172" w:line="193" w:lineRule="auto"/>
              <w:ind w:left="40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60%</w:t>
            </w:r>
          </w:p>
          <w:p>
            <w:pPr>
              <w:pStyle w:val="TableText"/>
              <w:spacing w:before="172" w:line="193" w:lineRule="auto"/>
              <w:ind w:left="36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</w:rPr>
              <w:t>40%</w:t>
            </w:r>
          </w:p>
          <w:p>
            <w:pPr>
              <w:pStyle w:val="TableText"/>
              <w:spacing w:before="172" w:line="193" w:lineRule="auto"/>
              <w:ind w:left="37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</w:rPr>
              <w:t>20%</w:t>
            </w:r>
          </w:p>
          <w:p>
            <w:pPr>
              <w:pStyle w:val="TableText"/>
              <w:spacing w:before="171" w:line="193" w:lineRule="auto"/>
              <w:ind w:left="39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0%</w:t>
            </w:r>
          </w:p>
          <w:p>
            <w:pPr>
              <w:pStyle w:val="TableText"/>
              <w:spacing w:before="172" w:line="193" w:lineRule="auto"/>
              <w:ind w:left="39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-20%</w:t>
            </w:r>
          </w:p>
          <w:p>
            <w:pPr>
              <w:pStyle w:val="TableText"/>
              <w:spacing w:before="173" w:line="193" w:lineRule="auto"/>
              <w:ind w:left="39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-40%</w:t>
            </w:r>
          </w:p>
        </w:tc>
      </w:tr>
      <w:tr>
        <w:tblPrEx>
          <w:tblW w:w="5040" w:type="dxa"/>
          <w:tblInd w:w="0" w:type="dxa"/>
          <w:tblLayout w:type="fixed"/>
        </w:tblPrEx>
        <w:trPr>
          <w:trHeight w:val="2065"/>
        </w:trPr>
        <w:tc>
          <w:tcPr>
            <w:tcW w:w="33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38" w:type="dxa"/>
            <w:vAlign w:val="top"/>
          </w:tcPr>
          <w:p>
            <w:pPr>
              <w:spacing w:before="25" w:line="2020" w:lineRule="exact"/>
              <w:ind w:firstLine="83"/>
            </w:pPr>
            <w:r>
              <w:rPr>
                <w:position w:val="-40"/>
              </w:rPr>
              <w:drawing>
                <wp:inline distT="0" distB="0" distL="0" distR="0">
                  <wp:extent cx="2551906" cy="1282848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906" cy="1282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040" w:type="dxa"/>
          <w:tblInd w:w="0" w:type="dxa"/>
          <w:tblLayout w:type="fixed"/>
        </w:tblPrEx>
        <w:trPr>
          <w:trHeight w:val="294"/>
        </w:trPr>
        <w:tc>
          <w:tcPr>
            <w:tcW w:w="33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38" w:type="dxa"/>
            <w:vAlign w:val="top"/>
          </w:tcPr>
          <w:p>
            <w:pPr>
              <w:spacing w:before="19" w:line="250" w:lineRule="exact"/>
              <w:ind w:firstLine="18"/>
            </w:pPr>
            <w:r>
              <w:rPr>
                <w:position w:val="-4"/>
              </w:rPr>
              <w:drawing>
                <wp:inline distT="0" distB="0" distL="0" distR="0">
                  <wp:extent cx="2441707" cy="158620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707" cy="15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040" w:type="dxa"/>
          <w:tblInd w:w="0" w:type="dxa"/>
          <w:tblLayout w:type="fixed"/>
        </w:tblPrEx>
        <w:trPr>
          <w:trHeight w:val="420"/>
        </w:trPr>
        <w:tc>
          <w:tcPr>
            <w:tcW w:w="5040" w:type="dxa"/>
            <w:gridSpan w:val="3"/>
            <w:tcBorders>
              <w:bottom w:val="single" w:sz="2" w:space="0" w:color="000000"/>
            </w:tcBorders>
            <w:vAlign w:val="top"/>
          </w:tcPr>
          <w:p>
            <w:pPr>
              <w:spacing w:line="26" w:lineRule="exact"/>
            </w:pPr>
          </w:p>
          <w:tbl>
            <w:tblPr>
              <w:tblStyle w:val="TableNormal1"/>
              <w:tblW w:w="4391" w:type="dxa"/>
              <w:tblInd w:w="29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</w:tblPr>
            <w:tblGrid>
              <w:gridCol w:w="4391"/>
            </w:tblGrid>
            <w:tr>
              <w:tblPrEx>
                <w:tblW w:w="4391" w:type="dxa"/>
                <w:tblInd w:w="292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Layout w:type="fixed"/>
              </w:tblPrEx>
              <w:trPr>
                <w:trHeight w:val="286"/>
              </w:trPr>
              <w:tc>
                <w:tcPr>
                  <w:tcW w:w="4391" w:type="dxa"/>
                  <w:vAlign w:val="top"/>
                </w:tcPr>
                <w:p>
                  <w:pPr>
                    <w:spacing w:before="79" w:line="217" w:lineRule="auto"/>
                    <w:ind w:left="712"/>
                    <w:rPr>
                      <w:rFonts w:ascii="STKaiti" w:eastAsia="STKaiti" w:hAnsi="STKaiti" w:cs="STKaiti"/>
                      <w:sz w:val="12"/>
                      <w:szCs w:val="12"/>
                    </w:rPr>
                  </w:pPr>
                  <w:r>
                    <w:rPr>
                      <w:rFonts w:ascii="STKaiti" w:eastAsia="STKaiti" w:hAnsi="STKaiti" w:cs="STKaiti"/>
                      <w:sz w:val="12"/>
                      <w:szCs w:val="12"/>
                    </w:rPr>
                    <w:drawing>
                      <wp:inline distT="0" distB="0" distL="0" distR="0">
                        <wp:extent cx="153442" cy="40264"/>
                        <wp:effectExtent l="0" t="0" r="0" b="0"/>
                        <wp:docPr id="36" name="IM 3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" name="IM 36"/>
                                <pic:cNvPicPr/>
                              </pic:nvPicPr>
                              <pic:blipFill>
                                <a:blip xmlns:r="http://schemas.openxmlformats.org/officeDocument/2006/relationships"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442" cy="40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pacing w:val="10"/>
                      <w:w w:val="102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-5"/>
                      <w:sz w:val="12"/>
                      <w:szCs w:val="12"/>
                    </w:rPr>
                    <w:t>销量（左轴）</w:t>
                  </w:r>
                  <w:r>
                    <w:rPr>
                      <w:rFonts w:ascii="STKaiti" w:eastAsia="STKaiti" w:hAnsi="STKaiti" w:cs="STKaiti"/>
                      <w:sz w:val="12"/>
                      <w:szCs w:val="12"/>
                    </w:rPr>
                    <w:t xml:space="preserve">                          </w:t>
                  </w:r>
                  <w:r>
                    <w:rPr>
                      <w:position w:val="2"/>
                      <w:sz w:val="12"/>
                      <w:szCs w:val="12"/>
                    </w:rPr>
                    <w:drawing>
                      <wp:inline distT="0" distB="0" distL="0" distR="0">
                        <wp:extent cx="171424" cy="17975"/>
                        <wp:effectExtent l="0" t="0" r="0" b="0"/>
                        <wp:docPr id="38" name="IM 3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IM 38"/>
                                <pic:cNvPicPr/>
                              </pic:nvPicPr>
                              <pic:blipFill>
                                <a:blip xmlns:r="http://schemas.openxmlformats.org/officeDocument/2006/relationships"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24" cy="17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pacing w:val="8"/>
                      <w:w w:val="101"/>
                      <w:sz w:val="12"/>
                      <w:szCs w:val="12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-5"/>
                      <w:sz w:val="12"/>
                      <w:szCs w:val="12"/>
                    </w:rPr>
                    <w:t>同比增长（右轴）</w:t>
                  </w:r>
                </w:p>
              </w:tc>
            </w:tr>
          </w:tbl>
          <w:p>
            <w:pPr>
              <w:spacing w:line="87" w:lineRule="exact"/>
              <w:rPr>
                <w:rFonts w:ascii="Arial"/>
                <w:sz w:val="7"/>
              </w:rPr>
            </w:pPr>
          </w:p>
        </w:tc>
      </w:tr>
      <w:tr>
        <w:tblPrEx>
          <w:tblW w:w="5040" w:type="dxa"/>
          <w:tblInd w:w="0" w:type="dxa"/>
          <w:tblLayout w:type="fixed"/>
        </w:tblPrEx>
        <w:trPr>
          <w:trHeight w:val="202"/>
        </w:trPr>
        <w:tc>
          <w:tcPr>
            <w:tcW w:w="5040" w:type="dxa"/>
            <w:gridSpan w:val="3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42" w:line="172" w:lineRule="auto"/>
              <w:ind w:left="5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i/>
                <w:iCs/>
                <w:spacing w:val="4"/>
                <w:sz w:val="16"/>
                <w:szCs w:val="16"/>
              </w:rPr>
              <w:t>资料来源：</w:t>
            </w:r>
            <w:r>
              <w:rPr>
                <w:i/>
                <w:iCs/>
                <w:sz w:val="16"/>
                <w:szCs w:val="16"/>
              </w:rPr>
              <w:t>Marklines</w:t>
            </w:r>
            <w:r>
              <w:rPr>
                <w:rFonts w:ascii="KaiTi" w:eastAsia="KaiTi" w:hAnsi="KaiTi" w:cs="KaiTi"/>
                <w:i/>
                <w:iCs/>
                <w:spacing w:val="4"/>
                <w:sz w:val="16"/>
                <w:szCs w:val="16"/>
              </w:rPr>
              <w:t>，中银证券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eastAsia="Arial" w:hAnsi="Arial" w:cs="Arial"/>
          <w:sz w:val="2"/>
          <w:szCs w:val="2"/>
        </w:rPr>
        <w:sectPr>
          <w:headerReference w:type="default" r:id="rId40"/>
          <w:footerReference w:type="default" r:id="rId41"/>
          <w:type w:val="nextPage"/>
          <w:pgSz w:w="11907" w:h="16839"/>
          <w:pgMar w:top="400" w:right="708" w:bottom="703" w:left="906" w:header="0" w:footer="422" w:gutter="0"/>
          <w:pgNumType w:start="12"/>
          <w:cols w:num="2" w:space="708" w:equalWidth="0">
            <w:col w:w="5083" w:space="100"/>
            <w:col w:w="5109" w:space="0"/>
          </w:cols>
          <w:titlePg w:val="0"/>
        </w:sectPr>
      </w:pPr>
    </w:p>
    <w:p>
      <w:pPr>
        <w:spacing w:before="110" w:line="861" w:lineRule="exact"/>
      </w:pPr>
      <w:r>
        <w:rPr>
          <w:position w:val="-17"/>
        </w:rPr>
        <w:drawing>
          <wp:inline distT="0" distB="0" distL="0" distR="0">
            <wp:extent cx="6524879" cy="546734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4879" cy="54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05" w:line="212" w:lineRule="auto"/>
        <w:ind w:left="1682"/>
        <w:rPr>
          <w:sz w:val="24"/>
          <w:szCs w:val="24"/>
        </w:rPr>
      </w:pPr>
      <w:bookmarkStart w:id="8" w:name="bookmark90"/>
      <w:bookmarkEnd w:id="8"/>
      <w:bookmarkStart w:id="9" w:name="bookmark4"/>
      <w:bookmarkEnd w:id="9"/>
      <w:bookmarkStart w:id="10" w:name="bookmark22"/>
      <w:bookmarkEnd w:id="10"/>
      <w:bookmarkStart w:id="11" w:name="bookmark23"/>
      <w:bookmarkEnd w:id="11"/>
      <w:bookmarkStart w:id="12" w:name="bookmark24"/>
      <w:bookmarkEnd w:id="12"/>
      <w:bookmarkStart w:id="13" w:name="bookmark25"/>
      <w:bookmarkEnd w:id="13"/>
      <w:r>
        <w:rPr>
          <w:spacing w:val="-1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中国：内生增长彰显需求韧性，平价技术推动渗透率突破</w:t>
      </w:r>
    </w:p>
    <w:p>
      <w:pPr>
        <w:pStyle w:val="BodyText"/>
        <w:spacing w:before="109" w:line="244" w:lineRule="auto"/>
        <w:ind w:left="1651" w:right="8" w:hanging="2"/>
        <w:jc w:val="both"/>
      </w:pPr>
      <w:r>
        <w:rPr>
          <w:rFonts w:ascii="Times New Roman" w:eastAsia="Times New Roman" w:hAnsi="Times New Roman" w:cs="Times New Roman"/>
          <w:b/>
          <w:bCs/>
          <w:spacing w:val="5"/>
        </w:rPr>
        <w:t>2023</w:t>
      </w:r>
      <w:r>
        <w:rPr>
          <w:rFonts w:ascii="Times New Roman" w:eastAsia="Times New Roman" w:hAnsi="Times New Roman" w:cs="Times New Roman"/>
          <w:b/>
          <w:bCs/>
          <w:spacing w:val="15"/>
          <w:w w:val="101"/>
        </w:rPr>
        <w:t xml:space="preserve"> 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年全年销量有望突破</w:t>
      </w:r>
      <w:r>
        <w:rPr>
          <w:spacing w:val="-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900</w:t>
      </w:r>
      <w:r>
        <w:rPr>
          <w:rFonts w:ascii="Times New Roman" w:eastAsia="Times New Roman" w:hAnsi="Times New Roman" w:cs="Times New Roman"/>
          <w:b/>
          <w:bCs/>
          <w:spacing w:val="21"/>
          <w:w w:val="101"/>
        </w:rPr>
        <w:t xml:space="preserve"> </w:t>
      </w:r>
      <w:r>
        <w:rPr>
          <w:spacing w:val="5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万辆：</w:t>
      </w:r>
      <w:r>
        <w:rPr>
          <w:spacing w:val="5"/>
        </w:rPr>
        <w:t xml:space="preserve"> </w:t>
      </w:r>
      <w:r>
        <w:rPr>
          <w:spacing w:val="5"/>
        </w:rPr>
        <w:t>据中国汽车工业协会统计，</w:t>
      </w:r>
      <w:r>
        <w:rPr>
          <w:rFonts w:ascii="Times New Roman" w:eastAsia="Times New Roman" w:hAnsi="Times New Roman" w:cs="Times New Roman"/>
          <w:spacing w:val="5"/>
        </w:rPr>
        <w:t>2023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spacing w:val="5"/>
        </w:rPr>
        <w:t>年</w:t>
      </w:r>
      <w:r>
        <w:rPr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11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spacing w:val="5"/>
        </w:rPr>
        <w:t>月，中国新能源</w:t>
      </w:r>
      <w:r>
        <w:rPr>
          <w:spacing w:val="4"/>
        </w:rPr>
        <w:t>汽车产</w:t>
      </w:r>
      <w:r>
        <w:t xml:space="preserve"> </w:t>
      </w:r>
      <w:r>
        <w:rPr>
          <w:spacing w:val="1"/>
        </w:rPr>
        <w:t>销分别完成</w:t>
      </w:r>
      <w:r>
        <w:rPr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107.4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spacing w:val="1"/>
        </w:rPr>
        <w:t>万辆和</w:t>
      </w:r>
      <w:r>
        <w:rPr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102.6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spacing w:val="1"/>
        </w:rPr>
        <w:t>万辆，</w:t>
      </w:r>
      <w:r>
        <w:rPr>
          <w:spacing w:val="1"/>
        </w:rPr>
        <w:t xml:space="preserve"> </w:t>
      </w:r>
      <w:r>
        <w:rPr>
          <w:spacing w:val="1"/>
        </w:rPr>
        <w:t>同比分别增长</w:t>
      </w:r>
      <w:r>
        <w:rPr>
          <w:spacing w:val="-3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39.2%</w:t>
      </w:r>
      <w:r>
        <w:rPr>
          <w:spacing w:val="1"/>
        </w:rPr>
        <w:t>和</w:t>
      </w:r>
      <w:r>
        <w:rPr>
          <w:spacing w:val="-3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30%</w:t>
      </w:r>
      <w:r>
        <w:rPr>
          <w:spacing w:val="1"/>
        </w:rPr>
        <w:t>，渗透率达到</w:t>
      </w:r>
      <w:r>
        <w:rPr>
          <w:spacing w:val="-3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34.5%</w:t>
      </w:r>
      <w:r>
        <w:rPr>
          <w:spacing w:val="1"/>
        </w:rPr>
        <w:t>。</w:t>
      </w:r>
      <w:r>
        <w:rPr>
          <w:rFonts w:ascii="Times New Roman" w:eastAsia="Times New Roman" w:hAnsi="Times New Roman" w:cs="Times New Roman"/>
          <w:spacing w:val="1"/>
        </w:rPr>
        <w:t xml:space="preserve">2023 </w:t>
      </w:r>
      <w:r>
        <w:rPr>
          <w:spacing w:val="1"/>
        </w:rPr>
        <w:t>年</w:t>
      </w:r>
      <w:r>
        <w:rPr>
          <w:spacing w:val="-1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1-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spacing w:val="4"/>
        </w:rPr>
        <w:t>月，新能源汽车产销分别完成</w:t>
      </w:r>
      <w:r>
        <w:rPr>
          <w:spacing w:val="-2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842.6</w:t>
      </w:r>
      <w:r>
        <w:rPr>
          <w:rFonts w:ascii="Times New Roman" w:eastAsia="Times New Roman" w:hAnsi="Times New Roman" w:cs="Times New Roman"/>
          <w:spacing w:val="17"/>
          <w:w w:val="101"/>
        </w:rPr>
        <w:t xml:space="preserve"> </w:t>
      </w:r>
      <w:r>
        <w:rPr>
          <w:spacing w:val="4"/>
        </w:rPr>
        <w:t>万辆和</w:t>
      </w:r>
      <w:r>
        <w:rPr>
          <w:spacing w:val="-3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830.4</w:t>
      </w:r>
      <w:r>
        <w:rPr>
          <w:rFonts w:ascii="Times New Roman" w:eastAsia="Times New Roman" w:hAnsi="Times New Roman" w:cs="Times New Roman"/>
          <w:spacing w:val="17"/>
          <w:w w:val="101"/>
        </w:rPr>
        <w:t xml:space="preserve"> </w:t>
      </w:r>
      <w:r>
        <w:rPr>
          <w:spacing w:val="4"/>
        </w:rPr>
        <w:t>万辆，</w:t>
      </w:r>
      <w:r>
        <w:rPr>
          <w:spacing w:val="4"/>
        </w:rPr>
        <w:t xml:space="preserve"> </w:t>
      </w:r>
      <w:r>
        <w:rPr>
          <w:spacing w:val="4"/>
        </w:rPr>
        <w:t>同比分别增长</w:t>
      </w:r>
      <w:r>
        <w:rPr>
          <w:spacing w:val="-3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34.5%</w:t>
      </w:r>
      <w:r>
        <w:rPr>
          <w:spacing w:val="4"/>
        </w:rPr>
        <w:t>和</w:t>
      </w:r>
      <w:r>
        <w:rPr>
          <w:spacing w:val="-3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36.7%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spacing w:val="4"/>
        </w:rPr>
        <w:t>，渗透率达到</w:t>
      </w:r>
      <w:r>
        <w:t xml:space="preserve"> </w:t>
      </w:r>
      <w:r>
        <w:rPr>
          <w:rFonts w:ascii="Times New Roman" w:eastAsia="Times New Roman" w:hAnsi="Times New Roman" w:cs="Times New Roman"/>
          <w:spacing w:val="3"/>
        </w:rPr>
        <w:t>30.8%</w:t>
      </w:r>
      <w:r>
        <w:rPr>
          <w:spacing w:val="3"/>
        </w:rPr>
        <w:t>。</w:t>
      </w:r>
    </w:p>
    <w:p>
      <w:pPr>
        <w:pStyle w:val="BodyText"/>
        <w:spacing w:before="151" w:line="242" w:lineRule="auto"/>
        <w:ind w:left="1651" w:right="19" w:firstLine="13"/>
      </w:pPr>
      <w:r>
        <w:rPr>
          <w:spacing w:val="4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汽车电动化趋势强化，新能源内生增长彰显</w:t>
      </w:r>
      <w:r>
        <w:rPr>
          <w:spacing w:val="3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需求韧性：</w:t>
      </w:r>
      <w:r>
        <w:rPr>
          <w:rFonts w:ascii="Times New Roman" w:eastAsia="Times New Roman" w:hAnsi="Times New Roman" w:cs="Times New Roman"/>
          <w:spacing w:val="3"/>
        </w:rPr>
        <w:t xml:space="preserve">23 </w:t>
      </w:r>
      <w:r>
        <w:rPr>
          <w:spacing w:val="3"/>
        </w:rPr>
        <w:t>年一季度燃油车销量不佳，叠加政策导向，</w:t>
      </w:r>
      <w:r>
        <w:t xml:space="preserve"> </w:t>
      </w:r>
      <w:r>
        <w:rPr>
          <w:spacing w:val="8"/>
        </w:rPr>
        <w:t>燃油车普遍降价开启被动去库存，但从销量和渗透率看，</w:t>
      </w:r>
      <w:r>
        <w:rPr>
          <w:spacing w:val="8"/>
        </w:rPr>
        <w:t xml:space="preserve"> </w:t>
      </w:r>
      <w:r>
        <w:rPr>
          <w:spacing w:val="8"/>
        </w:rPr>
        <w:t>新能源销量渗透率持续提升，新能源销量</w:t>
      </w:r>
      <w:r>
        <w:rPr>
          <w:spacing w:val="1"/>
        </w:rPr>
        <w:t xml:space="preserve"> </w:t>
      </w:r>
      <w:r>
        <w:rPr>
          <w:spacing w:val="5"/>
        </w:rPr>
        <w:t>增速仍显著高于汽车行业平均增速，</w:t>
      </w:r>
      <w:r>
        <w:rPr>
          <w:spacing w:val="5"/>
        </w:rPr>
        <w:t xml:space="preserve"> </w:t>
      </w:r>
      <w:r>
        <w:rPr>
          <w:spacing w:val="5"/>
        </w:rPr>
        <w:t>体现出较强的需求韧性。</w:t>
      </w:r>
    </w:p>
    <w:p>
      <w:pPr>
        <w:spacing w:before="19"/>
      </w:pPr>
    </w:p>
    <w:p>
      <w:pPr>
        <w:spacing w:before="19"/>
      </w:pPr>
    </w:p>
    <w:p>
      <w:pPr>
        <w:sectPr>
          <w:headerReference w:type="default" r:id="rId42"/>
          <w:footerReference w:type="default" r:id="rId43"/>
          <w:pgSz w:w="11907" w:h="16839"/>
          <w:pgMar w:top="400" w:right="708" w:bottom="703" w:left="906" w:header="0" w:footer="422" w:gutter="0"/>
          <w:pgNumType w:start="13"/>
          <w:cols w:num="1" w:space="708" w:equalWidth="0">
            <w:col w:w="10292" w:space="0"/>
          </w:cols>
        </w:sectPr>
      </w:pPr>
    </w:p>
    <w:tbl>
      <w:tblPr>
        <w:tblStyle w:val="TableNormal2"/>
        <w:tblW w:w="4942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4942"/>
      </w:tblGrid>
      <w:tr>
        <w:tblPrEx>
          <w:tblW w:w="4942" w:type="dxa"/>
          <w:tblInd w:w="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55"/>
        </w:trPr>
        <w:tc>
          <w:tcPr>
            <w:tcW w:w="4942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line="226" w:lineRule="auto"/>
              <w:ind w:left="31"/>
              <w:rPr>
                <w:rFonts w:ascii="KaiTi" w:eastAsia="KaiTi" w:hAnsi="KaiTi" w:cs="KaiTi"/>
                <w:sz w:val="19"/>
                <w:szCs w:val="19"/>
              </w:rPr>
            </w:pP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图表</w:t>
            </w:r>
            <w:r>
              <w:rPr>
                <w:rFonts w:ascii="KaiTi" w:eastAsia="KaiTi" w:hAnsi="KaiTi" w:cs="KaiTi"/>
                <w:spacing w:val="-35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 xml:space="preserve">5.2022-2023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</w:t>
            </w:r>
            <w:r>
              <w:rPr>
                <w:rFonts w:ascii="KaiTi" w:eastAsia="KaiTi" w:hAnsi="KaiTi" w:cs="KaiTi"/>
                <w:spacing w:val="-29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>11</w:t>
            </w:r>
            <w:r>
              <w:rPr>
                <w:b/>
                <w:bCs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月国</w:t>
            </w:r>
            <w:r>
              <w:rPr>
                <w:rFonts w:ascii="KaiTi" w:eastAsia="KaiTi" w:hAnsi="KaiTi" w:cs="KaiTi"/>
                <w:spacing w:val="4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内新能源汽车销量</w:t>
            </w:r>
          </w:p>
        </w:tc>
      </w:tr>
      <w:tr>
        <w:tblPrEx>
          <w:tblW w:w="4942" w:type="dxa"/>
          <w:tblInd w:w="5" w:type="dxa"/>
          <w:tblLayout w:type="fixed"/>
        </w:tblPrEx>
        <w:trPr>
          <w:trHeight w:val="2636"/>
        </w:trPr>
        <w:tc>
          <w:tcPr>
            <w:tcW w:w="4942" w:type="dxa"/>
            <w:tcBorders>
              <w:top w:val="single" w:sz="2" w:space="0" w:color="000000"/>
            </w:tcBorders>
            <w:vAlign w:val="top"/>
          </w:tcPr>
          <w:p>
            <w:pPr>
              <w:spacing w:before="209" w:line="178" w:lineRule="auto"/>
              <w:ind w:left="598"/>
              <w:rPr>
                <w:rFonts w:ascii="STKaiti" w:eastAsia="STKaiti" w:hAnsi="STKaiti" w:cs="STKaiti"/>
                <w:sz w:val="11"/>
                <w:szCs w:val="11"/>
              </w:rPr>
            </w:pPr>
            <w: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rightMargin">
                    <wp:posOffset>-2848664</wp:posOffset>
                  </wp:positionH>
                  <wp:positionV relativeFrom="topMargin">
                    <wp:posOffset>237856</wp:posOffset>
                  </wp:positionV>
                  <wp:extent cx="2479362" cy="1425785"/>
                  <wp:effectExtent l="0" t="0" r="0" b="0"/>
                  <wp:wrapNone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xmlns:r="http://schemas.openxmlformats.org/officeDocument/2006/relationships"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362" cy="142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TKaiti" w:eastAsia="STKaiti" w:hAnsi="STKaiti" w:cs="STKaiti"/>
                <w:spacing w:val="-5"/>
                <w:sz w:val="11"/>
                <w:szCs w:val="11"/>
              </w:rPr>
              <w:t>（万辆）</w:t>
            </w:r>
          </w:p>
          <w:p>
            <w:pPr>
              <w:pStyle w:val="TableText"/>
              <w:spacing w:line="194" w:lineRule="auto"/>
              <w:ind w:left="4441"/>
            </w:pPr>
            <w:r>
              <w:pict>
                <v:shape id="_x0000_s1035" type="#_x0000_t202" style="width:11.55pt;height:8.1pt;margin-top:-0.97pt;margin-left:6.6pt;position:absolute;z-index:25166848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195" w:lineRule="auto"/>
                          <w:ind w:left="20"/>
                        </w:pPr>
                        <w:r>
                          <w:rPr>
                            <w:spacing w:val="-2"/>
                          </w:rPr>
                          <w:t>120</w:t>
                        </w:r>
                      </w:p>
                    </w:txbxContent>
                  </v:textbox>
                </v:shape>
              </w:pict>
            </w:r>
            <w:r>
              <w:rPr>
                <w:spacing w:val="4"/>
              </w:rPr>
              <w:t>200%</w:t>
            </w:r>
          </w:p>
          <w:p>
            <w:pPr>
              <w:pStyle w:val="TableText"/>
              <w:spacing w:before="245" w:line="195" w:lineRule="auto"/>
              <w:ind w:left="4454"/>
            </w:pPr>
            <w:r>
              <w:pict>
                <v:shape id="_x0000_s1036" type="#_x0000_t202" style="width:11.55pt;height:8.1pt;margin-top:11.27pt;margin-left:6.6pt;position:absolute;z-index:251669504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195" w:lineRule="auto"/>
                          <w:ind w:left="20"/>
                        </w:pPr>
                        <w:r>
                          <w:rPr>
                            <w:spacing w:val="-2"/>
                          </w:rPr>
                          <w:t>100</w:t>
                        </w:r>
                      </w:p>
                    </w:txbxContent>
                  </v:textbox>
                </v:shape>
              </w:pict>
            </w:r>
            <w:r>
              <w:t>150%</w:t>
            </w:r>
          </w:p>
          <w:p>
            <w:pPr>
              <w:pStyle w:val="TableText"/>
              <w:spacing w:before="245" w:line="195" w:lineRule="auto"/>
              <w:ind w:left="4454"/>
            </w:pPr>
            <w:r>
              <w:pict>
                <v:shape id="_x0000_s1037" type="#_x0000_t202" style="width:8.55pt;height:8.1pt;margin-top:11.27pt;margin-left:9.67pt;position:absolute;z-index:251667456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195" w:lineRule="auto"/>
                          <w:ind w:left="20"/>
                        </w:pPr>
                        <w:r>
                          <w:t>80</w:t>
                        </w:r>
                      </w:p>
                    </w:txbxContent>
                  </v:textbox>
                </v:shape>
              </w:pict>
            </w:r>
            <w:r>
              <w:t>100%</w:t>
            </w:r>
          </w:p>
          <w:p>
            <w:pPr>
              <w:pStyle w:val="TableText"/>
              <w:spacing w:before="245" w:line="195" w:lineRule="auto"/>
              <w:ind w:left="4445"/>
            </w:pPr>
            <w:r>
              <w:pict>
                <v:shape id="_x0000_s1038" type="#_x0000_t202" style="width:8.65pt;height:8.1pt;margin-top:11.27pt;margin-left:9.55pt;position:absolute;z-index:251671552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195" w:lineRule="auto"/>
                          <w:ind w:left="20"/>
                        </w:pPr>
                        <w:r>
                          <w:rPr>
                            <w:spacing w:val="1"/>
                          </w:rPr>
                          <w:t>60</w:t>
                        </w:r>
                      </w:p>
                    </w:txbxContent>
                  </v:textbox>
                </v:shape>
              </w:pict>
            </w:r>
            <w:r>
              <w:rPr>
                <w:spacing w:val="2"/>
              </w:rPr>
              <w:t>50%</w:t>
            </w:r>
          </w:p>
          <w:p>
            <w:pPr>
              <w:pStyle w:val="TableText"/>
              <w:spacing w:before="245" w:line="195" w:lineRule="auto"/>
              <w:ind w:left="4443"/>
            </w:pPr>
            <w:r>
              <w:pict>
                <v:shape id="_x0000_s1039" type="#_x0000_t202" style="width:8.85pt;height:8.1pt;margin-top:11.27pt;margin-left:9.36pt;position:absolute;z-index:251673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195" w:lineRule="auto"/>
                          <w:ind w:left="20"/>
                        </w:pPr>
                        <w:r>
                          <w:rPr>
                            <w:spacing w:val="3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"/>
              </w:rPr>
              <w:t>0%</w:t>
            </w:r>
          </w:p>
          <w:p>
            <w:pPr>
              <w:pStyle w:val="TableText"/>
              <w:spacing w:before="245" w:line="195" w:lineRule="auto"/>
              <w:ind w:left="4444"/>
            </w:pPr>
            <w:r>
              <w:pict>
                <v:shape id="_x0000_s1040" type="#_x0000_t202" style="width:8.8pt;height:8.1pt;margin-top:11.27pt;margin-left:9.4pt;position:absolute;z-index:251670528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195" w:lineRule="auto"/>
                          <w:ind w:left="20"/>
                        </w:pPr>
                        <w:r>
                          <w:rPr>
                            <w:spacing w:val="2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spacing w:val="2"/>
              </w:rPr>
              <w:t>-50%</w:t>
            </w:r>
          </w:p>
          <w:p>
            <w:pPr>
              <w:pStyle w:val="TableText"/>
              <w:spacing w:before="245" w:line="157" w:lineRule="auto"/>
              <w:ind w:left="4444"/>
            </w:pPr>
            <w:r>
              <w:pict>
                <v:shape id="_x0000_s1041" type="#_x0000_t202" style="width:5.25pt;height:8.1pt;margin-top:11.24pt;margin-left:12.98pt;position:absolute;z-index:251672576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195" w:lineRule="auto"/>
                          <w:ind w:left="20"/>
                        </w:pPr>
                        <w: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"/>
              </w:rPr>
              <w:t>-100%</w:t>
            </w:r>
          </w:p>
        </w:tc>
      </w:tr>
      <w:tr>
        <w:tblPrEx>
          <w:tblW w:w="4942" w:type="dxa"/>
          <w:tblInd w:w="5" w:type="dxa"/>
          <w:tblLayout w:type="fixed"/>
        </w:tblPrEx>
        <w:trPr>
          <w:trHeight w:val="156"/>
        </w:trPr>
        <w:tc>
          <w:tcPr>
            <w:tcW w:w="4942" w:type="dxa"/>
            <w:vAlign w:val="top"/>
          </w:tcPr>
          <w:p>
            <w:pPr>
              <w:pStyle w:val="TableText"/>
              <w:spacing w:before="13" w:line="195" w:lineRule="auto"/>
              <w:ind w:left="357"/>
            </w:pPr>
            <w:r>
              <w:rPr>
                <w:spacing w:val="4"/>
              </w:rPr>
              <w:t>2022.01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2022.04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2022.0</w:t>
            </w:r>
            <w:r>
              <w:rPr>
                <w:spacing w:val="3"/>
              </w:rPr>
              <w:t>7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2022.10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2023.01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2023.04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2023.07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2023.10</w:t>
            </w:r>
          </w:p>
        </w:tc>
      </w:tr>
      <w:tr>
        <w:tblPrEx>
          <w:tblW w:w="4942" w:type="dxa"/>
          <w:tblInd w:w="5" w:type="dxa"/>
          <w:tblLayout w:type="fixed"/>
        </w:tblPrEx>
        <w:trPr>
          <w:trHeight w:val="442"/>
        </w:trPr>
        <w:tc>
          <w:tcPr>
            <w:tcW w:w="4942" w:type="dxa"/>
            <w:tcBorders>
              <w:bottom w:val="single" w:sz="2" w:space="0" w:color="000000"/>
            </w:tcBorders>
            <w:vAlign w:val="top"/>
          </w:tcPr>
          <w:p>
            <w:pPr>
              <w:spacing w:line="50" w:lineRule="exact"/>
            </w:pPr>
          </w:p>
          <w:tbl>
            <w:tblPr>
              <w:tblStyle w:val="TableNormal2"/>
              <w:tblW w:w="4370" w:type="dxa"/>
              <w:tblInd w:w="28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</w:tblPr>
            <w:tblGrid>
              <w:gridCol w:w="4370"/>
            </w:tblGrid>
            <w:tr>
              <w:tblPrEx>
                <w:tblW w:w="4370" w:type="dxa"/>
                <w:tblInd w:w="283" w:type="dxa"/>
                <w:tbl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blBorders>
                <w:tblLayout w:type="fixed"/>
              </w:tblPrEx>
              <w:trPr>
                <w:trHeight w:val="312"/>
              </w:trPr>
              <w:tc>
                <w:tcPr>
                  <w:tcW w:w="4370" w:type="dxa"/>
                  <w:vAlign w:val="top"/>
                </w:tcPr>
                <w:p>
                  <w:pPr>
                    <w:spacing w:before="84" w:line="220" w:lineRule="auto"/>
                    <w:ind w:left="54"/>
                    <w:rPr>
                      <w:rFonts w:ascii="STKaiti" w:eastAsia="STKaiti" w:hAnsi="STKaiti" w:cs="STKaiti"/>
                      <w:sz w:val="13"/>
                      <w:szCs w:val="13"/>
                    </w:rPr>
                  </w:pPr>
                  <w:r>
                    <w:rPr>
                      <w:rFonts w:ascii="STKaiti" w:eastAsia="STKaiti" w:hAnsi="STKaiti" w:cs="STKaiti"/>
                      <w:sz w:val="13"/>
                      <w:szCs w:val="13"/>
                    </w:rPr>
                    <w:drawing>
                      <wp:inline distT="0" distB="0" distL="0" distR="0">
                        <wp:extent cx="221658" cy="44255"/>
                        <wp:effectExtent l="0" t="0" r="0" b="0"/>
                        <wp:docPr id="44" name="IM 4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IM 44"/>
                                <pic:cNvPicPr/>
                              </pic:nvPicPr>
                              <pic:blipFill>
                                <a:blip xmlns:r="http://schemas.openxmlformats.org/officeDocument/2006/relationships"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658" cy="44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pacing w:val="26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-3"/>
                      <w:sz w:val="13"/>
                      <w:szCs w:val="13"/>
                    </w:rPr>
                    <w:t xml:space="preserve">销量（左轴）    </w:t>
                  </w:r>
                  <w:r>
                    <w:rPr>
                      <w:position w:val="2"/>
                      <w:sz w:val="13"/>
                      <w:szCs w:val="13"/>
                    </w:rPr>
                    <w:drawing>
                      <wp:inline distT="0" distB="0" distL="0" distR="0">
                        <wp:extent cx="241449" cy="19756"/>
                        <wp:effectExtent l="0" t="0" r="0" b="0"/>
                        <wp:docPr id="46" name="IM 4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" name="IM 46"/>
                                <pic:cNvPicPr/>
                              </pic:nvPicPr>
                              <pic:blipFill>
                                <a:blip xmlns:r="http://schemas.openxmlformats.org/officeDocument/2006/relationships"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449" cy="197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pacing w:val="19"/>
                      <w:w w:val="103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-3"/>
                      <w:sz w:val="13"/>
                      <w:szCs w:val="13"/>
                    </w:rPr>
                    <w:t xml:space="preserve">同比增长（右轴）    </w:t>
                  </w:r>
                  <w:r>
                    <w:rPr>
                      <w:position w:val="2"/>
                      <w:sz w:val="13"/>
                      <w:szCs w:val="13"/>
                    </w:rPr>
                    <w:drawing>
                      <wp:inline distT="0" distB="0" distL="0" distR="0">
                        <wp:extent cx="241449" cy="19756"/>
                        <wp:effectExtent l="0" t="0" r="0" b="0"/>
                        <wp:docPr id="48" name="IM 4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" name="IM 48"/>
                                <pic:cNvPicPr/>
                              </pic:nvPicPr>
                              <pic:blipFill>
                                <a:blip xmlns:r="http://schemas.openxmlformats.org/officeDocument/2006/relationships"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449" cy="197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pacing w:val="2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-3"/>
                      <w:sz w:val="13"/>
                      <w:szCs w:val="13"/>
                    </w:rPr>
                    <w:t>环比增长（右轴）</w:t>
                  </w:r>
                </w:p>
              </w:tc>
            </w:tr>
          </w:tbl>
          <w:p>
            <w:pPr>
              <w:spacing w:line="59" w:lineRule="exact"/>
              <w:rPr>
                <w:rFonts w:ascii="Arial"/>
                <w:sz w:val="5"/>
              </w:rPr>
            </w:pPr>
          </w:p>
        </w:tc>
      </w:tr>
      <w:tr>
        <w:tblPrEx>
          <w:tblW w:w="4942" w:type="dxa"/>
          <w:tblInd w:w="5" w:type="dxa"/>
          <w:tblLayout w:type="fixed"/>
        </w:tblPrEx>
        <w:trPr>
          <w:trHeight w:val="202"/>
        </w:trPr>
        <w:tc>
          <w:tcPr>
            <w:tcW w:w="4942" w:type="dxa"/>
            <w:tcBorders>
              <w:top w:val="single" w:sz="2" w:space="0" w:color="000000"/>
            </w:tcBorders>
            <w:vAlign w:val="top"/>
          </w:tcPr>
          <w:p>
            <w:pPr>
              <w:spacing w:before="43" w:line="171" w:lineRule="auto"/>
              <w:ind w:left="5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i/>
                <w:iCs/>
                <w:spacing w:val="3"/>
                <w:sz w:val="16"/>
                <w:szCs w:val="16"/>
              </w:rPr>
              <w:t>资料来源：乘联会，中银证券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tbl>
      <w:tblPr>
        <w:tblStyle w:val="TableNormal2"/>
        <w:tblW w:w="50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5040"/>
      </w:tblGrid>
      <w:tr>
        <w:tblPrEx>
          <w:tblW w:w="504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55"/>
        </w:trPr>
        <w:tc>
          <w:tcPr>
            <w:tcW w:w="5040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line="224" w:lineRule="auto"/>
              <w:ind w:left="31"/>
              <w:rPr>
                <w:rFonts w:ascii="KaiTi" w:eastAsia="KaiTi" w:hAnsi="KaiTi" w:cs="KaiTi"/>
                <w:sz w:val="19"/>
                <w:szCs w:val="19"/>
              </w:rPr>
            </w:pP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图表</w:t>
            </w:r>
            <w:r>
              <w:rPr>
                <w:rFonts w:ascii="KaiTi" w:eastAsia="KaiTi" w:hAnsi="KaiTi" w:cs="KaiTi"/>
                <w:spacing w:val="-26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 xml:space="preserve">6.2022-2023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</w:t>
            </w:r>
            <w:r>
              <w:rPr>
                <w:rFonts w:ascii="KaiTi" w:eastAsia="KaiTi" w:hAnsi="KaiTi" w:cs="KaiTi"/>
                <w:spacing w:val="-29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>11</w:t>
            </w:r>
            <w:r>
              <w:rPr>
                <w:b/>
                <w:bCs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ascii="KaiTi" w:eastAsia="KaiTi" w:hAnsi="KaiTi" w:cs="KaiTi"/>
                <w:spacing w:val="5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月国内新能源汽车月度渗透率</w:t>
            </w:r>
          </w:p>
        </w:tc>
      </w:tr>
      <w:tr>
        <w:tblPrEx>
          <w:tblW w:w="5040" w:type="dxa"/>
          <w:tblInd w:w="0" w:type="dxa"/>
          <w:tblLayout w:type="fixed"/>
        </w:tblPrEx>
        <w:trPr>
          <w:trHeight w:val="2655"/>
        </w:trPr>
        <w:tc>
          <w:tcPr>
            <w:tcW w:w="5040" w:type="dxa"/>
            <w:tcBorders>
              <w:top w:val="single" w:sz="2" w:space="0" w:color="000000"/>
            </w:tcBorders>
            <w:vAlign w:val="top"/>
          </w:tcPr>
          <w:p>
            <w:pPr>
              <w:spacing w:before="278" w:line="205" w:lineRule="auto"/>
              <w:ind w:left="135"/>
              <w:rPr>
                <w:rFonts w:ascii="Arial Narrow" w:eastAsia="Arial Narrow" w:hAnsi="Arial Narrow" w:cs="Arial Narrow"/>
                <w:sz w:val="13"/>
                <w:szCs w:val="13"/>
              </w:rPr>
            </w:pPr>
            <w:r>
              <w:pict>
                <v:group id="_x0000_s1042" style="width:210.2pt;height:115.35pt;margin-top:16.51pt;margin-left:-230.16pt;mso-position-horizontal-relative:right-margin-area;mso-position-vertical-relative:top-margin-area;position:absolute;z-index:251665408" coordorigin="0,0" coordsize="4203,2306" filled="f" stroked="f">
                  <v:shape id="_x0000_s1043" style="width:4157;height:1816;left:43;position:absolute" coordorigin="0,0" coordsize="4157,1816" path="m,1812l4157,1812m,1360l4157,1360m,907l4157,907m,454l4157,454m,3l4157,3e" filled="f" strokecolor="black" strokeweight="0.35pt">
                    <v:stroke dashstyle="dash"/>
                  </v:shape>
                  <v:shape id="_x0000_s1044" style="width:4203;height:2306;position:absolute" coordorigin="0,0" coordsize="4203,2306" path="m43,2265l43,3m,2265l43,2265m,1812l43,1812m,1360l43,1360m,907l43,907m,454l43,454m,3l43,3m43,2265l4200,2265m43,2265l43,2306m224,2265l224,2306m403,2265l403,2306m585,2265l585,2306m766,2265l766,2306m945,2265l945,2306m1126,2265l1126,2306m1308,2265l1308,2306m1489,2265l1489,2306m1668,2265l1668,2306m1849,2265l1849,2306m2031,2265l2031,2306m2212,2265l2212,2306m2391,2265l2391,2306m2573,2265l2573,2306m2754,2265l2754,2306m2933,2265l2933,2306m3114,2265l3114,2306m3296,2265l3296,2306m3477,2265l3477,2306m3656,2265l3656,2306m3838,2265l3838,2306m4019,2265l4019,2306m4200,2265l4200,2306e" filled="f" strokecolor="black" strokeweight="0.35pt"/>
                  <v:shape id="_x0000_s1045" style="width:4003;height:820;left:119;position:absolute;top:689" coordorigin="0,0" coordsize="4003,820" path="m13,805c74,772,134,740,194,705c254,671,315,641,375,595c435,550,495,448,556,430c616,413,676,478,736,490c797,501,857,523,917,498c977,473,1037,373,1098,342c1158,311,1218,310,1279,311c1339,313,1399,353,1459,349c1519,344,1580,336,1640,286c1700,236,1760,74,1821,49c1881,24,1941,67,2001,135c2062,203,2122,417,2182,456c2242,496,2303,388,2363,374c2423,359,2483,392,2544,371c2604,349,2664,269,2724,243c2784,217,2845,224,2905,214c2965,204,3026,204,3086,184c3146,165,3206,113,3267,98c3327,83,3387,86,3447,94c3507,102,3568,151,3628,145c3688,139,3748,82,3809,60c3869,38,3929,29,3989,13e" filled="f" strokecolor="#a7001d" strokeweight="1.38pt">
                    <v:stroke endcap="round"/>
                  </v:shape>
                </v:group>
              </w:pict>
            </w:r>
            <w:r>
              <w:rPr>
                <w:rFonts w:ascii="Arial Narrow" w:eastAsia="Arial Narrow" w:hAnsi="Arial Narrow" w:cs="Arial Narrow"/>
                <w:spacing w:val="3"/>
                <w:sz w:val="13"/>
                <w:szCs w:val="13"/>
              </w:rPr>
              <w:t>50%</w:t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37" w:line="206" w:lineRule="auto"/>
              <w:ind w:left="132"/>
              <w:rPr>
                <w:rFonts w:ascii="Arial Narrow" w:eastAsia="Arial Narrow" w:hAnsi="Arial Narrow" w:cs="Arial Narrow"/>
                <w:sz w:val="13"/>
                <w:szCs w:val="13"/>
              </w:rPr>
            </w:pPr>
            <w:r>
              <w:rPr>
                <w:rFonts w:ascii="Arial Narrow" w:eastAsia="Arial Narrow" w:hAnsi="Arial Narrow" w:cs="Arial Narrow"/>
                <w:spacing w:val="4"/>
                <w:sz w:val="13"/>
                <w:szCs w:val="13"/>
              </w:rPr>
              <w:t>40%</w:t>
            </w: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37" w:line="205" w:lineRule="auto"/>
              <w:ind w:left="135"/>
              <w:rPr>
                <w:rFonts w:ascii="Arial Narrow" w:eastAsia="Arial Narrow" w:hAnsi="Arial Narrow" w:cs="Arial Narrow"/>
                <w:sz w:val="13"/>
                <w:szCs w:val="13"/>
              </w:rPr>
            </w:pPr>
            <w:r>
              <w:rPr>
                <w:rFonts w:ascii="Arial Narrow" w:eastAsia="Arial Narrow" w:hAnsi="Arial Narrow" w:cs="Arial Narrow"/>
                <w:spacing w:val="3"/>
                <w:sz w:val="13"/>
                <w:szCs w:val="13"/>
              </w:rPr>
              <w:t>30%</w:t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38" w:line="205" w:lineRule="auto"/>
              <w:ind w:left="134"/>
              <w:rPr>
                <w:rFonts w:ascii="Arial Narrow" w:eastAsia="Arial Narrow" w:hAnsi="Arial Narrow" w:cs="Arial Narrow"/>
                <w:sz w:val="13"/>
                <w:szCs w:val="13"/>
              </w:rPr>
            </w:pPr>
            <w:r>
              <w:rPr>
                <w:rFonts w:ascii="Arial Narrow" w:eastAsia="Arial Narrow" w:hAnsi="Arial Narrow" w:cs="Arial Narrow"/>
                <w:spacing w:val="3"/>
                <w:sz w:val="13"/>
                <w:szCs w:val="13"/>
              </w:rPr>
              <w:t>20%</w:t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38" w:line="205" w:lineRule="auto"/>
              <w:ind w:left="143"/>
              <w:rPr>
                <w:rFonts w:ascii="Arial Narrow" w:eastAsia="Arial Narrow" w:hAnsi="Arial Narrow" w:cs="Arial Narrow"/>
                <w:sz w:val="13"/>
                <w:szCs w:val="13"/>
              </w:rPr>
            </w:pPr>
            <w:r>
              <w:rPr>
                <w:rFonts w:ascii="Arial Narrow" w:eastAsia="Arial Narrow" w:hAnsi="Arial Narrow" w:cs="Arial Narrow"/>
                <w:sz w:val="13"/>
                <w:szCs w:val="13"/>
              </w:rPr>
              <w:t>10%</w:t>
            </w: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37" w:line="169" w:lineRule="auto"/>
              <w:ind w:left="198"/>
              <w:rPr>
                <w:rFonts w:ascii="Arial Narrow" w:eastAsia="Arial Narrow" w:hAnsi="Arial Narrow" w:cs="Arial Narrow"/>
                <w:sz w:val="13"/>
                <w:szCs w:val="13"/>
              </w:rPr>
            </w:pPr>
            <w:r>
              <w:rPr>
                <w:rFonts w:ascii="Arial Narrow" w:eastAsia="Arial Narrow" w:hAnsi="Arial Narrow" w:cs="Arial Narrow"/>
                <w:spacing w:val="2"/>
                <w:sz w:val="13"/>
                <w:szCs w:val="13"/>
              </w:rPr>
              <w:t>0%</w:t>
            </w:r>
          </w:p>
        </w:tc>
      </w:tr>
      <w:tr>
        <w:tblPrEx>
          <w:tblW w:w="5040" w:type="dxa"/>
          <w:tblInd w:w="0" w:type="dxa"/>
          <w:tblLayout w:type="fixed"/>
        </w:tblPrEx>
        <w:trPr>
          <w:trHeight w:val="155"/>
        </w:trPr>
        <w:tc>
          <w:tcPr>
            <w:tcW w:w="5040" w:type="dxa"/>
            <w:vAlign w:val="top"/>
          </w:tcPr>
          <w:p>
            <w:pPr>
              <w:spacing w:before="13" w:line="203" w:lineRule="auto"/>
              <w:ind w:left="367"/>
              <w:rPr>
                <w:rFonts w:ascii="Arial Narrow" w:eastAsia="Arial Narrow" w:hAnsi="Arial Narrow" w:cs="Arial Narrow"/>
                <w:sz w:val="13"/>
                <w:szCs w:val="13"/>
              </w:rPr>
            </w:pPr>
            <w:r>
              <w:rPr>
                <w:rFonts w:ascii="Arial Narrow" w:eastAsia="Arial Narrow" w:hAnsi="Arial Narrow" w:cs="Arial Narrow"/>
                <w:spacing w:val="3"/>
                <w:sz w:val="13"/>
                <w:szCs w:val="13"/>
              </w:rPr>
              <w:t>2022.01    2022.04    2022.07    2022.10     2023.01    20</w:t>
            </w:r>
            <w:r>
              <w:rPr>
                <w:rFonts w:ascii="Arial Narrow" w:eastAsia="Arial Narrow" w:hAnsi="Arial Narrow" w:cs="Arial Narrow"/>
                <w:spacing w:val="2"/>
                <w:sz w:val="13"/>
                <w:szCs w:val="13"/>
              </w:rPr>
              <w:t>23.04    2023.07     2023.10</w:t>
            </w:r>
          </w:p>
        </w:tc>
      </w:tr>
      <w:tr>
        <w:tblPrEx>
          <w:tblW w:w="5040" w:type="dxa"/>
          <w:tblInd w:w="0" w:type="dxa"/>
          <w:tblLayout w:type="fixed"/>
        </w:tblPrEx>
        <w:trPr>
          <w:trHeight w:val="423"/>
        </w:trPr>
        <w:tc>
          <w:tcPr>
            <w:tcW w:w="5040" w:type="dxa"/>
            <w:tcBorders>
              <w:bottom w:val="single" w:sz="2" w:space="0" w:color="000000"/>
            </w:tcBorders>
            <w:vAlign w:val="top"/>
          </w:tcPr>
          <w:p>
            <w:pPr>
              <w:spacing w:line="43" w:lineRule="exact"/>
            </w:pPr>
          </w:p>
          <w:tbl>
            <w:tblPr>
              <w:tblStyle w:val="TableNormal2"/>
              <w:tblW w:w="4525" w:type="dxa"/>
              <w:tblInd w:w="1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Layout w:type="fixed"/>
            </w:tblPr>
            <w:tblGrid>
              <w:gridCol w:w="4525"/>
            </w:tblGrid>
            <w:tr>
              <w:tblPrEx>
                <w:tblW w:w="4525" w:type="dxa"/>
                <w:tblInd w:w="185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blBorders>
                <w:tblLayout w:type="fixed"/>
              </w:tblPrEx>
              <w:trPr>
                <w:trHeight w:val="252"/>
              </w:trPr>
              <w:tc>
                <w:tcPr>
                  <w:tcW w:w="4525" w:type="dxa"/>
                  <w:vAlign w:val="top"/>
                </w:tcPr>
                <w:p>
                  <w:pPr>
                    <w:spacing w:before="54" w:line="218" w:lineRule="auto"/>
                    <w:ind w:left="1913"/>
                    <w:rPr>
                      <w:rFonts w:ascii="STKaiti" w:eastAsia="STKaiti" w:hAnsi="STKaiti" w:cs="STKaiti"/>
                      <w:sz w:val="13"/>
                      <w:szCs w:val="13"/>
                    </w:rPr>
                  </w:pPr>
                  <w:r>
                    <w:rPr>
                      <w:rFonts w:ascii="STKaiti" w:eastAsia="STKaiti" w:hAnsi="STKaiti" w:cs="STKaiti"/>
                      <w:position w:val="2"/>
                      <w:sz w:val="13"/>
                      <w:szCs w:val="13"/>
                    </w:rPr>
                    <w:drawing>
                      <wp:inline distT="0" distB="0" distL="0" distR="0">
                        <wp:extent cx="186474" cy="17561"/>
                        <wp:effectExtent l="0" t="0" r="0" b="0"/>
                        <wp:docPr id="50" name="IM 5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" name="IM 50"/>
                                <pic:cNvPicPr/>
                              </pic:nvPicPr>
                              <pic:blipFill>
                                <a:blip xmlns:r="http://schemas.openxmlformats.org/officeDocument/2006/relationships"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6474" cy="175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TKaiti" w:eastAsia="STKaiti" w:hAnsi="STKaiti" w:cs="STKaiti"/>
                      <w:spacing w:val="2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STKaiti" w:eastAsia="STKaiti" w:hAnsi="STKaiti" w:cs="STKaiti"/>
                      <w:spacing w:val="1"/>
                      <w:sz w:val="13"/>
                      <w:szCs w:val="13"/>
                    </w:rPr>
                    <w:t>渗透率</w:t>
                  </w:r>
                </w:p>
              </w:tc>
            </w:tr>
          </w:tbl>
          <w:p>
            <w:pPr>
              <w:spacing w:line="96" w:lineRule="exact"/>
              <w:rPr>
                <w:rFonts w:ascii="Arial"/>
                <w:sz w:val="8"/>
              </w:rPr>
            </w:pPr>
          </w:p>
        </w:tc>
      </w:tr>
      <w:tr>
        <w:tblPrEx>
          <w:tblW w:w="5040" w:type="dxa"/>
          <w:tblInd w:w="0" w:type="dxa"/>
          <w:tblLayout w:type="fixed"/>
        </w:tblPrEx>
        <w:trPr>
          <w:trHeight w:val="202"/>
        </w:trPr>
        <w:tc>
          <w:tcPr>
            <w:tcW w:w="5040" w:type="dxa"/>
            <w:tcBorders>
              <w:top w:val="single" w:sz="2" w:space="0" w:color="000000"/>
            </w:tcBorders>
            <w:vAlign w:val="top"/>
          </w:tcPr>
          <w:p>
            <w:pPr>
              <w:spacing w:before="42" w:line="172" w:lineRule="auto"/>
              <w:ind w:left="5"/>
              <w:rPr>
                <w:rFonts w:ascii="KaiTi" w:eastAsia="KaiTi" w:hAnsi="KaiTi" w:cs="KaiTi"/>
                <w:sz w:val="16"/>
                <w:szCs w:val="16"/>
              </w:rPr>
            </w:pPr>
            <w:r>
              <w:rPr>
                <w:rFonts w:ascii="KaiTi" w:eastAsia="KaiTi" w:hAnsi="KaiTi" w:cs="KaiTi"/>
                <w:i/>
                <w:iCs/>
                <w:spacing w:val="3"/>
                <w:sz w:val="16"/>
                <w:szCs w:val="16"/>
              </w:rPr>
              <w:t>资料来源：中汽协，中银证券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eastAsia="Arial" w:hAnsi="Arial" w:cs="Arial"/>
          <w:sz w:val="2"/>
          <w:szCs w:val="2"/>
        </w:rPr>
        <w:sectPr>
          <w:headerReference w:type="default" r:id="rId49"/>
          <w:footerReference w:type="default" r:id="rId50"/>
          <w:type w:val="continuous"/>
          <w:pgSz w:w="11907" w:h="16839"/>
          <w:pgMar w:top="400" w:right="708" w:bottom="703" w:left="906" w:header="0" w:footer="422" w:gutter="0"/>
          <w:pgNumType w:start="14"/>
          <w:cols w:num="2" w:space="708" w:equalWidth="0">
            <w:col w:w="5083" w:space="100"/>
            <w:col w:w="5109" w:space="0"/>
          </w:cols>
        </w:sectPr>
      </w:pPr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62" w:line="246" w:lineRule="auto"/>
        <w:ind w:left="1655" w:right="12" w:firstLine="8"/>
        <w:jc w:val="both"/>
      </w:pPr>
      <w:r>
        <w:rPr>
          <w:spacing w:val="10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混动市场持续升温，增速超越</w:t>
      </w:r>
      <w:r>
        <w:rPr>
          <w:spacing w:val="-1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BEV</w:t>
      </w:r>
      <w:r>
        <w:rPr>
          <w:spacing w:val="10"/>
          <w14:textOutline w14:w="3614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spacing w:val="10"/>
        </w:rPr>
        <w:t>需求端</w:t>
      </w:r>
      <w:r>
        <w:rPr>
          <w:spacing w:val="-22"/>
        </w:rPr>
        <w:t xml:space="preserve"> </w:t>
      </w:r>
      <w:r>
        <w:rPr>
          <w:rFonts w:ascii="Times New Roman" w:eastAsia="Times New Roman" w:hAnsi="Times New Roman" w:cs="Times New Roman"/>
        </w:rPr>
        <w:t>BEV</w:t>
      </w:r>
      <w:r>
        <w:rPr>
          <w:rFonts w:ascii="Times New Roman" w:eastAsia="Times New Roman" w:hAnsi="Times New Roman" w:cs="Times New Roman"/>
          <w:spacing w:val="42"/>
          <w:w w:val="101"/>
        </w:rPr>
        <w:t xml:space="preserve"> </w:t>
      </w:r>
      <w:r>
        <w:rPr>
          <w:spacing w:val="10"/>
        </w:rPr>
        <w:t>车型受价格偏高、里程焦虑、充电焦虑和</w:t>
      </w:r>
      <w:r>
        <w:rPr>
          <w:spacing w:val="9"/>
        </w:rPr>
        <w:t>保值等</w:t>
      </w:r>
      <w:r>
        <w:t xml:space="preserve"> </w:t>
      </w:r>
      <w:r>
        <w:rPr>
          <w:spacing w:val="6"/>
        </w:rPr>
        <w:t>因素影响，</w:t>
      </w:r>
      <w:r>
        <w:rPr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PHEV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spacing w:val="6"/>
        </w:rPr>
        <w:t>车型优势凸显，</w:t>
      </w:r>
      <w:r>
        <w:rPr>
          <w:spacing w:val="6"/>
        </w:rPr>
        <w:t xml:space="preserve"> </w:t>
      </w:r>
      <w:r>
        <w:rPr>
          <w:spacing w:val="6"/>
        </w:rPr>
        <w:t>消费者</w:t>
      </w:r>
      <w:r>
        <w:rPr>
          <w:spacing w:val="5"/>
        </w:rPr>
        <w:t>接受度大幅提升。供给端，国内自主品牌纷纷发力混动市</w:t>
      </w:r>
      <w:r>
        <w:t xml:space="preserve"> </w:t>
      </w:r>
      <w:r>
        <w:t>场，</w:t>
      </w:r>
      <w:r>
        <w:rPr>
          <w:spacing w:val="-11"/>
        </w:rPr>
        <w:t xml:space="preserve"> </w:t>
      </w:r>
      <w:r>
        <w:t>尤其以</w:t>
      </w:r>
      <w:r>
        <w:rPr>
          <w:spacing w:val="-38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spacing w:val="19"/>
          <w:w w:val="101"/>
        </w:rPr>
        <w:t xml:space="preserve"> </w:t>
      </w:r>
      <w:r>
        <w:t>万元以下的</w:t>
      </w:r>
      <w:r>
        <w:rPr>
          <w:spacing w:val="-41"/>
        </w:rPr>
        <w:t xml:space="preserve"> </w:t>
      </w:r>
      <w:r>
        <w:rPr>
          <w:rFonts w:ascii="Times New Roman" w:eastAsia="Times New Roman" w:hAnsi="Times New Roman" w:cs="Times New Roman"/>
        </w:rPr>
        <w:t>PHEV</w:t>
      </w:r>
      <w:r>
        <w:rPr>
          <w:rFonts w:ascii="Times New Roman" w:eastAsia="Times New Roman" w:hAnsi="Times New Roman" w:cs="Times New Roman"/>
          <w:spacing w:val="19"/>
          <w:w w:val="101"/>
        </w:rPr>
        <w:t xml:space="preserve"> </w:t>
      </w:r>
      <w:r>
        <w:t>为市场重点，</w:t>
      </w:r>
      <w:r>
        <w:rPr>
          <w:spacing w:val="-38"/>
        </w:rPr>
        <w:t xml:space="preserve"> </w:t>
      </w:r>
      <w:r>
        <w:t>产品矩阵愈发完善，</w:t>
      </w:r>
      <w:r>
        <w:rPr>
          <w:spacing w:val="42"/>
        </w:rPr>
        <w:t xml:space="preserve"> </w:t>
      </w:r>
      <w:r>
        <w:t>受益于比亚迪等品牌优质混动车</w:t>
      </w:r>
      <w:r>
        <w:t xml:space="preserve"> </w:t>
      </w:r>
      <w:r>
        <w:rPr>
          <w:spacing w:val="7"/>
        </w:rPr>
        <w:t>型供给增加，</w:t>
      </w:r>
      <w:r>
        <w:rPr>
          <w:rFonts w:ascii="Times New Roman" w:eastAsia="Times New Roman" w:hAnsi="Times New Roman" w:cs="Times New Roman"/>
          <w:spacing w:val="7"/>
        </w:rPr>
        <w:t>2023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spacing w:val="7"/>
        </w:rPr>
        <w:t>年国内</w:t>
      </w:r>
      <w:r>
        <w:rPr>
          <w:spacing w:val="-34"/>
        </w:rPr>
        <w:t xml:space="preserve"> </w:t>
      </w:r>
      <w:r>
        <w:rPr>
          <w:rFonts w:ascii="Times New Roman" w:eastAsia="Times New Roman" w:hAnsi="Times New Roman" w:cs="Times New Roman"/>
        </w:rPr>
        <w:t>PHEV</w:t>
      </w:r>
      <w:r>
        <w:rPr>
          <w:rFonts w:ascii="Times New Roman" w:eastAsia="Times New Roman" w:hAnsi="Times New Roman" w:cs="Times New Roman"/>
          <w:spacing w:val="30"/>
          <w:w w:val="101"/>
        </w:rPr>
        <w:t xml:space="preserve"> </w:t>
      </w:r>
      <w:r>
        <w:rPr>
          <w:spacing w:val="7"/>
        </w:rPr>
        <w:t>车型销量快速提升。根据中</w:t>
      </w:r>
      <w:r>
        <w:rPr>
          <w:spacing w:val="6"/>
        </w:rPr>
        <w:t>汽协数据，</w:t>
      </w:r>
      <w:r>
        <w:rPr>
          <w:rFonts w:ascii="Times New Roman" w:eastAsia="Times New Roman" w:hAnsi="Times New Roman" w:cs="Times New Roman"/>
          <w:spacing w:val="6"/>
        </w:rPr>
        <w:t>2023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spacing w:val="6"/>
        </w:rPr>
        <w:t>年</w:t>
      </w:r>
      <w:r>
        <w:rPr>
          <w:spacing w:val="-15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>1-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>11</w:t>
      </w:r>
      <w:r>
        <w:rPr>
          <w:rFonts w:ascii="Times New Roman" w:eastAsia="Times New Roman" w:hAnsi="Times New Roman" w:cs="Times New Roman"/>
          <w:spacing w:val="28"/>
          <w:w w:val="101"/>
        </w:rPr>
        <w:t xml:space="preserve"> </w:t>
      </w:r>
      <w:r>
        <w:rPr>
          <w:spacing w:val="6"/>
        </w:rPr>
        <w:t>月国内插混累</w:t>
      </w:r>
      <w:r>
        <w:t xml:space="preserve"> </w:t>
      </w:r>
      <w:r>
        <w:rPr>
          <w:spacing w:val="6"/>
        </w:rPr>
        <w:t>计销量</w:t>
      </w:r>
      <w:r>
        <w:rPr>
          <w:spacing w:val="-38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>243.90</w:t>
      </w:r>
      <w:r>
        <w:rPr>
          <w:rFonts w:ascii="Times New Roman" w:eastAsia="Times New Roman" w:hAnsi="Times New Roman" w:cs="Times New Roman"/>
          <w:spacing w:val="17"/>
          <w:w w:val="101"/>
        </w:rPr>
        <w:t xml:space="preserve"> </w:t>
      </w:r>
      <w:r>
        <w:rPr>
          <w:spacing w:val="6"/>
        </w:rPr>
        <w:t>万辆，占新能源汽车销量的</w:t>
      </w:r>
      <w:r>
        <w:rPr>
          <w:spacing w:val="-37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>29.37%</w:t>
      </w:r>
      <w:r>
        <w:rPr>
          <w:spacing w:val="6"/>
        </w:rPr>
        <w:t>，同比提升</w:t>
      </w:r>
      <w:r>
        <w:rPr>
          <w:spacing w:val="-34"/>
        </w:rPr>
        <w:t xml:space="preserve"> </w:t>
      </w:r>
      <w:r>
        <w:rPr>
          <w:rFonts w:ascii="Times New Roman" w:eastAsia="Times New Roman" w:hAnsi="Times New Roman" w:cs="Times New Roman"/>
          <w:spacing w:val="6"/>
        </w:rPr>
        <w:t>7.4</w:t>
      </w:r>
      <w:r>
        <w:rPr>
          <w:rFonts w:ascii="Times New Roman" w:eastAsia="Times New Roman" w:hAnsi="Times New Roman" w:cs="Times New Roman"/>
          <w:spacing w:val="5"/>
        </w:rPr>
        <w:t xml:space="preserve">5 </w:t>
      </w:r>
      <w:r>
        <w:rPr>
          <w:spacing w:val="5"/>
        </w:rPr>
        <w:t>个百分点。</w:t>
      </w:r>
    </w:p>
    <w:p>
      <w:pPr>
        <w:spacing w:before="19"/>
      </w:pPr>
    </w:p>
    <w:p>
      <w:pPr>
        <w:spacing w:before="19"/>
      </w:pPr>
    </w:p>
    <w:p>
      <w:pPr>
        <w:sectPr>
          <w:headerReference w:type="default" r:id="rId51"/>
          <w:footerReference w:type="default" r:id="rId52"/>
          <w:type w:val="continuous"/>
          <w:pgSz w:w="11907" w:h="16839"/>
          <w:pgMar w:top="400" w:right="708" w:bottom="703" w:left="906" w:header="0" w:footer="422" w:gutter="0"/>
          <w:pgNumType w:start="15"/>
          <w:cols w:num="1" w:space="708" w:equalWidth="0">
            <w:col w:w="10292" w:space="0"/>
          </w:cols>
        </w:sectPr>
      </w:pPr>
    </w:p>
    <w:tbl>
      <w:tblPr>
        <w:tblStyle w:val="TableNormal2"/>
        <w:tblW w:w="4942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14"/>
        <w:gridCol w:w="4131"/>
        <w:gridCol w:w="497"/>
      </w:tblGrid>
      <w:tr>
        <w:tblPrEx>
          <w:tblW w:w="4942" w:type="dxa"/>
          <w:tblInd w:w="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55"/>
        </w:trPr>
        <w:tc>
          <w:tcPr>
            <w:tcW w:w="4942" w:type="dxa"/>
            <w:gridSpan w:val="3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line="226" w:lineRule="auto"/>
              <w:ind w:left="31"/>
              <w:rPr>
                <w:rFonts w:ascii="KaiTi" w:eastAsia="KaiTi" w:hAnsi="KaiTi" w:cs="KaiTi"/>
                <w:sz w:val="19"/>
                <w:szCs w:val="19"/>
              </w:rPr>
            </w:pPr>
            <w:r>
              <w:rPr>
                <w:rFonts w:ascii="KaiTi" w:eastAsia="KaiTi" w:hAnsi="KaiTi" w:cs="KaiTi"/>
                <w:spacing w:val="4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图表</w:t>
            </w:r>
            <w:r>
              <w:rPr>
                <w:rFonts w:ascii="KaiTi" w:eastAsia="KaiTi" w:hAnsi="KaiTi" w:cs="KaiTi"/>
                <w:spacing w:val="-25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 xml:space="preserve">7.2022-2023 </w:t>
            </w:r>
            <w:r>
              <w:rPr>
                <w:rFonts w:ascii="KaiTi" w:eastAsia="KaiTi" w:hAnsi="KaiTi" w:cs="KaiTi"/>
                <w:spacing w:val="4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</w:t>
            </w:r>
            <w:r>
              <w:rPr>
                <w:rFonts w:ascii="KaiTi" w:eastAsia="KaiTi" w:hAnsi="KaiTi" w:cs="KaiTi"/>
                <w:spacing w:val="-29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11</w:t>
            </w:r>
            <w:r>
              <w:rPr>
                <w:b/>
                <w:bCs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ascii="KaiTi" w:eastAsia="KaiTi" w:hAnsi="KaiTi" w:cs="KaiTi"/>
                <w:spacing w:val="4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月国内</w:t>
            </w:r>
            <w:r>
              <w:rPr>
                <w:rFonts w:ascii="KaiTi" w:eastAsia="KaiTi" w:hAnsi="KaiTi" w:cs="KaiTi"/>
                <w:spacing w:val="-38"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BEV</w:t>
            </w:r>
            <w:r>
              <w:rPr>
                <w:b/>
                <w:bCs/>
                <w:spacing w:val="-25"/>
                <w:sz w:val="19"/>
                <w:szCs w:val="19"/>
              </w:rPr>
              <w:t xml:space="preserve"> </w:t>
            </w:r>
            <w:r>
              <w:rPr>
                <w:rFonts w:ascii="KaiTi" w:eastAsia="KaiTi" w:hAnsi="KaiTi" w:cs="KaiTi"/>
                <w:spacing w:val="4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、</w:t>
            </w:r>
            <w:r>
              <w:rPr>
                <w:b/>
                <w:bCs/>
                <w:sz w:val="19"/>
                <w:szCs w:val="19"/>
              </w:rPr>
              <w:t>PHEV</w:t>
            </w:r>
            <w:r>
              <w:rPr>
                <w:b/>
                <w:bCs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ascii="KaiTi" w:eastAsia="KaiTi" w:hAnsi="KaiTi" w:cs="KaiTi"/>
                <w:spacing w:val="4"/>
                <w:sz w:val="19"/>
                <w:szCs w:val="19"/>
                <w14:textOutline w14:w="361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月度销量</w:t>
            </w:r>
          </w:p>
        </w:tc>
      </w:tr>
      <w:tr>
        <w:tblPrEx>
          <w:tblW w:w="4942" w:type="dxa"/>
          <w:tblInd w:w="5" w:type="dxa"/>
          <w:tblLayout w:type="fixed"/>
        </w:tblPrEx>
        <w:trPr>
          <w:trHeight w:val="282"/>
        </w:trPr>
        <w:tc>
          <w:tcPr>
            <w:tcW w:w="314" w:type="dxa"/>
            <w:tcBorders>
              <w:top w:val="single" w:sz="2" w:space="0" w:color="000000"/>
              <w:bottom w:val="nil"/>
            </w:tcBorders>
            <w:vAlign w:val="top"/>
          </w:tcPr>
          <w:p>
            <w:pPr>
              <w:pStyle w:val="TableText"/>
              <w:spacing w:before="254" w:line="195" w:lineRule="auto"/>
              <w:ind w:left="142"/>
            </w:pPr>
            <w:r>
              <w:rPr>
                <w:spacing w:val="1"/>
              </w:rPr>
              <w:t>90</w:t>
            </w:r>
          </w:p>
          <w:p>
            <w:pPr>
              <w:pStyle w:val="TableText"/>
              <w:spacing w:before="125" w:line="195" w:lineRule="auto"/>
              <w:ind w:left="145"/>
            </w:pPr>
            <w:r>
              <w:t>80</w:t>
            </w:r>
          </w:p>
          <w:p>
            <w:pPr>
              <w:pStyle w:val="TableText"/>
              <w:spacing w:before="124" w:line="195" w:lineRule="auto"/>
              <w:ind w:left="142"/>
            </w:pPr>
            <w:r>
              <w:rPr>
                <w:spacing w:val="1"/>
              </w:rPr>
              <w:t>70</w:t>
            </w:r>
          </w:p>
          <w:p>
            <w:pPr>
              <w:pStyle w:val="TableText"/>
              <w:spacing w:before="125" w:line="195" w:lineRule="auto"/>
              <w:ind w:left="142"/>
            </w:pPr>
            <w:r>
              <w:rPr>
                <w:spacing w:val="1"/>
              </w:rPr>
              <w:t>60</w:t>
            </w:r>
          </w:p>
          <w:p>
            <w:pPr>
              <w:pStyle w:val="TableText"/>
              <w:spacing w:before="124" w:line="195" w:lineRule="auto"/>
              <w:ind w:left="143"/>
            </w:pPr>
            <w:r>
              <w:rPr>
                <w:spacing w:val="1"/>
              </w:rPr>
              <w:t>50</w:t>
            </w:r>
          </w:p>
          <w:p>
            <w:pPr>
              <w:pStyle w:val="TableText"/>
              <w:spacing w:before="125" w:line="195" w:lineRule="auto"/>
              <w:ind w:left="139"/>
            </w:pPr>
            <w:r>
              <w:rPr>
                <w:spacing w:val="3"/>
              </w:rPr>
              <w:t>40</w:t>
            </w:r>
          </w:p>
          <w:p>
            <w:pPr>
              <w:pStyle w:val="TableText"/>
              <w:spacing w:before="125" w:line="195" w:lineRule="auto"/>
              <w:ind w:left="142"/>
            </w:pPr>
            <w:r>
              <w:rPr>
                <w:spacing w:val="1"/>
              </w:rPr>
              <w:t>30</w:t>
            </w:r>
          </w:p>
          <w:p>
            <w:pPr>
              <w:pStyle w:val="TableText"/>
              <w:spacing w:before="125" w:line="195" w:lineRule="auto"/>
              <w:ind w:left="139"/>
            </w:pPr>
            <w:r>
              <w:rPr>
                <w:spacing w:val="2"/>
              </w:rPr>
              <w:t>20</w:t>
            </w:r>
          </w:p>
          <w:p>
            <w:pPr>
              <w:pStyle w:val="TableText"/>
              <w:spacing w:before="125" w:line="195" w:lineRule="auto"/>
              <w:ind w:left="153"/>
            </w:pPr>
            <w:r>
              <w:rPr>
                <w:spacing w:val="-2"/>
              </w:rPr>
              <w:t>10</w:t>
            </w:r>
          </w:p>
        </w:tc>
        <w:tc>
          <w:tcPr>
            <w:tcW w:w="4131" w:type="dxa"/>
            <w:tcBorders>
              <w:top w:val="single" w:sz="2" w:space="0" w:color="000000"/>
            </w:tcBorders>
            <w:vAlign w:val="top"/>
          </w:tcPr>
          <w:p>
            <w:pPr>
              <w:spacing w:before="126" w:line="184" w:lineRule="auto"/>
              <w:ind w:left="47"/>
              <w:rPr>
                <w:rFonts w:ascii="STKaiti" w:eastAsia="STKaiti" w:hAnsi="STKaiti" w:cs="STKaiti"/>
                <w:sz w:val="13"/>
                <w:szCs w:val="13"/>
              </w:rPr>
            </w:pPr>
            <w:r>
              <w:rPr>
                <w:rFonts w:ascii="STKaiti" w:eastAsia="STKaiti" w:hAnsi="STKaiti" w:cs="STKaiti"/>
                <w:spacing w:val="-3"/>
                <w:sz w:val="13"/>
                <w:szCs w:val="13"/>
              </w:rPr>
              <w:t>（万辆）</w:t>
            </w:r>
          </w:p>
        </w:tc>
        <w:tc>
          <w:tcPr>
            <w:tcW w:w="497" w:type="dxa"/>
            <w:tcBorders>
              <w:top w:val="single" w:sz="2" w:space="0" w:color="000000"/>
              <w:bottom w:val="nil"/>
            </w:tcBorders>
            <w:vAlign w:val="top"/>
          </w:tcPr>
          <w:p>
            <w:pPr>
              <w:pStyle w:val="TableText"/>
              <w:spacing w:before="254" w:line="247" w:lineRule="exact"/>
              <w:ind w:left="40"/>
            </w:pPr>
            <w:r>
              <w:rPr>
                <w:spacing w:val="4"/>
                <w:position w:val="11"/>
              </w:rPr>
              <w:t>400%</w:t>
            </w:r>
          </w:p>
          <w:p>
            <w:pPr>
              <w:pStyle w:val="TableText"/>
              <w:spacing w:line="194" w:lineRule="auto"/>
              <w:ind w:left="44"/>
            </w:pPr>
            <w:r>
              <w:rPr>
                <w:spacing w:val="3"/>
              </w:rPr>
              <w:t>350%</w:t>
            </w:r>
          </w:p>
          <w:p>
            <w:pPr>
              <w:pStyle w:val="TableText"/>
              <w:spacing w:before="124" w:line="195" w:lineRule="auto"/>
              <w:ind w:left="44"/>
            </w:pPr>
            <w:r>
              <w:rPr>
                <w:spacing w:val="3"/>
              </w:rPr>
              <w:t>300%</w:t>
            </w:r>
          </w:p>
          <w:p>
            <w:pPr>
              <w:pStyle w:val="TableText"/>
              <w:spacing w:before="125" w:line="195" w:lineRule="auto"/>
              <w:ind w:left="41"/>
            </w:pPr>
            <w:r>
              <w:rPr>
                <w:spacing w:val="4"/>
              </w:rPr>
              <w:t>250%</w:t>
            </w:r>
          </w:p>
          <w:p>
            <w:pPr>
              <w:pStyle w:val="TableText"/>
              <w:spacing w:before="124" w:line="195" w:lineRule="auto"/>
              <w:ind w:left="41"/>
            </w:pPr>
            <w:r>
              <w:rPr>
                <w:spacing w:val="4"/>
              </w:rPr>
              <w:t>200%</w:t>
            </w:r>
          </w:p>
          <w:p>
            <w:pPr>
              <w:pStyle w:val="TableText"/>
              <w:spacing w:before="125" w:line="195" w:lineRule="auto"/>
              <w:ind w:left="54"/>
            </w:pPr>
            <w:r>
              <w:t>150%</w:t>
            </w:r>
          </w:p>
          <w:p>
            <w:pPr>
              <w:pStyle w:val="TableText"/>
              <w:spacing w:before="125" w:line="195" w:lineRule="auto"/>
              <w:ind w:left="54"/>
            </w:pPr>
            <w:r>
              <w:t>100%</w:t>
            </w:r>
          </w:p>
          <w:p>
            <w:pPr>
              <w:pStyle w:val="TableText"/>
              <w:spacing w:before="125" w:line="195" w:lineRule="auto"/>
              <w:ind w:left="45"/>
            </w:pPr>
            <w:r>
              <w:rPr>
                <w:spacing w:val="2"/>
              </w:rPr>
              <w:t>50%</w:t>
            </w:r>
          </w:p>
          <w:p>
            <w:pPr>
              <w:pStyle w:val="TableText"/>
              <w:spacing w:before="125" w:line="195" w:lineRule="auto"/>
              <w:ind w:left="43"/>
            </w:pPr>
            <w:r>
              <w:rPr>
                <w:spacing w:val="3"/>
              </w:rPr>
              <w:t>0%</w:t>
            </w:r>
          </w:p>
        </w:tc>
      </w:tr>
    </w:tbl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https://d.book118.com/847002106012006030</w:t>
        </w:r>
      </w:hyperlink>
    </w:p>
    <w:p/>
    <w:sectPr>
      <w:headerReference w:type="default" r:id="rId54"/>
      <w:footerReference w:type="default" r:id="rId55"/>
      <w:type w:val="continuous"/>
      <w:pgSz w:w="11907" w:h="16839"/>
      <w:pgMar w:top="400" w:right="708" w:bottom="703" w:left="906" w:header="0" w:footer="422" w:gutter="0"/>
      <w:pgNumType w:start="16"/>
      <w:cols w:num="2" w:space="708" w:equalWidth="0">
        <w:col w:w="5083" w:space="100"/>
        <w:col w:w="510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1918672861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49" style="width:514.35pt;height:1pt;margin-top:806.74pt;margin-left:45.6pt;mso-position-horizontal-relative:page;mso-position-vertical-relative:page;position:absolute;z-index:251658240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8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1" w:history="1">
          <w:r>
            <w:rPr>
              <w:rFonts w:ascii="Times New Roman" w:eastAsia="Times New Roman" w:hAnsi="Times New Roman" w:cs="Times New Roman"/>
              <w:spacing w:val="2"/>
            </w:rPr>
            <w:t>2</w:t>
          </w:r>
        </w:hyperlink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545088991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58" style="width:514.35pt;height:1pt;margin-top:806.74pt;margin-left:45.6pt;mso-position-horizontal-relative:page;mso-position-vertical-relative:page;position:absolute;z-index:251667456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3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89" w:history="1">
          <w:r>
            <w:rPr>
              <w:rFonts w:ascii="Times New Roman" w:eastAsia="Times New Roman" w:hAnsi="Times New Roman" w:cs="Times New Roman"/>
              <w:spacing w:val="2"/>
            </w:rPr>
            <w:t>5</w:t>
          </w:r>
        </w:hyperlink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2040402470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59" style="width:514.35pt;height:1pt;margin-top:806.74pt;margin-left:45.6pt;mso-position-horizontal-relative:page;mso-position-vertical-relative:page;position:absolute;z-index:251668480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4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90" w:history="1">
          <w:r>
            <w:rPr>
              <w:rFonts w:ascii="Times New Roman" w:eastAsia="Times New Roman" w:hAnsi="Times New Roman" w:cs="Times New Roman"/>
              <w:spacing w:val="2"/>
            </w:rPr>
            <w:t>6</w:t>
          </w:r>
        </w:hyperlink>
      </w:p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487777427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60" style="width:514.35pt;height:1pt;margin-top:806.74pt;margin-left:45.6pt;mso-position-horizontal-relative:page;mso-position-vertical-relative:page;position:absolute;z-index:251669504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4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90" w:history="1">
          <w:r>
            <w:rPr>
              <w:rFonts w:ascii="Times New Roman" w:eastAsia="Times New Roman" w:hAnsi="Times New Roman" w:cs="Times New Roman"/>
              <w:spacing w:val="2"/>
            </w:rPr>
            <w:t>6</w:t>
          </w:r>
        </w:hyperlink>
      </w:p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1330960077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61" style="width:514.35pt;height:1pt;margin-top:806.74pt;margin-left:45.6pt;mso-position-horizontal-relative:page;mso-position-vertical-relative:page;position:absolute;z-index:251670528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4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90" w:history="1">
          <w:r>
            <w:rPr>
              <w:rFonts w:ascii="Times New Roman" w:eastAsia="Times New Roman" w:hAnsi="Times New Roman" w:cs="Times New Roman"/>
              <w:spacing w:val="2"/>
            </w:rPr>
            <w:t>6</w:t>
          </w:r>
        </w:hyperlink>
      </w:p>
    </w:sdtContent>
  </w:sdt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1119724248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62" style="width:514.35pt;height:1pt;margin-top:806.74pt;margin-left:45.6pt;mso-position-horizontal-relative:page;mso-position-vertical-relative:page;position:absolute;z-index:251671552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4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90" w:history="1">
          <w:r>
            <w:rPr>
              <w:rFonts w:ascii="Times New Roman" w:eastAsia="Times New Roman" w:hAnsi="Times New Roman" w:cs="Times New Roman"/>
              <w:spacing w:val="2"/>
            </w:rPr>
            <w:t>6</w:t>
          </w:r>
        </w:hyperlink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1519367401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50" style="width:514.35pt;height:1pt;margin-top:806.74pt;margin-left:45.6pt;mso-position-horizontal-relative:page;mso-position-vertical-relative:page;position:absolute;z-index:251659264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4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8"/>
            <w:w w:val="101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19" w:history="1">
          <w:r>
            <w:rPr>
              <w:rFonts w:ascii="Times New Roman" w:eastAsia="Times New Roman" w:hAnsi="Times New Roman" w:cs="Times New Roman"/>
              <w:spacing w:val="2"/>
            </w:rPr>
            <w:t>3</w:t>
          </w:r>
        </w:hyperlink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119589868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51" style="width:514.35pt;height:1pt;margin-top:806.74pt;margin-left:45.6pt;mso-position-horizontal-relative:page;mso-position-vertical-relative:page;position:absolute;z-index:251660288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4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8"/>
            <w:w w:val="101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19" w:history="1">
          <w:r>
            <w:rPr>
              <w:rFonts w:ascii="Times New Roman" w:eastAsia="Times New Roman" w:hAnsi="Times New Roman" w:cs="Times New Roman"/>
              <w:spacing w:val="2"/>
            </w:rPr>
            <w:t>3</w:t>
          </w:r>
        </w:hyperlink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783778043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52" style="width:514.35pt;height:1pt;margin-top:806.74pt;margin-left:45.6pt;mso-position-horizontal-relative:page;mso-position-vertical-relative:page;position:absolute;z-index:251661312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8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54" w:history="1">
          <w:r>
            <w:rPr>
              <w:rFonts w:ascii="Times New Roman" w:eastAsia="Times New Roman" w:hAnsi="Times New Roman" w:cs="Times New Roman"/>
              <w:spacing w:val="2"/>
            </w:rPr>
            <w:t>4</w:t>
          </w:r>
        </w:hyperlink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1630858371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53" style="width:514.35pt;height:1pt;margin-top:806.74pt;margin-left:45.6pt;mso-position-horizontal-relative:page;mso-position-vertical-relative:page;position:absolute;z-index:251662336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8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54" w:history="1">
          <w:r>
            <w:rPr>
              <w:rFonts w:ascii="Times New Roman" w:eastAsia="Times New Roman" w:hAnsi="Times New Roman" w:cs="Times New Roman"/>
              <w:spacing w:val="2"/>
            </w:rPr>
            <w:t>4</w:t>
          </w:r>
        </w:hyperlink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463042244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54" style="width:514.35pt;height:1pt;margin-top:806.74pt;margin-left:45.6pt;mso-position-horizontal-relative:page;mso-position-vertical-relative:page;position:absolute;z-index:251663360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3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89" w:history="1">
          <w:r>
            <w:rPr>
              <w:rFonts w:ascii="Times New Roman" w:eastAsia="Times New Roman" w:hAnsi="Times New Roman" w:cs="Times New Roman"/>
              <w:spacing w:val="2"/>
            </w:rPr>
            <w:t>5</w:t>
          </w:r>
        </w:hyperlink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1210926581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55" style="width:514.35pt;height:1pt;margin-top:806.74pt;margin-left:45.6pt;mso-position-horizontal-relative:page;mso-position-vertical-relative:page;position:absolute;z-index:251664384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3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89" w:history="1">
          <w:r>
            <w:rPr>
              <w:rFonts w:ascii="Times New Roman" w:eastAsia="Times New Roman" w:hAnsi="Times New Roman" w:cs="Times New Roman"/>
              <w:spacing w:val="2"/>
            </w:rPr>
            <w:t>5</w:t>
          </w:r>
        </w:hyperlink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339749822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56" style="width:514.35pt;height:1pt;margin-top:806.74pt;margin-left:45.6pt;mso-position-horizontal-relative:page;mso-position-vertical-relative:page;position:absolute;z-index:251665408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3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89" w:history="1">
          <w:r>
            <w:rPr>
              <w:rFonts w:ascii="Times New Roman" w:eastAsia="Times New Roman" w:hAnsi="Times New Roman" w:cs="Times New Roman"/>
              <w:spacing w:val="2"/>
            </w:rPr>
            <w:t>5</w:t>
          </w:r>
        </w:hyperlink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19"/>
        <w:szCs w:val="19"/>
      </w:rPr>
      <w:id w:val="383006533"/>
      <w:docPartObj>
        <w:docPartGallery w:val="Table of Contents"/>
        <w:docPartUnique/>
      </w:docPartObj>
    </w:sdtPr>
    <w:sdtEndPr>
      <w:rPr>
        <w:rFonts w:ascii="Times New Roman" w:eastAsia="Times New Roman" w:hAnsi="Times New Roman" w:cs="Times New Roman"/>
        <w:sz w:val="19"/>
        <w:szCs w:val="19"/>
      </w:rPr>
    </w:sdtEndPr>
    <w:sdtContent>
      <w:p>
        <w:pPr>
          <w:pStyle w:val="BodyText"/>
          <w:spacing w:before="49" w:line="215" w:lineRule="auto"/>
          <w:ind w:left="9"/>
          <w:rPr>
            <w:rFonts w:ascii="Times New Roman" w:eastAsia="Times New Roman" w:hAnsi="Times New Roman" w:cs="Times New Roman"/>
          </w:rPr>
        </w:pPr>
        <w:r>
          <w:pict>
            <v:shape id="_x0000_s2057" style="width:514.35pt;height:1pt;margin-top:806.74pt;margin-left:45.6pt;mso-position-horizontal-relative:page;mso-position-vertical-relative:page;position:absolute;z-index:251666432" coordorigin="0,0" coordsize="10286,20" o:allowincell="f" path="m,19l1999,19l1999,l,l,19xem1999,19l2018,19l2018,l1999,l1999,19xem2018,19l8286,19l8286,l2018,l2018,19xem8286,19l8306,19l8306,l8286,l8286,19xem8305,19l10286,19l10286,l8305,l8305,19xe" filled="t" fillcolor="#a7001d" stroked="f"/>
          </w:pic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</w:t>
        </w:r>
        <w:r>
          <w:rPr>
            <w:spacing w:val="-13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>1</w:t>
        </w:r>
        <w:r>
          <w:rPr>
            <w:rFonts w:ascii="Times New Roman" w:eastAsia="Times New Roman" w:hAnsi="Times New Roman" w:cs="Times New Roman"/>
            <w:spacing w:val="19"/>
          </w:rPr>
          <w:t xml:space="preserve"> </w:t>
        </w:r>
        <w:r>
          <w:rPr>
            <w:spacing w:val="2"/>
          </w:rPr>
          <w:t>月</w:t>
        </w:r>
        <w:r>
          <w:rPr>
            <w:spacing w:val="-19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10  </w:t>
        </w:r>
        <w:r>
          <w:rPr>
            <w:spacing w:val="2"/>
          </w:rPr>
          <w:t>日</w:t>
        </w:r>
        <w:r>
          <w:rPr>
            <w:spacing w:val="3"/>
          </w:rPr>
          <w:t xml:space="preserve">                       </w:t>
        </w:r>
        <w:r>
          <w:rPr>
            <w:spacing w:val="2"/>
          </w:rPr>
          <w:t>新能源汽车行业</w:t>
        </w:r>
        <w:r>
          <w:rPr>
            <w:spacing w:val="-36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</w:rPr>
          <w:t xml:space="preserve">2024 </w:t>
        </w:r>
        <w:r>
          <w:rPr>
            <w:spacing w:val="2"/>
          </w:rPr>
          <w:t>年度策略</w:t>
        </w:r>
        <w:r>
          <w:rPr>
            <w:spacing w:val="2"/>
          </w:rPr>
          <w:t xml:space="preserve">                                     </w:t>
        </w:r>
        <w:hyperlink w:anchor="bookmark89" w:history="1">
          <w:r>
            <w:rPr>
              <w:rFonts w:ascii="Times New Roman" w:eastAsia="Times New Roman" w:hAnsi="Times New Roman" w:cs="Times New Roman"/>
              <w:spacing w:val="2"/>
            </w:rPr>
            <w:t>5</w:t>
          </w:r>
        </w:hyperlink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KaiTi" w:eastAsia="KaiTi" w:hAnsi="KaiTi" w:cs="KaiTi"/>
      <w:sz w:val="19"/>
      <w:szCs w:val="19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Times New Roman" w:eastAsia="Times New Roman" w:hAnsi="Times New Roman" w:cs="Times New Roman"/>
      <w:sz w:val="13"/>
      <w:szCs w:val="13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2.xml" /><Relationship Id="rId12" Type="http://schemas.openxmlformats.org/officeDocument/2006/relationships/header" Target="header5.xml" /><Relationship Id="rId13" Type="http://schemas.openxmlformats.org/officeDocument/2006/relationships/footer" Target="footer3.xml" /><Relationship Id="rId14" Type="http://schemas.openxmlformats.org/officeDocument/2006/relationships/header" Target="header6.xml" /><Relationship Id="rId15" Type="http://schemas.openxmlformats.org/officeDocument/2006/relationships/footer" Target="footer4.xml" /><Relationship Id="rId16" Type="http://schemas.openxmlformats.org/officeDocument/2006/relationships/header" Target="header7.xml" /><Relationship Id="rId17" Type="http://schemas.openxmlformats.org/officeDocument/2006/relationships/footer" Target="footer5.xml" /><Relationship Id="rId18" Type="http://schemas.openxmlformats.org/officeDocument/2006/relationships/header" Target="header8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image" Target="media/image3.png" /><Relationship Id="rId21" Type="http://schemas.openxmlformats.org/officeDocument/2006/relationships/image" Target="media/image4.jpeg" /><Relationship Id="rId22" Type="http://schemas.openxmlformats.org/officeDocument/2006/relationships/image" Target="media/image5.png" /><Relationship Id="rId23" Type="http://schemas.openxmlformats.org/officeDocument/2006/relationships/image" Target="media/image6.png" /><Relationship Id="rId24" Type="http://schemas.openxmlformats.org/officeDocument/2006/relationships/image" Target="media/image7.png" /><Relationship Id="rId25" Type="http://schemas.openxmlformats.org/officeDocument/2006/relationships/header" Target="header9.xml" /><Relationship Id="rId26" Type="http://schemas.openxmlformats.org/officeDocument/2006/relationships/footer" Target="footer7.xml" /><Relationship Id="rId27" Type="http://schemas.openxmlformats.org/officeDocument/2006/relationships/header" Target="header10.xml" /><Relationship Id="rId28" Type="http://schemas.openxmlformats.org/officeDocument/2006/relationships/footer" Target="footer8.xml" /><Relationship Id="rId29" Type="http://schemas.openxmlformats.org/officeDocument/2006/relationships/image" Target="media/image8.png" /><Relationship Id="rId3" Type="http://schemas.openxmlformats.org/officeDocument/2006/relationships/fontTable" Target="fontTable.xml" /><Relationship Id="rId30" Type="http://schemas.openxmlformats.org/officeDocument/2006/relationships/image" Target="media/image9.png" /><Relationship Id="rId31" Type="http://schemas.openxmlformats.org/officeDocument/2006/relationships/header" Target="header11.xml" /><Relationship Id="rId32" Type="http://schemas.openxmlformats.org/officeDocument/2006/relationships/footer" Target="footer9.xml" /><Relationship Id="rId33" Type="http://schemas.openxmlformats.org/officeDocument/2006/relationships/image" Target="media/image10.png" /><Relationship Id="rId34" Type="http://schemas.openxmlformats.org/officeDocument/2006/relationships/image" Target="media/image11.png" /><Relationship Id="rId35" Type="http://schemas.openxmlformats.org/officeDocument/2006/relationships/image" Target="media/image12.png" /><Relationship Id="rId36" Type="http://schemas.openxmlformats.org/officeDocument/2006/relationships/image" Target="media/image13.png" /><Relationship Id="rId37" Type="http://schemas.openxmlformats.org/officeDocument/2006/relationships/image" Target="media/image14.png" /><Relationship Id="rId38" Type="http://schemas.openxmlformats.org/officeDocument/2006/relationships/image" Target="media/image15.jpeg" /><Relationship Id="rId39" Type="http://schemas.openxmlformats.org/officeDocument/2006/relationships/image" Target="media/image16.png" /><Relationship Id="rId4" Type="http://schemas.openxmlformats.org/officeDocument/2006/relationships/image" Target="media/image1.jpeg" /><Relationship Id="rId40" Type="http://schemas.openxmlformats.org/officeDocument/2006/relationships/header" Target="header12.xml" /><Relationship Id="rId41" Type="http://schemas.openxmlformats.org/officeDocument/2006/relationships/footer" Target="footer10.xml" /><Relationship Id="rId42" Type="http://schemas.openxmlformats.org/officeDocument/2006/relationships/header" Target="header13.xml" /><Relationship Id="rId43" Type="http://schemas.openxmlformats.org/officeDocument/2006/relationships/footer" Target="footer11.xml" /><Relationship Id="rId44" Type="http://schemas.openxmlformats.org/officeDocument/2006/relationships/image" Target="media/image17.png" /><Relationship Id="rId45" Type="http://schemas.openxmlformats.org/officeDocument/2006/relationships/image" Target="media/image18.png" /><Relationship Id="rId46" Type="http://schemas.openxmlformats.org/officeDocument/2006/relationships/image" Target="media/image19.png" /><Relationship Id="rId47" Type="http://schemas.openxmlformats.org/officeDocument/2006/relationships/image" Target="media/image20.png" /><Relationship Id="rId48" Type="http://schemas.openxmlformats.org/officeDocument/2006/relationships/image" Target="media/image21.png" /><Relationship Id="rId49" Type="http://schemas.openxmlformats.org/officeDocument/2006/relationships/header" Target="header14.xml" /><Relationship Id="rId5" Type="http://schemas.openxmlformats.org/officeDocument/2006/relationships/header" Target="header1.xml" /><Relationship Id="rId50" Type="http://schemas.openxmlformats.org/officeDocument/2006/relationships/footer" Target="footer12.xml" /><Relationship Id="rId51" Type="http://schemas.openxmlformats.org/officeDocument/2006/relationships/header" Target="header15.xml" /><Relationship Id="rId52" Type="http://schemas.openxmlformats.org/officeDocument/2006/relationships/footer" Target="footer13.xml" /><Relationship Id="rId53" Type="http://schemas.openxmlformats.org/officeDocument/2006/relationships/hyperlink" Target="https://d.book118.com/847002106012006030" TargetMode="External" /><Relationship Id="rId54" Type="http://schemas.openxmlformats.org/officeDocument/2006/relationships/header" Target="header16.xml" /><Relationship Id="rId55" Type="http://schemas.openxmlformats.org/officeDocument/2006/relationships/footer" Target="footer14.xml" /><Relationship Id="rId56" Type="http://schemas.openxmlformats.org/officeDocument/2006/relationships/theme" Target="theme/theme1.xml" /><Relationship Id="rId57" Type="http://schemas.openxmlformats.org/officeDocument/2006/relationships/styles" Target="styles.xml" /><Relationship Id="rId6" Type="http://schemas.openxmlformats.org/officeDocument/2006/relationships/header" Target="header2.xml" /><Relationship Id="rId7" Type="http://schemas.openxmlformats.org/officeDocument/2006/relationships/image" Target="media/image2.jpeg" /><Relationship Id="rId8" Type="http://schemas.openxmlformats.org/officeDocument/2006/relationships/header" Target="header3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2024-01-10T18:11:11Z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2024-01-10T21:03:19Z</vt:filetime>
  </property>
  <property fmtid="{D5CDD505-2E9C-101B-9397-08002B2CF9AE}" pid="3" name="CRO">
    <vt:lpwstr>wqlLaW5nc29mdCBQREYgdG8gV1BTIDkw</vt:lpwstr>
  </property>
</Properties>
</file>