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5" w:history="1">
        <w:r>
          <w:rPr>
            <w:rFonts w:ascii="仿宋" w:eastAsia="仿宋" w:hAnsi="仿宋" w:cs="仿宋" w:hint="eastAsia"/>
            <w:lang w:eastAsia="zh-CN"/>
          </w:rPr>
          <w:t>一、电动机筹建公司基本信息</w:t>
        </w:r>
        <w:r>
          <w:tab/>
        </w:r>
        <w:r>
          <w:fldChar w:fldCharType="begin"/>
        </w:r>
        <w:r>
          <w:instrText xml:space="preserve"> PAGEREF _Toc22465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_Toc17288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eastAsia="zh-CN"/>
          </w:rPr>
          <w:t>(一)、电动机项目选址原则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4" w:history="1">
        <w:r>
          <w:rPr>
            <w:rFonts w:ascii="仿宋" w:eastAsia="仿宋" w:hAnsi="仿宋" w:cs="仿宋" w:hint="eastAsia"/>
            <w:lang w:eastAsia="zh-CN"/>
          </w:rPr>
          <w:t>(五)、电动机项目选址综合评价</w:t>
        </w:r>
        <w:r>
          <w:tab/>
        </w:r>
        <w:r>
          <w:fldChar w:fldCharType="begin"/>
        </w:r>
        <w:r>
          <w:instrText xml:space="preserve"> PAGEREF _Toc27274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_Toc12379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(七)、电动机项目建设必要性分析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(一)、电动机项目背景分析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(二)、电动机项目建设必要性分析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八、电动机项目经济效益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(三)、电动机项目盈利能力分析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(一)、电动机项目进度安排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(二)、电动机项目实施保障措施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十一、电动机项目总结分析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(一)、社会责任电动机项目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_Toc20752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4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65"/>
      <w:r>
        <w:rPr>
          <w:rFonts w:ascii="仿宋" w:eastAsia="仿宋" w:hAnsi="仿宋" w:cs="仿宋" w:hint="eastAsia"/>
          <w:sz w:val="28"/>
          <w:lang w:eastAsia="zh-CN"/>
        </w:rPr>
        <w:t>一、电动机筹建公司基本信息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8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8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9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4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4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经营范围：从事XXX相关业务(企业依法自主选择经营电动机项目，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开展经营活动；依法须经批准的电动机项目，经相关部门批准后依批准的内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容开展经营活动；不得从事本市产业政策禁止和限制类电动机项目的经营活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73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https://d.book118.com/847200064015006034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20006401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2023-12-28T15:00:00Z</dcterms:created>
  <dcterms:modified xsi:type="dcterms:W3CDTF">2023-12-28T15:01:02Z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955CAEA759694BFDB329557A934BF447_11</vt:lpwstr>
  </property>
  <property fmtid="{D5CDD505-2E9C-101B-9397-08002B2CF9AE}" pid="3" name="KSOProductBuildVer">
    <vt:lpwstr>2052-12.1.0.16120</vt:lpwstr>
  </property>
</Properties>
</file>