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  <w:rPr>
          <w:rFonts w:ascii="Times New Roman"/>
          <w:sz w:val="19"/>
        </w:rPr>
      </w:pPr>
    </w:p>
    <w:p>
      <w:pPr>
        <w:spacing w:before="7" w:line="364" w:lineRule="auto"/>
        <w:ind w:left="4173" w:right="919" w:hanging="3803"/>
        <w:jc w:val="left"/>
        <w:rPr>
          <w:b/>
          <w:sz w:val="66"/>
        </w:rPr>
      </w:pPr>
      <w:r>
        <w:rPr>
          <w:b/>
          <w:spacing w:val="-28"/>
          <w:sz w:val="66"/>
        </w:rPr>
        <w:t xml:space="preserve">苏州研发中心 </w:t>
      </w:r>
      <w:r>
        <w:rPr>
          <w:b/>
          <w:sz w:val="66"/>
        </w:rPr>
        <w:t>2018</w:t>
      </w:r>
      <w:r>
        <w:rPr>
          <w:b/>
          <w:spacing w:val="-20"/>
          <w:sz w:val="66"/>
        </w:rPr>
        <w:t xml:space="preserve"> 年一期室外市政工程停车</w:t>
      </w:r>
      <w:r>
        <w:rPr>
          <w:b/>
          <w:sz w:val="66"/>
        </w:rPr>
        <w:t>场改造子工程项目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spacing w:before="522" w:line="364" w:lineRule="auto"/>
        <w:ind w:left="6484" w:right="7014" w:firstLine="0"/>
        <w:jc w:val="both"/>
        <w:rPr>
          <w:b/>
          <w:sz w:val="66"/>
        </w:rPr>
      </w:pPr>
      <w:r>
        <w:rPr>
          <w:b/>
          <w:w w:val="95"/>
          <w:sz w:val="66"/>
        </w:rPr>
        <w:t>施工组织设计</w:t>
      </w:r>
    </w:p>
    <w:p>
      <w:pPr>
        <w:spacing w:after="0" w:line="364" w:lineRule="auto"/>
        <w:jc w:val="both"/>
        <w:rPr>
          <w:sz w:val="66"/>
        </w:rPr>
        <w:sectPr>
          <w:headerReference w:type="default" r:id="rId4"/>
          <w:footerReference w:type="default" r:id="rId5"/>
          <w:type w:val="continuous"/>
          <w:pgSz w:w="17860" w:h="25270"/>
          <w:pgMar w:top="1420" w:right="1500" w:bottom="1920" w:left="2200" w:header="1088" w:footer="173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Heading1"/>
        <w:spacing w:before="43"/>
        <w:ind w:left="5134"/>
      </w:pPr>
      <w:r>
        <w:t>第一章：编制说明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184" w:right="495" w:firstLine="809"/>
      </w:pPr>
      <w:r>
        <w:rPr>
          <w:spacing w:val="-5"/>
        </w:rPr>
        <w:t xml:space="preserve">本施工组织设计编制的对象为苏州研发中心 </w:t>
      </w:r>
      <w:r>
        <w:t>2018</w:t>
      </w:r>
      <w:r>
        <w:rPr>
          <w:spacing w:val="-10"/>
        </w:rPr>
        <w:t xml:space="preserve"> 年一期室外市政工</w:t>
      </w:r>
      <w:r>
        <w:rPr>
          <w:spacing w:val="-19"/>
        </w:rPr>
        <w:t>程停车场改造子工程项目，编制的范围为该工程停车场工程施工，包括平面布置、施工方案、技术措施、施工总进度计划，对工期、质量、安全、</w:t>
      </w:r>
      <w:r>
        <w:rPr>
          <w:spacing w:val="-1"/>
        </w:rPr>
        <w:t>文明施工的目标控制与管理，对相关专业管理、协调、配合，与监理公司</w:t>
      </w:r>
      <w:r>
        <w:t>及天然气公司各个部门的配合等。</w:t>
      </w:r>
    </w:p>
    <w:p>
      <w:pPr>
        <w:pStyle w:val="BodyText"/>
        <w:spacing w:line="417" w:lineRule="auto"/>
        <w:ind w:left="184" w:right="694" w:firstLine="809"/>
        <w:jc w:val="both"/>
      </w:pPr>
      <w:r>
        <w:rPr>
          <w:spacing w:val="-10"/>
        </w:rPr>
        <w:t>对一些普遍常用的施工技术方案作简短描述，增加一些针对本工程特</w:t>
      </w:r>
      <w:r>
        <w:rPr>
          <w:spacing w:val="-14"/>
        </w:rPr>
        <w:t>点的施工方案，并制订确保本工程为合格工程、文明工地的措施，常见质量通病防治的一些技术、管理措施，体现针对性、指导性。</w:t>
      </w:r>
    </w:p>
    <w:p>
      <w:pPr>
        <w:pStyle w:val="Heading1"/>
        <w:spacing w:line="537" w:lineRule="exact"/>
      </w:pPr>
      <w:r>
        <w:t>（一</w:t>
      </w:r>
      <w:r>
        <w:rPr>
          <w:spacing w:val="-209"/>
        </w:rPr>
        <w:t>）</w:t>
      </w:r>
      <w:r>
        <w:t>、编制依据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184" w:right="705" w:firstLine="842"/>
        <w:jc w:val="both"/>
      </w:pPr>
      <w:r>
        <w:rPr>
          <w:spacing w:val="-13"/>
        </w:rPr>
        <w:t>本工程施工组织设计，主要依据目前国家对建设工程质量、工期、安</w:t>
      </w:r>
      <w:r>
        <w:rPr>
          <w:spacing w:val="-30"/>
        </w:rPr>
        <w:t>全生产、文明施工、降低噪声、保护环境等一系列的具体化要求，依照《中</w:t>
      </w:r>
      <w:r>
        <w:rPr>
          <w:spacing w:val="-28"/>
        </w:rPr>
        <w:t>华人民共和国建筑法》、《建设工程质量管理条例》、《国家现行建筑工程</w:t>
      </w:r>
      <w:r>
        <w:rPr>
          <w:spacing w:val="-44"/>
        </w:rPr>
        <w:t>施工与验收技术规范》。</w:t>
      </w:r>
    </w:p>
    <w:p>
      <w:pPr>
        <w:pStyle w:val="Heading1"/>
        <w:spacing w:line="537" w:lineRule="exact"/>
      </w:pPr>
      <w:r>
        <w:t>（二</w:t>
      </w:r>
      <w:r>
        <w:rPr>
          <w:spacing w:val="-209"/>
        </w:rPr>
        <w:t>）</w:t>
      </w:r>
      <w:r>
        <w:t>、施工规范：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84"/>
      </w:pPr>
      <w:r>
        <w:t>《城镇道路工程施工与质量验收规范</w:t>
      </w:r>
      <w:r>
        <w:rPr>
          <w:spacing w:val="-232"/>
        </w:rPr>
        <w:t>》</w:t>
      </w:r>
      <w:r>
        <w:t>（CJJ1-2008）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4" w:right="5970"/>
      </w:pPr>
      <w:r>
        <w:t>《公路软土路基路堤设计与施工技术规范》GB/T19001-ISO9001 质量体系标准</w:t>
      </w:r>
    </w:p>
    <w:p>
      <w:pPr>
        <w:pStyle w:val="BodyText"/>
        <w:spacing w:line="417" w:lineRule="auto"/>
        <w:ind w:left="184" w:right="474"/>
      </w:pPr>
      <w:r>
        <w:rPr>
          <w:b/>
          <w:spacing w:val="-32"/>
        </w:rPr>
        <w:t>(三)、</w:t>
      </w:r>
      <w:r>
        <w:rPr>
          <w:spacing w:val="-17"/>
        </w:rPr>
        <w:t>严格执行国家相关法规、规程、质量评定标准以及公司制定的质量、</w:t>
      </w:r>
      <w:r>
        <w:t>安全、技术管理等各项规定。</w:t>
      </w:r>
    </w:p>
    <w:p>
      <w:pPr>
        <w:pStyle w:val="Heading1"/>
        <w:tabs>
          <w:tab w:val="left" w:pos="6815"/>
        </w:tabs>
        <w:spacing w:line="537" w:lineRule="exact"/>
        <w:ind w:left="5134"/>
      </w:pPr>
      <w:r>
        <w:t>第二章</w:t>
        <w:tab/>
        <w:t>工程概况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022"/>
      </w:pPr>
      <w:r>
        <w:t>1、项目名称：苏州研发中心 2018 年一期室外市政工程停车场改造子</w:t>
      </w:r>
    </w:p>
    <w:p>
      <w:pPr>
        <w:spacing w:after="0"/>
        <w:sectPr>
          <w:headerReference w:type="default" r:id="rId6"/>
          <w:footerReference w:type="default" r:id="rId7"/>
          <w:pgSz w:w="17860" w:h="25270"/>
          <w:pgMar w:top="1420" w:right="1500" w:bottom="1920" w:left="2200" w:header="1088" w:footer="173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43"/>
        <w:ind w:left="184"/>
      </w:pPr>
      <w:r>
        <w:t>工程项目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84" w:right="701" w:firstLine="838"/>
      </w:pPr>
      <w:r>
        <w:t>2、工期控制目标：本工程工期为</w:t>
      </w:r>
      <w:r>
        <w:rPr>
          <w:spacing w:val="-5"/>
        </w:rPr>
        <w:t>（45）</w:t>
      </w:r>
      <w:r>
        <w:rPr>
          <w:spacing w:val="-10"/>
        </w:rPr>
        <w:t xml:space="preserve">天，合同签订后 </w:t>
      </w:r>
      <w:r>
        <w:t>3</w:t>
      </w:r>
      <w:r>
        <w:rPr>
          <w:spacing w:val="-19"/>
        </w:rPr>
        <w:t xml:space="preserve"> 个自然日</w:t>
      </w:r>
      <w:r>
        <w:t>内完成进场，45</w:t>
      </w:r>
      <w:r>
        <w:rPr>
          <w:spacing w:val="-12"/>
        </w:rPr>
        <w:t xml:space="preserve"> 个自然日内完成施工、调试。</w:t>
      </w:r>
    </w:p>
    <w:p>
      <w:pPr>
        <w:pStyle w:val="BodyText"/>
        <w:spacing w:before="223"/>
        <w:ind w:left="1018"/>
      </w:pPr>
      <w:r>
        <w:t>3、工程资料控制目标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spacing w:before="1" w:line="468" w:lineRule="auto"/>
        <w:ind w:left="1018" w:right="2632" w:firstLine="630"/>
      </w:pPr>
      <w:r>
        <w:t>竣工资料（含结算资料）</w:t>
      </w:r>
      <w:r>
        <w:rPr>
          <w:spacing w:val="-17"/>
        </w:rPr>
        <w:t xml:space="preserve">在工程竣工后 </w:t>
      </w:r>
      <w:r>
        <w:t>15</w:t>
      </w:r>
      <w:r>
        <w:rPr>
          <w:spacing w:val="-20"/>
        </w:rPr>
        <w:t xml:space="preserve"> 日内交齐。</w:t>
      </w:r>
      <w:r>
        <w:t>4、质量控制目标：优良工程</w:t>
      </w: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4" w:after="0" w:line="240" w:lineRule="auto"/>
        <w:ind w:left="1862" w:right="0" w:hanging="1053"/>
        <w:jc w:val="left"/>
        <w:rPr>
          <w:sz w:val="42"/>
        </w:rPr>
      </w:pPr>
      <w:r>
        <w:rPr>
          <w:sz w:val="42"/>
        </w:rPr>
        <w:t>确保该工程达到优质工程标准。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17"/>
        </w:numPr>
        <w:tabs>
          <w:tab w:val="left" w:pos="1866"/>
        </w:tabs>
        <w:spacing w:before="0" w:after="0" w:line="240" w:lineRule="auto"/>
        <w:ind w:left="1866" w:right="0" w:hanging="1053"/>
        <w:jc w:val="left"/>
        <w:rPr>
          <w:sz w:val="42"/>
        </w:rPr>
      </w:pPr>
      <w:r>
        <w:rPr>
          <w:spacing w:val="-9"/>
          <w:sz w:val="42"/>
        </w:rPr>
        <w:t xml:space="preserve">单位工程一次合格率达到 </w:t>
      </w:r>
      <w:r>
        <w:rPr>
          <w:sz w:val="42"/>
        </w:rPr>
        <w:t>100%。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0" w:after="0" w:line="240" w:lineRule="auto"/>
        <w:ind w:left="1862" w:right="0" w:hanging="1053"/>
        <w:jc w:val="left"/>
        <w:rPr>
          <w:sz w:val="42"/>
        </w:rPr>
      </w:pPr>
      <w:r>
        <w:rPr>
          <w:spacing w:val="-14"/>
          <w:sz w:val="42"/>
        </w:rPr>
        <w:t xml:space="preserve">合同履约率达到 </w:t>
      </w:r>
      <w:r>
        <w:rPr>
          <w:sz w:val="42"/>
        </w:rPr>
        <w:t>100%。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0" w:after="0" w:line="240" w:lineRule="auto"/>
        <w:ind w:left="1862" w:right="0" w:hanging="1053"/>
        <w:jc w:val="left"/>
        <w:rPr>
          <w:sz w:val="42"/>
        </w:rPr>
      </w:pPr>
      <w:r>
        <w:rPr>
          <w:spacing w:val="-6"/>
          <w:sz w:val="42"/>
        </w:rPr>
        <w:t xml:space="preserve">严格执行各种技术标准规范和技术规程，标准覆盖率 </w:t>
      </w:r>
      <w:r>
        <w:rPr>
          <w:sz w:val="42"/>
        </w:rPr>
        <w:t>100%。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0" w:after="0" w:line="240" w:lineRule="auto"/>
        <w:ind w:left="1862" w:right="0" w:hanging="1053"/>
        <w:jc w:val="left"/>
        <w:rPr>
          <w:sz w:val="42"/>
        </w:rPr>
      </w:pPr>
      <w:r>
        <w:rPr>
          <w:spacing w:val="-7"/>
          <w:sz w:val="42"/>
        </w:rPr>
        <w:t xml:space="preserve">严把设备材料质量关，设备材料合格率 </w:t>
      </w:r>
      <w:r>
        <w:rPr>
          <w:sz w:val="42"/>
        </w:rPr>
        <w:t>100%。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0" w:after="0" w:line="240" w:lineRule="auto"/>
        <w:ind w:left="1862" w:right="0" w:hanging="1053"/>
        <w:jc w:val="left"/>
        <w:rPr>
          <w:sz w:val="42"/>
        </w:rPr>
      </w:pPr>
      <w:r>
        <w:rPr>
          <w:spacing w:val="-7"/>
          <w:sz w:val="42"/>
        </w:rPr>
        <w:t xml:space="preserve">检验、测量和试验设备周检率和在用合格率 </w:t>
      </w:r>
      <w:r>
        <w:rPr>
          <w:sz w:val="42"/>
        </w:rPr>
        <w:t>100%。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7"/>
        </w:numPr>
        <w:tabs>
          <w:tab w:val="left" w:pos="1863"/>
        </w:tabs>
        <w:spacing w:before="1" w:after="0" w:line="468" w:lineRule="auto"/>
        <w:ind w:left="813" w:right="7664" w:hanging="4"/>
        <w:jc w:val="left"/>
        <w:rPr>
          <w:sz w:val="42"/>
        </w:rPr>
      </w:pPr>
      <w:r>
        <w:rPr>
          <w:spacing w:val="-2"/>
          <w:sz w:val="42"/>
        </w:rPr>
        <w:t>确保试运投用一次成功。</w:t>
      </w:r>
      <w:r>
        <w:rPr>
          <w:sz w:val="42"/>
        </w:rPr>
        <w:t>5、安全要求：</w:t>
      </w:r>
    </w:p>
    <w:p>
      <w:pPr>
        <w:pStyle w:val="ListParagraph"/>
        <w:numPr>
          <w:ilvl w:val="0"/>
          <w:numId w:val="16"/>
        </w:numPr>
        <w:tabs>
          <w:tab w:val="left" w:pos="1866"/>
        </w:tabs>
        <w:spacing w:before="0" w:after="0" w:line="240" w:lineRule="auto"/>
        <w:ind w:left="1866" w:right="0" w:hanging="1053"/>
        <w:jc w:val="left"/>
        <w:rPr>
          <w:sz w:val="42"/>
        </w:rPr>
      </w:pPr>
      <w:r>
        <w:rPr>
          <w:sz w:val="42"/>
        </w:rPr>
        <w:t>杜绝各类事故的发生。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16"/>
        </w:numPr>
        <w:tabs>
          <w:tab w:val="left" w:pos="1866"/>
        </w:tabs>
        <w:spacing w:before="0" w:after="0" w:line="240" w:lineRule="auto"/>
        <w:ind w:left="1866" w:right="0" w:hanging="1053"/>
        <w:jc w:val="left"/>
        <w:rPr>
          <w:sz w:val="42"/>
        </w:rPr>
      </w:pPr>
      <w:r>
        <w:rPr>
          <w:spacing w:val="-8"/>
          <w:sz w:val="42"/>
        </w:rPr>
        <w:t xml:space="preserve">特种作业人员持证上岗率达到 </w:t>
      </w:r>
      <w:r>
        <w:rPr>
          <w:sz w:val="42"/>
        </w:rPr>
        <w:t>100%。</w:t>
      </w: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16"/>
        </w:numPr>
        <w:tabs>
          <w:tab w:val="left" w:pos="1866"/>
        </w:tabs>
        <w:spacing w:before="0" w:after="0" w:line="240" w:lineRule="auto"/>
        <w:ind w:left="1866" w:right="0" w:hanging="1053"/>
        <w:jc w:val="left"/>
        <w:rPr>
          <w:sz w:val="42"/>
        </w:rPr>
      </w:pPr>
      <w:r>
        <w:rPr>
          <w:spacing w:val="-8"/>
          <w:sz w:val="42"/>
        </w:rPr>
        <w:t xml:space="preserve">特种设备安全检验合格率达到 </w:t>
      </w:r>
      <w:r>
        <w:rPr>
          <w:sz w:val="42"/>
        </w:rPr>
        <w:t>100%。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6"/>
        </w:numPr>
        <w:tabs>
          <w:tab w:val="left" w:pos="1866"/>
        </w:tabs>
        <w:spacing w:before="1" w:after="0" w:line="240" w:lineRule="auto"/>
        <w:ind w:left="1866" w:right="0" w:hanging="1053"/>
        <w:jc w:val="left"/>
        <w:rPr>
          <w:sz w:val="42"/>
        </w:rPr>
      </w:pPr>
      <w:r>
        <w:rPr>
          <w:spacing w:val="-10"/>
          <w:sz w:val="42"/>
        </w:rPr>
        <w:t xml:space="preserve">安全技术措施实现率达到 </w:t>
      </w:r>
      <w:r>
        <w:rPr>
          <w:sz w:val="42"/>
        </w:rPr>
        <w:t>100%。</w:t>
      </w:r>
    </w:p>
    <w:p>
      <w:pPr>
        <w:pStyle w:val="BodyText"/>
        <w:rPr>
          <w:sz w:val="40"/>
        </w:rPr>
      </w:pPr>
    </w:p>
    <w:p>
      <w:pPr>
        <w:pStyle w:val="BodyText"/>
        <w:spacing w:line="468" w:lineRule="auto"/>
        <w:ind w:left="180" w:right="735" w:firstLine="629"/>
      </w:pPr>
      <w:r>
        <w:t>6</w:t>
      </w:r>
      <w:r>
        <w:rPr>
          <w:spacing w:val="-29"/>
        </w:rPr>
        <w:t>、环保要求：遵守《中华人民共和国环境保护法》、《建设项目环境保</w:t>
      </w:r>
      <w:r>
        <w:rPr>
          <w:spacing w:val="-18"/>
        </w:rPr>
        <w:t>护管理办法》的要求。实现施工、生产无环境污染事故，各种污染排放达</w:t>
      </w:r>
    </w:p>
    <w:p>
      <w:pPr>
        <w:spacing w:after="0" w:line="468" w:lineRule="auto"/>
        <w:sectPr>
          <w:headerReference w:type="default" r:id="rId8"/>
          <w:footerReference w:type="default" r:id="rId9"/>
          <w:pgSz w:w="17860" w:h="25270"/>
          <w:pgMar w:top="1420" w:right="1500" w:bottom="1920" w:left="2200" w:header="1088" w:footer="173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42"/>
        <w:ind w:left="180"/>
      </w:pPr>
      <w:r>
        <w:t>到国家排放标准，环境保护等达到设计标准要求。</w:t>
      </w:r>
    </w:p>
    <w:p>
      <w:pPr>
        <w:pStyle w:val="BodyText"/>
        <w:spacing w:before="6"/>
        <w:rPr>
          <w:sz w:val="32"/>
        </w:rPr>
      </w:pPr>
    </w:p>
    <w:p>
      <w:pPr>
        <w:pStyle w:val="Heading1"/>
        <w:tabs>
          <w:tab w:val="left" w:pos="1681"/>
        </w:tabs>
        <w:ind w:left="0" w:right="522"/>
        <w:jc w:val="center"/>
      </w:pPr>
      <w:r>
        <w:t>第三章</w:t>
        <w:tab/>
        <w:t>施工准备</w:t>
      </w:r>
    </w:p>
    <w:p>
      <w:pPr>
        <w:pStyle w:val="BodyText"/>
        <w:spacing w:before="365"/>
        <w:ind w:left="184"/>
      </w:pPr>
      <w:r>
        <w:t>一、人力资源准备</w:t>
      </w:r>
    </w:p>
    <w:p>
      <w:pPr>
        <w:pStyle w:val="BodyText"/>
        <w:spacing w:before="362"/>
        <w:ind w:left="1022"/>
      </w:pPr>
      <w:r>
        <w:t>1、项目管理人员准备</w:t>
      </w:r>
    </w:p>
    <w:p>
      <w:pPr>
        <w:pStyle w:val="BodyText"/>
        <w:spacing w:before="362" w:line="400" w:lineRule="auto"/>
        <w:ind w:left="184" w:right="495" w:firstLine="802"/>
      </w:pPr>
      <w:r>
        <w:t>我工程处现有一支精干、高效、技术资质高、经验丰富的项目管理班</w:t>
      </w:r>
      <w:r>
        <w:rPr>
          <w:spacing w:val="-16"/>
        </w:rPr>
        <w:t>子，专职经理拥有国家二级项目经理证书，对建筑工程施工项目管理具有</w:t>
      </w:r>
      <w:r>
        <w:rPr>
          <w:spacing w:val="-17"/>
        </w:rPr>
        <w:t>相当的经验。管理机构的设置，按知识化、专业化的要求配置，保证满足</w:t>
      </w:r>
      <w:r>
        <w:t>本工程项目的各项要求。</w:t>
      </w:r>
    </w:p>
    <w:p>
      <w:pPr>
        <w:pStyle w:val="BodyText"/>
        <w:spacing w:before="6"/>
        <w:ind w:left="1022"/>
      </w:pPr>
      <w:r>
        <w:t>2、劳动力准备</w:t>
      </w:r>
    </w:p>
    <w:p>
      <w:pPr>
        <w:pStyle w:val="BodyText"/>
        <w:spacing w:before="362" w:line="400" w:lineRule="auto"/>
        <w:ind w:left="184" w:right="551" w:firstLine="802"/>
      </w:pPr>
      <w:r>
        <w:rPr>
          <w:spacing w:val="-14"/>
        </w:rPr>
        <w:t>我公司为实体型企业,拥有丰富的优秀施工队伍资</w:t>
      </w:r>
      <w:r>
        <w:rPr>
          <w:spacing w:val="-30"/>
        </w:rPr>
        <w:t>源,根据本工程劳动力</w:t>
      </w:r>
      <w:r>
        <w:t>需求计划及时调配满足工程需要的合格的劳动力进场。</w:t>
      </w:r>
    </w:p>
    <w:p>
      <w:pPr>
        <w:pStyle w:val="BodyText"/>
        <w:spacing w:before="3"/>
        <w:ind w:left="184"/>
      </w:pPr>
      <w:r>
        <w:t>二、机械设备准备</w:t>
      </w:r>
    </w:p>
    <w:p>
      <w:pPr>
        <w:pStyle w:val="BodyText"/>
        <w:spacing w:before="362" w:line="400" w:lineRule="auto"/>
        <w:ind w:left="184" w:right="705" w:firstLine="838"/>
      </w:pPr>
      <w:r>
        <w:rPr>
          <w:spacing w:val="-14"/>
        </w:rPr>
        <w:t>根据机械设备使用计划，及时安排各项施工用机械设备进场，安装调</w:t>
      </w:r>
      <w:r>
        <w:rPr>
          <w:spacing w:val="-21"/>
        </w:rPr>
        <w:t>试，及时满足施工需要。</w:t>
      </w:r>
      <w:r>
        <w:t>（主要施工设备见表一）</w:t>
      </w:r>
    </w:p>
    <w:p>
      <w:pPr>
        <w:pStyle w:val="BodyText"/>
        <w:spacing w:before="3"/>
        <w:ind w:left="184"/>
      </w:pPr>
      <w:r>
        <w:t>三、施工技术准备</w:t>
      </w:r>
    </w:p>
    <w:p>
      <w:pPr>
        <w:pStyle w:val="BodyText"/>
        <w:spacing w:before="362" w:line="400" w:lineRule="auto"/>
        <w:ind w:left="184" w:right="707" w:firstLine="838"/>
      </w:pPr>
      <w:r>
        <w:t>1、组织技术人员，熟悉所有图纸及技术资料，及时组织图纸会审， 领会设计意图。</w:t>
      </w:r>
    </w:p>
    <w:p>
      <w:pPr>
        <w:pStyle w:val="BodyText"/>
        <w:spacing w:before="4"/>
        <w:ind w:left="1022"/>
      </w:pPr>
      <w:r>
        <w:t>2、编制详尽的施工组织设计及单项施工方案，做到技术先行。</w:t>
      </w:r>
    </w:p>
    <w:p>
      <w:pPr>
        <w:pStyle w:val="BodyText"/>
        <w:spacing w:before="361"/>
        <w:ind w:left="1022"/>
      </w:pPr>
      <w:r>
        <w:t>3、预先向施工人员作技术交底工作。</w:t>
      </w:r>
    </w:p>
    <w:p>
      <w:pPr>
        <w:pStyle w:val="BodyText"/>
        <w:spacing w:before="362" w:line="400" w:lineRule="auto"/>
        <w:ind w:left="184" w:right="8714" w:firstLine="838"/>
      </w:pPr>
      <w:r>
        <w:t>4、做好测量复检工作。四、后勤保障准备</w:t>
      </w:r>
    </w:p>
    <w:p>
      <w:pPr>
        <w:pStyle w:val="BodyText"/>
        <w:spacing w:before="3"/>
        <w:ind w:left="986"/>
      </w:pPr>
      <w:r>
        <w:t>及时根据劳动力使用计划所确定的高峰期人数。准备好各类临时生活设</w:t>
      </w:r>
    </w:p>
    <w:p>
      <w:pPr>
        <w:spacing w:after="0"/>
        <w:sectPr>
          <w:headerReference w:type="default" r:id="rId10"/>
          <w:footerReference w:type="default" r:id="rId11"/>
          <w:pgSz w:w="17860" w:h="25270"/>
          <w:pgMar w:top="1420" w:right="1500" w:bottom="1920" w:left="2200" w:header="1088" w:footer="173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ind w:left="184"/>
      </w:pPr>
      <w:r>
        <w:t>施，确保人员进场的住宿需要。及时组织后勤服务人员进场。</w:t>
      </w:r>
    </w:p>
    <w:p>
      <w:pPr>
        <w:pStyle w:val="BodyText"/>
        <w:tabs>
          <w:tab w:val="left" w:pos="6819"/>
        </w:tabs>
        <w:spacing w:before="261"/>
        <w:ind w:left="5138"/>
      </w:pPr>
      <w:r>
        <w:t>第四章</w:t>
        <w:tab/>
        <w:t>施工方案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903" w:right="10726"/>
      </w:pPr>
      <w:r>
        <w:t>一、测量放线1、测 量</w:t>
      </w:r>
    </w:p>
    <w:p>
      <w:pPr>
        <w:pStyle w:val="BodyText"/>
        <w:spacing w:before="100" w:line="400" w:lineRule="auto"/>
        <w:ind w:left="184" w:right="499" w:firstLine="838"/>
      </w:pP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1"/>
          <w:w w:val="100"/>
        </w:rPr>
        <w:t>、依据施工图纸提供的平面、断面图、设计高程控制桩、水平坐标</w:t>
      </w:r>
      <w:r>
        <w:rPr>
          <w:spacing w:val="-14"/>
        </w:rPr>
        <w:t>控制点进行测量放线。采用水准仪抄平，经纬仪进行定位测量。依据设计平面图、测量成果表，复查放线桩的位置和高程。</w:t>
      </w:r>
    </w:p>
    <w:p>
      <w:pPr>
        <w:pStyle w:val="BodyText"/>
        <w:tabs>
          <w:tab w:val="left" w:pos="2282"/>
        </w:tabs>
        <w:spacing w:line="442" w:lineRule="exact"/>
        <w:ind w:left="1022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436114</wp:posOffset>
            </wp:positionV>
            <wp:extent cx="7714964" cy="614410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4964" cy="6144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表一</w:t>
        <w:tab/>
        <w:t>主要施工设备：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tbl>
      <w:tblPr>
        <w:tblStyle w:val="TableNormal0"/>
        <w:tblW w:w="0" w:type="auto"/>
        <w:jc w:val="left"/>
        <w:tblInd w:w="12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7"/>
        <w:gridCol w:w="3275"/>
        <w:gridCol w:w="2792"/>
        <w:gridCol w:w="2315"/>
        <w:gridCol w:w="1567"/>
      </w:tblGrid>
      <w:tr>
        <w:tblPrEx>
          <w:tblW w:w="0" w:type="auto"/>
          <w:jc w:val="left"/>
          <w:tblInd w:w="12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7"/>
          <w:jc w:val="left"/>
        </w:trPr>
        <w:tc>
          <w:tcPr>
            <w:tcW w:w="1157" w:type="dxa"/>
          </w:tcPr>
          <w:p>
            <w:pPr>
              <w:pStyle w:val="TableParagraph"/>
              <w:spacing w:line="359" w:lineRule="exact"/>
              <w:ind w:left="38" w:right="459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3275" w:type="dxa"/>
          </w:tcPr>
          <w:p>
            <w:pPr>
              <w:pStyle w:val="TableParagraph"/>
              <w:spacing w:line="359" w:lineRule="exact"/>
              <w:ind w:left="966"/>
              <w:rPr>
                <w:sz w:val="31"/>
              </w:rPr>
            </w:pPr>
            <w:r>
              <w:rPr>
                <w:sz w:val="31"/>
              </w:rPr>
              <w:t>机械名称</w:t>
            </w:r>
          </w:p>
        </w:tc>
        <w:tc>
          <w:tcPr>
            <w:tcW w:w="2792" w:type="dxa"/>
          </w:tcPr>
          <w:p>
            <w:pPr>
              <w:pStyle w:val="TableParagraph"/>
              <w:spacing w:line="359" w:lineRule="exact"/>
              <w:ind w:left="721" w:right="790"/>
              <w:jc w:val="center"/>
              <w:rPr>
                <w:sz w:val="31"/>
              </w:rPr>
            </w:pPr>
            <w:r>
              <w:rPr>
                <w:sz w:val="31"/>
              </w:rPr>
              <w:t>规格型号</w:t>
            </w:r>
          </w:p>
        </w:tc>
        <w:tc>
          <w:tcPr>
            <w:tcW w:w="2315" w:type="dxa"/>
          </w:tcPr>
          <w:p>
            <w:pPr>
              <w:pStyle w:val="TableParagraph"/>
              <w:spacing w:line="359" w:lineRule="exact"/>
              <w:ind w:left="797"/>
              <w:rPr>
                <w:sz w:val="31"/>
              </w:rPr>
            </w:pPr>
            <w:r>
              <w:rPr>
                <w:sz w:val="31"/>
              </w:rPr>
              <w:t>台数</w:t>
            </w:r>
          </w:p>
        </w:tc>
        <w:tc>
          <w:tcPr>
            <w:tcW w:w="1567" w:type="dxa"/>
          </w:tcPr>
          <w:p>
            <w:pPr>
              <w:pStyle w:val="TableParagraph"/>
              <w:spacing w:line="359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2"/>
          <w:jc w:val="left"/>
        </w:trPr>
        <w:tc>
          <w:tcPr>
            <w:tcW w:w="1157" w:type="dxa"/>
          </w:tcPr>
          <w:p>
            <w:pPr>
              <w:pStyle w:val="TableParagraph"/>
              <w:spacing w:before="203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3"/>
              <w:ind w:left="1116" w:right="1188"/>
              <w:jc w:val="center"/>
              <w:rPr>
                <w:sz w:val="31"/>
              </w:rPr>
            </w:pPr>
            <w:r>
              <w:rPr>
                <w:sz w:val="31"/>
              </w:rPr>
              <w:t>经纬仪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3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DJ2-2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3"/>
              <w:ind w:left="837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3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6"/>
          <w:jc w:val="left"/>
        </w:trPr>
        <w:tc>
          <w:tcPr>
            <w:tcW w:w="1157" w:type="dxa"/>
          </w:tcPr>
          <w:p>
            <w:pPr>
              <w:pStyle w:val="TableParagraph"/>
              <w:spacing w:before="207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7"/>
              <w:ind w:left="1116" w:right="1188"/>
              <w:jc w:val="center"/>
              <w:rPr>
                <w:sz w:val="31"/>
              </w:rPr>
            </w:pPr>
            <w:r>
              <w:rPr>
                <w:sz w:val="31"/>
              </w:rPr>
              <w:t>水准仪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7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S3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7"/>
              <w:ind w:left="837"/>
              <w:rPr>
                <w:sz w:val="31"/>
              </w:rPr>
            </w:pPr>
            <w:r>
              <w:rPr>
                <w:sz w:val="31"/>
              </w:rPr>
              <w:t>3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7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4"/>
          <w:jc w:val="left"/>
        </w:trPr>
        <w:tc>
          <w:tcPr>
            <w:tcW w:w="1157" w:type="dxa"/>
          </w:tcPr>
          <w:p>
            <w:pPr>
              <w:pStyle w:val="TableParagraph"/>
              <w:spacing w:before="207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7"/>
              <w:ind w:left="966"/>
              <w:rPr>
                <w:sz w:val="31"/>
              </w:rPr>
            </w:pPr>
            <w:r>
              <w:rPr>
                <w:sz w:val="31"/>
              </w:rPr>
              <w:t>计量磅称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7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500KG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7"/>
              <w:ind w:left="837"/>
              <w:rPr>
                <w:sz w:val="31"/>
              </w:rPr>
            </w:pPr>
            <w:r>
              <w:rPr>
                <w:sz w:val="31"/>
              </w:rPr>
              <w:t>2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7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3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653"/>
              <w:rPr>
                <w:sz w:val="31"/>
              </w:rPr>
            </w:pPr>
            <w:r>
              <w:rPr>
                <w:sz w:val="31"/>
              </w:rPr>
              <w:t>砼搅拌机(台)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350 型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2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473"/>
              <w:rPr>
                <w:sz w:val="31"/>
              </w:rPr>
            </w:pPr>
            <w:r>
              <w:rPr>
                <w:sz w:val="31"/>
              </w:rPr>
              <w:t>插入式振动器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21" w:right="789"/>
              <w:jc w:val="center"/>
              <w:rPr>
                <w:sz w:val="31"/>
              </w:rPr>
            </w:pPr>
            <w:r>
              <w:rPr>
                <w:sz w:val="31"/>
              </w:rPr>
              <w:t>H213-50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2 个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2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948"/>
              <w:rPr>
                <w:sz w:val="31"/>
              </w:rPr>
            </w:pPr>
            <w:r>
              <w:rPr>
                <w:sz w:val="31"/>
              </w:rPr>
              <w:t>装载机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厦工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2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1116" w:right="1188"/>
              <w:jc w:val="center"/>
              <w:rPr>
                <w:sz w:val="31"/>
              </w:rPr>
            </w:pPr>
            <w:r>
              <w:rPr>
                <w:sz w:val="31"/>
              </w:rPr>
              <w:t>挖掘机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21" w:right="789"/>
              <w:jc w:val="center"/>
              <w:rPr>
                <w:sz w:val="31"/>
              </w:rPr>
            </w:pPr>
            <w:r>
              <w:rPr>
                <w:sz w:val="31"/>
              </w:rPr>
              <w:t>卡特 320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2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1116" w:right="1188"/>
              <w:jc w:val="center"/>
              <w:rPr>
                <w:sz w:val="31"/>
              </w:rPr>
            </w:pPr>
            <w:r>
              <w:rPr>
                <w:sz w:val="31"/>
              </w:rPr>
              <w:t>生活车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21" w:right="790"/>
              <w:jc w:val="center"/>
              <w:rPr>
                <w:sz w:val="31"/>
              </w:rPr>
            </w:pPr>
            <w:r>
              <w:rPr>
                <w:sz w:val="31"/>
              </w:rPr>
              <w:t>东风小卡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1 辆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3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right="42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1116" w:right="1188"/>
              <w:jc w:val="center"/>
              <w:rPr>
                <w:sz w:val="31"/>
              </w:rPr>
            </w:pPr>
            <w:r>
              <w:rPr>
                <w:sz w:val="31"/>
              </w:rPr>
              <w:t>电焊机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21" w:right="789"/>
              <w:jc w:val="center"/>
              <w:rPr>
                <w:sz w:val="31"/>
              </w:rPr>
            </w:pPr>
            <w:r>
              <w:rPr>
                <w:sz w:val="31"/>
              </w:rPr>
              <w:t>BX3-300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2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3"/>
          <w:jc w:val="left"/>
        </w:trPr>
        <w:tc>
          <w:tcPr>
            <w:tcW w:w="1157" w:type="dxa"/>
          </w:tcPr>
          <w:p>
            <w:pPr>
              <w:pStyle w:val="TableParagraph"/>
              <w:spacing w:before="205"/>
              <w:ind w:left="38" w:right="459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/>
              <w:ind w:left="808"/>
              <w:rPr>
                <w:sz w:val="31"/>
              </w:rPr>
            </w:pPr>
            <w:r>
              <w:rPr>
                <w:sz w:val="31"/>
              </w:rPr>
              <w:t>振动夯实机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HZD200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/>
              <w:ind w:left="837"/>
              <w:rPr>
                <w:sz w:val="31"/>
              </w:rPr>
            </w:pPr>
            <w:r>
              <w:rPr>
                <w:sz w:val="31"/>
              </w:rPr>
              <w:t>2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  <w:tr>
        <w:tblPrEx>
          <w:tblW w:w="0" w:type="auto"/>
          <w:jc w:val="left"/>
          <w:tblInd w:w="12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1157" w:type="dxa"/>
          </w:tcPr>
          <w:p>
            <w:pPr>
              <w:pStyle w:val="TableParagraph"/>
              <w:spacing w:before="205" w:line="335" w:lineRule="exact"/>
              <w:ind w:left="38" w:right="459"/>
              <w:jc w:val="center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3275" w:type="dxa"/>
          </w:tcPr>
          <w:p>
            <w:pPr>
              <w:pStyle w:val="TableParagraph"/>
              <w:spacing w:before="205" w:line="335" w:lineRule="exact"/>
              <w:ind w:left="808"/>
              <w:rPr>
                <w:sz w:val="31"/>
              </w:rPr>
            </w:pPr>
            <w:r>
              <w:rPr>
                <w:sz w:val="31"/>
              </w:rPr>
              <w:t>平板振动器</w:t>
            </w:r>
          </w:p>
        </w:tc>
        <w:tc>
          <w:tcPr>
            <w:tcW w:w="2792" w:type="dxa"/>
          </w:tcPr>
          <w:p>
            <w:pPr>
              <w:pStyle w:val="TableParagraph"/>
              <w:spacing w:before="205" w:line="335" w:lineRule="exact"/>
              <w:ind w:left="715" w:right="790"/>
              <w:jc w:val="center"/>
              <w:rPr>
                <w:sz w:val="31"/>
              </w:rPr>
            </w:pPr>
            <w:r>
              <w:rPr>
                <w:sz w:val="31"/>
              </w:rPr>
              <w:t>P-50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5" w:line="335" w:lineRule="exact"/>
              <w:ind w:left="837"/>
              <w:rPr>
                <w:sz w:val="31"/>
              </w:rPr>
            </w:pPr>
            <w:r>
              <w:rPr>
                <w:sz w:val="31"/>
              </w:rPr>
              <w:t>1 台</w:t>
            </w:r>
          </w:p>
        </w:tc>
        <w:tc>
          <w:tcPr>
            <w:tcW w:w="1567" w:type="dxa"/>
          </w:tcPr>
          <w:p>
            <w:pPr>
              <w:pStyle w:val="TableParagraph"/>
              <w:spacing w:before="205" w:line="335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</w:tr>
    </w:tbl>
    <w:p>
      <w:pPr>
        <w:pStyle w:val="BodyText"/>
      </w:pPr>
    </w:p>
    <w:p>
      <w:pPr>
        <w:pStyle w:val="BodyText"/>
        <w:spacing w:before="11"/>
        <w:rPr>
          <w:sz w:val="58"/>
        </w:rPr>
      </w:pPr>
    </w:p>
    <w:p>
      <w:pPr>
        <w:pStyle w:val="ListParagraph"/>
        <w:numPr>
          <w:ilvl w:val="1"/>
          <w:numId w:val="16"/>
        </w:numPr>
        <w:tabs>
          <w:tab w:val="left" w:pos="1535"/>
        </w:tabs>
        <w:spacing w:before="0" w:after="0" w:line="417" w:lineRule="auto"/>
        <w:ind w:left="184" w:right="670" w:firstLine="719"/>
        <w:jc w:val="both"/>
        <w:rPr>
          <w:sz w:val="42"/>
        </w:rPr>
      </w:pPr>
      <w:r>
        <w:rPr>
          <w:spacing w:val="4"/>
          <w:sz w:val="42"/>
        </w:rPr>
        <w:t>、测量应测定出场地边界线，每</w:t>
      </w:r>
      <w:r>
        <w:rPr>
          <w:sz w:val="42"/>
        </w:rPr>
        <w:t>10m</w:t>
      </w:r>
      <w:r>
        <w:rPr>
          <w:spacing w:val="-11"/>
          <w:sz w:val="42"/>
        </w:rPr>
        <w:t xml:space="preserve"> 设置一个桩，地势起伏较大</w:t>
      </w:r>
      <w:r>
        <w:rPr>
          <w:spacing w:val="-16"/>
          <w:sz w:val="42"/>
        </w:rPr>
        <w:t>的地段，要适当加密标桩，在线路轴线上还应根据设计图纸要求，各桩还均应注明地面高程、基础底高程和挖深。</w:t>
      </w:r>
    </w:p>
    <w:p>
      <w:pPr>
        <w:spacing w:after="0" w:line="417" w:lineRule="auto"/>
        <w:jc w:val="both"/>
        <w:rPr>
          <w:sz w:val="42"/>
        </w:rPr>
        <w:sectPr>
          <w:headerReference w:type="default" r:id="rId13"/>
          <w:footerReference w:type="default" r:id="rId14"/>
          <w:pgSz w:w="17860" w:h="25270"/>
          <w:pgMar w:top="1420" w:right="1500" w:bottom="1920" w:left="2200" w:header="1088" w:footer="173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1"/>
          <w:numId w:val="16"/>
        </w:numPr>
        <w:tabs>
          <w:tab w:val="left" w:pos="1542"/>
        </w:tabs>
        <w:spacing w:before="43" w:after="0" w:line="417" w:lineRule="auto"/>
        <w:ind w:left="184" w:right="808" w:firstLine="719"/>
        <w:jc w:val="left"/>
        <w:rPr>
          <w:sz w:val="42"/>
        </w:rPr>
      </w:pPr>
      <w:r>
        <w:rPr>
          <w:sz w:val="42"/>
        </w:rPr>
        <w:t xml:space="preserve">、 测量过程中应做好各项测量记录，包括控制桩测量（复测） </w:t>
      </w:r>
      <w:r>
        <w:rPr>
          <w:spacing w:val="-4"/>
          <w:sz w:val="42"/>
        </w:rPr>
        <w:t>记录、转角处理记录。</w:t>
      </w:r>
    </w:p>
    <w:p>
      <w:pPr>
        <w:pStyle w:val="BodyText"/>
        <w:spacing w:line="537" w:lineRule="exact"/>
        <w:ind w:left="893"/>
      </w:pPr>
      <w:r>
        <w:t>2 、放 线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524"/>
        </w:tabs>
        <w:spacing w:before="0" w:after="0" w:line="417" w:lineRule="auto"/>
        <w:ind w:left="184" w:right="628" w:firstLine="709"/>
        <w:jc w:val="left"/>
        <w:rPr>
          <w:sz w:val="42"/>
        </w:rPr>
      </w:pPr>
      <w:r>
        <w:rPr>
          <w:sz w:val="42"/>
        </w:rPr>
        <w:t>、施工作业带边界线在作业带清理前放出，采用三点定一线的方</w:t>
      </w:r>
      <w:r>
        <w:rPr>
          <w:spacing w:val="-5"/>
          <w:sz w:val="42"/>
        </w:rPr>
        <w:t>法用耐磨绳拉线后布放白灰线。</w:t>
      </w:r>
    </w:p>
    <w:p>
      <w:pPr>
        <w:pStyle w:val="ListParagraph"/>
        <w:numPr>
          <w:ilvl w:val="0"/>
          <w:numId w:val="15"/>
        </w:numPr>
        <w:tabs>
          <w:tab w:val="left" w:pos="1524"/>
        </w:tabs>
        <w:spacing w:before="0" w:after="0" w:line="417" w:lineRule="auto"/>
        <w:ind w:left="184" w:right="628" w:firstLine="709"/>
        <w:jc w:val="left"/>
        <w:rPr>
          <w:sz w:val="42"/>
        </w:rPr>
      </w:pPr>
      <w:r>
        <w:rPr>
          <w:sz w:val="42"/>
        </w:rPr>
        <w:t>、在放线过程中，当线路经过地下障碍物地段时应积极与建设单</w:t>
      </w:r>
      <w:r>
        <w:rPr>
          <w:spacing w:val="-5"/>
          <w:sz w:val="42"/>
        </w:rPr>
        <w:t>位取得联系，共同勘察、登记，现场确认。</w:t>
      </w:r>
    </w:p>
    <w:p>
      <w:pPr>
        <w:pStyle w:val="ListParagraph"/>
        <w:numPr>
          <w:ilvl w:val="0"/>
          <w:numId w:val="15"/>
        </w:numPr>
        <w:tabs>
          <w:tab w:val="left" w:pos="1517"/>
        </w:tabs>
        <w:spacing w:before="0" w:after="0" w:line="417" w:lineRule="auto"/>
        <w:ind w:left="104" w:right="848" w:firstLine="773"/>
        <w:jc w:val="left"/>
        <w:rPr>
          <w:sz w:val="42"/>
        </w:rPr>
      </w:pPr>
      <w:r>
        <w:rPr>
          <w:spacing w:val="-1"/>
          <w:sz w:val="42"/>
        </w:rPr>
        <w:t>清理和平整施工作业带时，要保护线路控制桩，如有损坏应立即</w:t>
      </w:r>
      <w:r>
        <w:rPr>
          <w:sz w:val="42"/>
        </w:rPr>
        <w:t>补桩恢复。</w:t>
      </w:r>
    </w:p>
    <w:p>
      <w:pPr>
        <w:pStyle w:val="BodyText"/>
        <w:spacing w:line="537" w:lineRule="exact"/>
        <w:ind w:left="903"/>
      </w:pPr>
      <w:r>
        <w:t>二、场地平整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84" w:right="632" w:firstLine="719"/>
        <w:jc w:val="both"/>
      </w:pPr>
      <w:r>
        <w:t>1</w:t>
      </w:r>
      <w:r>
        <w:rPr>
          <w:spacing w:val="-1"/>
        </w:rPr>
        <w:t>、 场地平整利用履带挖掘机、推土机、装载机挖装，自卸汽车拉运</w:t>
      </w:r>
      <w:r>
        <w:t>的方法。人工修坡，开挖土方堆在不走设备的一侧，距边坡不小于 2m。</w:t>
      </w:r>
      <w:r>
        <w:rPr>
          <w:spacing w:val="-16"/>
        </w:rPr>
        <w:t>土方开挖前，要认真核对图纸，确定各段开挖深度和地下构筑物情况，以便及时采取保护措施，并在有地下构筑物处用红旗作出明显标示。</w:t>
      </w:r>
    </w:p>
    <w:p>
      <w:pPr>
        <w:pStyle w:val="BodyText"/>
        <w:spacing w:line="417" w:lineRule="auto"/>
        <w:ind w:left="184" w:right="635" w:firstLine="719"/>
        <w:jc w:val="both"/>
      </w:pPr>
      <w:r>
        <w:t>2、 土方开挖、回填沿测量放出的控制线进行，放坡系数根据土质情况及设计图纸确定。</w:t>
      </w:r>
    </w:p>
    <w:p>
      <w:pPr>
        <w:pStyle w:val="BodyText"/>
        <w:spacing w:line="417" w:lineRule="auto"/>
        <w:ind w:left="184" w:right="675" w:firstLine="719"/>
      </w:pPr>
      <w:r>
        <w:t>3</w:t>
      </w:r>
      <w:r>
        <w:rPr>
          <w:spacing w:val="-7"/>
        </w:rPr>
        <w:t xml:space="preserve">、 穿越地下管线等障碍物时，设施两侧 </w:t>
      </w:r>
      <w:r>
        <w:t>3m</w:t>
      </w:r>
      <w:r>
        <w:rPr>
          <w:spacing w:val="-12"/>
        </w:rPr>
        <w:t xml:space="preserve"> 范围内，应采用人工开</w:t>
      </w:r>
      <w:r>
        <w:rPr>
          <w:spacing w:val="-17"/>
        </w:rPr>
        <w:t>挖，与其穿越间距应符合设计要求。对于重要设施，开挖前应征得其管理</w:t>
      </w:r>
      <w:r>
        <w:rPr>
          <w:spacing w:val="-19"/>
        </w:rPr>
        <w:t>单位同意，并应在其监督下开挖。土方开挖完毕后，开挖单位应根据设计要求先进行自检。自检合格后向建设单位和监理提交土方开挖验收申请报</w:t>
      </w:r>
      <w:r>
        <w:rPr>
          <w:spacing w:val="-15"/>
        </w:rPr>
        <w:t>告，监理和建设单位收到申请报告后及时组织检查验收，并填写开挖施工验收记录，验收合格后办理交接手续。</w:t>
      </w:r>
    </w:p>
    <w:p>
      <w:pPr>
        <w:spacing w:after="0" w:line="417" w:lineRule="auto"/>
        <w:sectPr>
          <w:headerReference w:type="default" r:id="rId15"/>
          <w:footerReference w:type="default" r:id="rId16"/>
          <w:pgSz w:w="17860" w:h="25270"/>
          <w:pgMar w:top="1420" w:right="1500" w:bottom="1920" w:left="2200" w:header="1088" w:footer="173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43" w:line="417" w:lineRule="auto"/>
        <w:ind w:left="184" w:right="489" w:firstLine="809"/>
      </w:pPr>
      <w:r>
        <w:t>4</w:t>
      </w:r>
      <w:r>
        <w:rPr>
          <w:spacing w:val="-22"/>
        </w:rPr>
        <w:t>、 土方回填前，施工单位应对回填土的质量进行自检，并通知监理、</w:t>
      </w:r>
      <w:r>
        <w:t>建设单位进行报验、现场工序交接。</w:t>
      </w:r>
    </w:p>
    <w:p>
      <w:pPr>
        <w:pStyle w:val="BodyText"/>
        <w:spacing w:line="417" w:lineRule="auto"/>
        <w:ind w:left="184" w:right="646" w:firstLine="709"/>
      </w:pPr>
      <w:r>
        <w:t>5、 土方回填时，应按设计要求采取分层压实回填、土方含水量必须达到设计要求。</w:t>
      </w:r>
    </w:p>
    <w:p>
      <w:pPr>
        <w:pStyle w:val="BodyText"/>
        <w:spacing w:line="537" w:lineRule="exact"/>
        <w:ind w:left="893"/>
      </w:pPr>
      <w:r>
        <w:t>三、混凝土工程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84" w:right="833" w:firstLine="709"/>
      </w:pPr>
      <w:r>
        <w:t>1、根据工程特点，组成材料，计算砼配合比，控制水泥用量及水灰比。</w:t>
      </w:r>
    </w:p>
    <w:p>
      <w:pPr>
        <w:pStyle w:val="BodyText"/>
        <w:spacing w:before="152" w:line="427" w:lineRule="auto"/>
        <w:ind w:left="1022" w:right="684" w:hanging="209"/>
      </w:pPr>
      <w:r>
        <w:t>2</w:t>
      </w:r>
      <w:r>
        <w:rPr>
          <w:spacing w:val="-16"/>
        </w:rPr>
        <w:t>、浇筑砼前对模板浇水湿润，模板的清扫口应在清理杂物及积水后再</w:t>
      </w:r>
      <w:r>
        <w:t>封闭。</w:t>
      </w:r>
    </w:p>
    <w:p>
      <w:pPr>
        <w:pStyle w:val="BodyText"/>
        <w:spacing w:before="3"/>
        <w:ind w:left="813"/>
      </w:pPr>
      <w:r>
        <w:t>3、根据配合比确定的每盘各种材料均过称。</w:t>
      </w:r>
    </w:p>
    <w:p>
      <w:pPr>
        <w:pStyle w:val="BodyText"/>
        <w:rPr>
          <w:sz w:val="33"/>
        </w:rPr>
      </w:pPr>
    </w:p>
    <w:p>
      <w:pPr>
        <w:pStyle w:val="BodyText"/>
        <w:spacing w:line="427" w:lineRule="auto"/>
        <w:ind w:left="1022" w:right="500" w:hanging="209"/>
      </w:pPr>
      <w:r>
        <w:t>4、装料顺序：一般先装石子、再装水泥，最后装砂子，如需是掺合料时，应与水泥一并加入。</w:t>
      </w:r>
    </w:p>
    <w:p>
      <w:pPr>
        <w:pStyle w:val="BodyText"/>
        <w:spacing w:before="4"/>
        <w:ind w:left="813"/>
      </w:pPr>
      <w:r>
        <w:t>5、砼搅拌的最短时间不能小于 2 分钟。</w:t>
      </w:r>
    </w:p>
    <w:p>
      <w:pPr>
        <w:pStyle w:val="BodyText"/>
        <w:rPr>
          <w:sz w:val="33"/>
        </w:rPr>
      </w:pPr>
    </w:p>
    <w:p>
      <w:pPr>
        <w:pStyle w:val="BodyText"/>
        <w:spacing w:line="427" w:lineRule="auto"/>
        <w:ind w:left="184" w:right="495" w:firstLine="629"/>
      </w:pPr>
      <w:r>
        <w:t>6</w:t>
      </w:r>
      <w:r>
        <w:rPr>
          <w:spacing w:val="-15"/>
        </w:rPr>
        <w:t>、砼运输工具有推车、吊斗等，砼从搅拌机中卸出后应及时运到浇筑</w:t>
      </w:r>
      <w:r>
        <w:rPr>
          <w:spacing w:val="-16"/>
        </w:rPr>
        <w:t>地点，在运输过程中防止砼离析，水泥流失，坍落度变化等现象，如发现</w:t>
      </w:r>
      <w:r>
        <w:t>离析现象应进行二次拌合。</w:t>
      </w:r>
    </w:p>
    <w:p>
      <w:pPr>
        <w:pStyle w:val="BodyText"/>
        <w:spacing w:before="7" w:line="427" w:lineRule="auto"/>
        <w:ind w:left="184" w:right="698" w:firstLine="629"/>
      </w:pPr>
      <w:r>
        <w:t>7、砼从吊斗口下落自由倾落高度不得超过2m，如超过2m 必须采取措施。</w:t>
      </w:r>
    </w:p>
    <w:p>
      <w:pPr>
        <w:pStyle w:val="BodyText"/>
        <w:spacing w:before="3" w:line="429" w:lineRule="auto"/>
        <w:ind w:left="184" w:right="500" w:firstLine="629"/>
      </w:pPr>
      <w:r>
        <w:t>8、浇筑砼应分段分层浇筑，使用插入式振动器，应快插慢拔，插点均匀，逐点移动，按顺序进行，不得遗漏，做到均匀振实。</w:t>
      </w:r>
    </w:p>
    <w:p>
      <w:pPr>
        <w:pStyle w:val="BodyText"/>
        <w:spacing w:line="362" w:lineRule="auto"/>
        <w:ind w:left="605" w:right="940" w:firstLine="208"/>
      </w:pPr>
      <w:r>
        <w:t>9</w:t>
      </w:r>
      <w:r>
        <w:rPr>
          <w:spacing w:val="-7"/>
        </w:rPr>
        <w:t xml:space="preserve">、浇筑砼应连续进行，如间歇时间超过 </w:t>
      </w:r>
      <w:r>
        <w:t>2</w:t>
      </w:r>
      <w:r>
        <w:rPr>
          <w:spacing w:val="-12"/>
        </w:rPr>
        <w:t xml:space="preserve"> 小时，应按施工缝处理。</w:t>
      </w:r>
      <w:r>
        <w:t>四、路基工程</w:t>
      </w:r>
    </w:p>
    <w:p>
      <w:pPr>
        <w:spacing w:after="0" w:line="362" w:lineRule="auto"/>
        <w:sectPr>
          <w:headerReference w:type="default" r:id="rId17"/>
          <w:footerReference w:type="default" r:id="rId18"/>
          <w:pgSz w:w="17860" w:h="25270"/>
          <w:pgMar w:top="1420" w:right="1500" w:bottom="1920" w:left="2200" w:header="1088" w:footer="173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1658"/>
        </w:tabs>
        <w:spacing w:before="177" w:after="0" w:line="367" w:lineRule="auto"/>
        <w:ind w:left="184" w:right="707" w:firstLine="838"/>
        <w:jc w:val="left"/>
        <w:rPr>
          <w:sz w:val="42"/>
        </w:rPr>
      </w:pPr>
      <w:r>
        <w:rPr>
          <w:spacing w:val="-1"/>
          <w:sz w:val="42"/>
        </w:rPr>
        <w:t xml:space="preserve">施工测量：道路修筑前，进行整体线路高程测量，并做好记录， </w:t>
      </w:r>
      <w:r>
        <w:rPr>
          <w:sz w:val="42"/>
        </w:rPr>
        <w:t>确定路基路面标高，做好原始固定桩点；</w:t>
      </w:r>
    </w:p>
    <w:p>
      <w:pPr>
        <w:pStyle w:val="ListParagraph"/>
        <w:numPr>
          <w:ilvl w:val="1"/>
          <w:numId w:val="15"/>
        </w:numPr>
        <w:tabs>
          <w:tab w:val="left" w:pos="1658"/>
        </w:tabs>
        <w:spacing w:before="0" w:after="0" w:line="364" w:lineRule="auto"/>
        <w:ind w:left="184" w:right="707" w:firstLine="838"/>
        <w:jc w:val="both"/>
        <w:rPr>
          <w:sz w:val="42"/>
        </w:rPr>
      </w:pPr>
      <w:r>
        <w:rPr>
          <w:spacing w:val="-1"/>
          <w:sz w:val="42"/>
        </w:rPr>
        <w:t>推土机填土：推土机由下而上，分层铺填，每层需铺厚度不得大</w:t>
      </w:r>
      <w:r>
        <w:rPr>
          <w:spacing w:val="16"/>
          <w:sz w:val="42"/>
        </w:rPr>
        <w:t xml:space="preserve">于 </w:t>
      </w:r>
      <w:r>
        <w:rPr>
          <w:sz w:val="42"/>
        </w:rPr>
        <w:t>20CM</w:t>
      </w:r>
      <w:r>
        <w:rPr>
          <w:spacing w:val="-1"/>
          <w:sz w:val="42"/>
        </w:rPr>
        <w:t>。推土机推至填方部位时，应提起一次铲刀，成堆卸土，并向前</w:t>
      </w:r>
      <w:r>
        <w:rPr>
          <w:spacing w:val="-36"/>
          <w:sz w:val="42"/>
        </w:rPr>
        <w:t xml:space="preserve">行驶 </w:t>
      </w:r>
      <w:r>
        <w:rPr>
          <w:sz w:val="42"/>
        </w:rPr>
        <w:t>0.5-1</w:t>
      </w:r>
      <w:r>
        <w:rPr>
          <w:spacing w:val="-12"/>
          <w:sz w:val="42"/>
        </w:rPr>
        <w:t xml:space="preserve"> 米，利用推土机后退时将土刮平。</w:t>
      </w:r>
    </w:p>
    <w:p>
      <w:pPr>
        <w:pStyle w:val="ListParagraph"/>
        <w:numPr>
          <w:ilvl w:val="1"/>
          <w:numId w:val="15"/>
        </w:numPr>
        <w:tabs>
          <w:tab w:val="left" w:pos="1654"/>
        </w:tabs>
        <w:spacing w:before="0" w:after="0" w:line="364" w:lineRule="auto"/>
        <w:ind w:left="184" w:right="495" w:firstLine="838"/>
        <w:jc w:val="left"/>
        <w:rPr>
          <w:sz w:val="42"/>
        </w:rPr>
      </w:pPr>
      <w:r>
        <w:rPr>
          <w:spacing w:val="1"/>
          <w:sz w:val="42"/>
        </w:rPr>
        <w:t>道路铺设碾压：路基分层取土筑填，筑填厚度不得超过</w:t>
      </w:r>
      <w:r>
        <w:rPr>
          <w:sz w:val="42"/>
        </w:rPr>
        <w:t>20cm，机</w:t>
      </w:r>
      <w:r>
        <w:rPr>
          <w:spacing w:val="1"/>
          <w:sz w:val="42"/>
        </w:rPr>
        <w:t>械分层碾压，盐渍土面层采用人工找平机械碾压，压实度大于</w:t>
      </w:r>
      <w:r>
        <w:rPr>
          <w:sz w:val="42"/>
        </w:rPr>
        <w:t>93%；用压</w:t>
      </w:r>
      <w:r>
        <w:rPr>
          <w:spacing w:val="-1"/>
          <w:sz w:val="42"/>
        </w:rPr>
        <w:t>路机进行填方压实，应采用“薄填、慢行、多次”的方法，填土厚度不得</w:t>
      </w:r>
      <w:r>
        <w:rPr>
          <w:spacing w:val="-33"/>
          <w:sz w:val="42"/>
        </w:rPr>
        <w:t xml:space="preserve">超过 </w:t>
      </w:r>
      <w:r>
        <w:rPr>
          <w:sz w:val="42"/>
        </w:rPr>
        <w:t>20</w:t>
      </w:r>
      <w:r>
        <w:rPr>
          <w:spacing w:val="-98"/>
          <w:sz w:val="42"/>
        </w:rPr>
        <w:t xml:space="preserve"> </w:t>
      </w:r>
      <w:r>
        <w:rPr>
          <w:spacing w:val="-49"/>
          <w:sz w:val="42"/>
        </w:rPr>
        <w:t>cm</w:t>
      </w:r>
      <w:r>
        <w:rPr>
          <w:spacing w:val="-20"/>
          <w:sz w:val="42"/>
        </w:rPr>
        <w:t xml:space="preserve">，碾压方向从两边逐渐压向中间，碾轮每次重叠宽度约为 </w:t>
      </w:r>
      <w:r>
        <w:rPr>
          <w:sz w:val="42"/>
        </w:rPr>
        <w:t xml:space="preserve">15-25 </w:t>
      </w:r>
      <w:r>
        <w:rPr>
          <w:spacing w:val="-20"/>
          <w:sz w:val="42"/>
        </w:rPr>
        <w:t>cm</w:t>
      </w:r>
      <w:r>
        <w:rPr>
          <w:spacing w:val="-17"/>
          <w:sz w:val="42"/>
        </w:rPr>
        <w:t xml:space="preserve">，避免漏压。碾压遍数不得少于 </w:t>
      </w:r>
      <w:r>
        <w:rPr>
          <w:sz w:val="42"/>
        </w:rPr>
        <w:t>4-5</w:t>
      </w:r>
      <w:r>
        <w:rPr>
          <w:spacing w:val="-14"/>
          <w:sz w:val="42"/>
        </w:rPr>
        <w:t xml:space="preserve"> 遍，运行中碾轮边距填方边缘应大</w:t>
      </w:r>
      <w:r>
        <w:rPr>
          <w:spacing w:val="-1"/>
          <w:sz w:val="42"/>
        </w:rPr>
        <w:t xml:space="preserve">于 </w:t>
      </w:r>
      <w:r>
        <w:rPr>
          <w:sz w:val="42"/>
        </w:rPr>
        <w:t>500</w:t>
      </w:r>
      <w:r>
        <w:rPr>
          <w:spacing w:val="11"/>
          <w:sz w:val="42"/>
        </w:rPr>
        <w:t xml:space="preserve"> </w:t>
      </w:r>
      <w:r>
        <w:rPr>
          <w:sz w:val="42"/>
        </w:rPr>
        <w:t>cm，以防发生溜坡倾倒。边角、边坡、边缘压实不到之处，应辅小型机具夯实。</w:t>
      </w:r>
    </w:p>
    <w:p>
      <w:pPr>
        <w:pStyle w:val="ListParagraph"/>
        <w:numPr>
          <w:ilvl w:val="1"/>
          <w:numId w:val="15"/>
        </w:numPr>
        <w:tabs>
          <w:tab w:val="left" w:pos="1658"/>
        </w:tabs>
        <w:spacing w:before="3" w:after="0" w:line="367" w:lineRule="auto"/>
        <w:ind w:left="184" w:right="705" w:firstLine="838"/>
        <w:jc w:val="left"/>
        <w:rPr>
          <w:sz w:val="42"/>
        </w:rPr>
      </w:pPr>
      <w:r>
        <w:rPr>
          <w:spacing w:val="1"/>
          <w:sz w:val="42"/>
        </w:rPr>
        <w:t xml:space="preserve">路基压实后，应对于每层回填土进行检验，压实度应大于 </w:t>
      </w:r>
      <w:r>
        <w:rPr>
          <w:spacing w:val="-5"/>
          <w:sz w:val="42"/>
        </w:rPr>
        <w:t xml:space="preserve">93%， </w:t>
      </w:r>
      <w:r>
        <w:rPr>
          <w:sz w:val="42"/>
        </w:rPr>
        <w:t>合格后，方可进行下一层土方逐填。</w:t>
      </w:r>
    </w:p>
    <w:p>
      <w:pPr>
        <w:pStyle w:val="BodyText"/>
        <w:spacing w:before="186"/>
        <w:ind w:left="1022"/>
      </w:pPr>
      <w:r>
        <w:t>五、冬季施工技术措施：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4" w:right="695" w:firstLine="1051"/>
      </w:pPr>
      <w:r>
        <w:t>1</w:t>
      </w:r>
      <w:r>
        <w:rPr>
          <w:spacing w:val="-20"/>
        </w:rPr>
        <w:t xml:space="preserve">、土在冬季施工时,为防止基土受东基底预留 </w:t>
      </w:r>
      <w:r>
        <w:t>20cm</w:t>
      </w:r>
      <w:r>
        <w:rPr>
          <w:spacing w:val="-16"/>
        </w:rPr>
        <w:t xml:space="preserve"> 土待基槽验收完</w:t>
      </w:r>
      <w:r>
        <w:rPr>
          <w:spacing w:val="-2"/>
        </w:rPr>
        <w:t>毕后由人工清理,其上满铺一层阻燃草纤被保温.</w:t>
      </w:r>
    </w:p>
    <w:p>
      <w:pPr>
        <w:pStyle w:val="BodyText"/>
        <w:spacing w:line="417" w:lineRule="auto"/>
        <w:ind w:left="450" w:right="667" w:firstLine="629"/>
      </w:pPr>
      <w:r>
        <w:t>2、人工清理预留土层与垫层混凝土浇筑分区流水进行 ,不得将基土长时间暴露,预留土清理后混凝土筑前同样覆盖一层阻燃草纤被保温.</w:t>
      </w:r>
    </w:p>
    <w:p>
      <w:pPr>
        <w:pStyle w:val="BodyText"/>
        <w:ind w:left="1022"/>
      </w:pPr>
      <w:r>
        <w:t>3、接头在浇筑混凝土前将钢筋上的冰雪冻块清理干净.</w:t>
      </w:r>
    </w:p>
    <w:p>
      <w:pPr>
        <w:pStyle w:val="BodyText"/>
        <w:rPr>
          <w:sz w:val="31"/>
        </w:rPr>
      </w:pPr>
    </w:p>
    <w:p>
      <w:pPr>
        <w:pStyle w:val="BodyText"/>
        <w:ind w:left="1022"/>
      </w:pPr>
      <w:r>
        <w:t>4、浇筑完的混凝土表面的预留钢筋上的混凝土及时清理干净.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4" w:right="701" w:firstLine="838"/>
      </w:pPr>
      <w:r>
        <w:t>5</w:t>
      </w:r>
      <w:r>
        <w:rPr>
          <w:spacing w:val="-15"/>
        </w:rPr>
        <w:t>、钢筋负温焊接,采用电弧焊焊接方法,当环境温度低于</w:t>
      </w:r>
      <w:r>
        <w:rPr>
          <w:spacing w:val="-10"/>
        </w:rPr>
        <w:t>-20</w:t>
      </w:r>
      <w:r>
        <w:rPr>
          <w:spacing w:val="-10"/>
          <w:position w:val="3"/>
          <w:sz w:val="29"/>
        </w:rPr>
        <w:t>0</w:t>
      </w:r>
      <w:r>
        <w:rPr>
          <w:spacing w:val="-10"/>
        </w:rPr>
        <w:t>C</w:t>
      </w:r>
      <w:r>
        <w:rPr>
          <w:spacing w:val="-25"/>
        </w:rPr>
        <w:t xml:space="preserve"> 时不得</w:t>
      </w:r>
      <w:r>
        <w:t>施焊.</w:t>
      </w:r>
    </w:p>
    <w:p>
      <w:pPr>
        <w:pStyle w:val="BodyText"/>
        <w:spacing w:line="537" w:lineRule="exact"/>
        <w:ind w:left="1022"/>
      </w:pPr>
      <w:r>
        <w:t>6、雪天或施工现场风速超过 5.4m/s(3 级风)焊接时,采用遮蔽措施,</w:t>
      </w:r>
    </w:p>
    <w:p>
      <w:pPr>
        <w:spacing w:after="0" w:line="537" w:lineRule="exact"/>
        <w:sectPr>
          <w:headerReference w:type="default" r:id="rId19"/>
          <w:footerReference w:type="default" r:id="rId20"/>
          <w:pgSz w:w="17860" w:h="25270"/>
          <w:pgMar w:top="1420" w:right="1500" w:bottom="1920" w:left="2200" w:header="1088" w:footer="173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43"/>
        <w:ind w:left="184"/>
      </w:pPr>
      <w:r>
        <w:t>焊接后冷却的接头,不要碰到冰雪.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84" w:right="485" w:firstLine="838"/>
      </w:pPr>
      <w:r>
        <w:t>7</w:t>
      </w:r>
      <w:r>
        <w:rPr>
          <w:spacing w:val="-29"/>
        </w:rPr>
        <w:t xml:space="preserve">、冬季施工用于搅拌混凝土的砂、石、水泥均应保持正温，采用 </w:t>
      </w:r>
      <w:r>
        <w:t>32.5 以上的普通硅酸盐水泥，用暖棚存放，并不得直接接触80</w:t>
      </w:r>
      <w:r>
        <w:rPr>
          <w:position w:val="3"/>
          <w:sz w:val="21"/>
        </w:rPr>
        <w:t>0</w:t>
      </w:r>
      <w:r>
        <w:t>C</w:t>
      </w:r>
      <w:r>
        <w:rPr>
          <w:spacing w:val="-15"/>
        </w:rPr>
        <w:t xml:space="preserve"> 以上的热水， </w:t>
      </w:r>
      <w:r>
        <w:t>水泥不得直接加温。</w:t>
      </w:r>
    </w:p>
    <w:p>
      <w:pPr>
        <w:pStyle w:val="BodyText"/>
        <w:spacing w:line="417" w:lineRule="auto"/>
        <w:ind w:left="184" w:right="695" w:firstLine="629"/>
        <w:jc w:val="both"/>
      </w:pPr>
      <w:r>
        <w:t>8</w:t>
      </w:r>
      <w:r>
        <w:rPr>
          <w:spacing w:val="-17"/>
        </w:rPr>
        <w:t xml:space="preserve">、拌制混凝土采用加热水的方法，水温不大于 </w:t>
      </w:r>
      <w:r>
        <w:rPr>
          <w:spacing w:val="-13"/>
        </w:rPr>
        <w:t>80</w:t>
      </w:r>
      <w:r>
        <w:rPr>
          <w:spacing w:val="-13"/>
          <w:position w:val="3"/>
          <w:sz w:val="21"/>
        </w:rPr>
        <w:t>0</w:t>
      </w:r>
      <w:r>
        <w:rPr>
          <w:spacing w:val="-13"/>
        </w:rPr>
        <w:t>C</w:t>
      </w:r>
      <w:r>
        <w:rPr>
          <w:spacing w:val="-6"/>
        </w:rPr>
        <w:t>，若达不到热功计</w:t>
      </w:r>
      <w:r>
        <w:rPr>
          <w:spacing w:val="-16"/>
        </w:rPr>
        <w:t xml:space="preserve">算的要求，则采用骨料加热法，骨料的加热温度不大于 </w:t>
      </w:r>
      <w:r>
        <w:rPr>
          <w:spacing w:val="-13"/>
        </w:rPr>
        <w:t>50</w:t>
      </w:r>
      <w:r>
        <w:rPr>
          <w:spacing w:val="-13"/>
          <w:position w:val="3"/>
          <w:sz w:val="21"/>
        </w:rPr>
        <w:t>0</w:t>
      </w:r>
      <w:r>
        <w:rPr>
          <w:spacing w:val="-13"/>
        </w:rPr>
        <w:t>C</w:t>
      </w:r>
      <w:r>
        <w:rPr>
          <w:spacing w:val="-6"/>
        </w:rPr>
        <w:t>，具体温度值</w:t>
      </w:r>
      <w:r>
        <w:t>由热功计算确定。</w:t>
      </w:r>
    </w:p>
    <w:p>
      <w:pPr>
        <w:pStyle w:val="BodyText"/>
        <w:spacing w:line="417" w:lineRule="auto"/>
        <w:ind w:left="184" w:right="500" w:firstLine="629"/>
      </w:pPr>
      <w:r>
        <w:t>9</w:t>
      </w:r>
      <w:r>
        <w:rPr>
          <w:spacing w:val="-1"/>
        </w:rPr>
        <w:t>、骨料必须清洁，不得含有冰、雪等冻结物及易冻裂的矿物质，含泥</w:t>
      </w:r>
      <w:r>
        <w:rPr>
          <w:spacing w:val="-16"/>
        </w:rPr>
        <w:t>量不得超过规定值，掺含钾、钠离子早强型防冻剂时，混凝土中不得含有活性骨料。</w:t>
      </w:r>
    </w:p>
    <w:p>
      <w:pPr>
        <w:pStyle w:val="BodyText"/>
        <w:spacing w:line="417" w:lineRule="auto"/>
        <w:ind w:left="184" w:right="706" w:firstLine="629"/>
      </w:pPr>
      <w:r>
        <w:t>10、严格控制水灰比，不得大于 0.6，每立方米混凝土水泥用量不少于 300kg，由骨料带入的水分及外加剂溶液中的水分均应从拌合水中扣除。</w:t>
      </w:r>
    </w:p>
    <w:p>
      <w:pPr>
        <w:pStyle w:val="BodyText"/>
        <w:spacing w:line="417" w:lineRule="auto"/>
        <w:ind w:left="184" w:right="702" w:firstLine="629"/>
        <w:jc w:val="both"/>
      </w:pPr>
      <w:r>
        <w:t>11</w:t>
      </w:r>
      <w:r>
        <w:rPr>
          <w:spacing w:val="-1"/>
        </w:rPr>
        <w:t>、外加剂采用无盐类防冻剂，大体积混凝土加用引气剂或引气减水</w:t>
      </w:r>
      <w:r>
        <w:rPr>
          <w:spacing w:val="-15"/>
        </w:rPr>
        <w:t>剂，配置防冻剂溶液要有专人负责，严格控制防冻剂等外加剂掺量；外加</w:t>
      </w:r>
      <w:r>
        <w:rPr>
          <w:spacing w:val="-13"/>
        </w:rPr>
        <w:t>剂必须使用符合设计规范规定，并经试验室的同意，符合《混凝土外加剂</w:t>
      </w:r>
      <w:r>
        <w:rPr>
          <w:spacing w:val="-31"/>
        </w:rPr>
        <w:t>应用技术规范》</w:t>
      </w:r>
      <w:r>
        <w:t>（GB8075、GB8076）的规定方可使用。</w:t>
      </w:r>
    </w:p>
    <w:p>
      <w:pPr>
        <w:pStyle w:val="BodyText"/>
        <w:spacing w:line="417" w:lineRule="auto"/>
        <w:ind w:left="184" w:right="707" w:firstLine="629"/>
      </w:pPr>
      <w:r>
        <w:t>12、做好中心温度及表面温度记录并控制好中心及表面温差情况，一般控制 15——20</w:t>
      </w:r>
      <w:r>
        <w:rPr>
          <w:position w:val="3"/>
          <w:sz w:val="21"/>
        </w:rPr>
        <w:t>0</w:t>
      </w:r>
      <w:r>
        <w:t>C 之间。</w:t>
      </w:r>
    </w:p>
    <w:p>
      <w:pPr>
        <w:pStyle w:val="BodyText"/>
        <w:spacing w:line="417" w:lineRule="auto"/>
        <w:ind w:left="184" w:right="707" w:firstLine="629"/>
      </w:pPr>
      <w:r>
        <w:t>13、做好大气温度记录，随时观查大气温度对混凝土中心及表面温度的影响。</w:t>
      </w:r>
    </w:p>
    <w:p>
      <w:pPr>
        <w:pStyle w:val="Heading1"/>
        <w:spacing w:line="537" w:lineRule="exact"/>
        <w:ind w:left="4187"/>
      </w:pPr>
      <w:r>
        <w:t>第五章工程施工技术及质量要求</w:t>
      </w:r>
    </w:p>
    <w:p>
      <w:pPr>
        <w:spacing w:after="0" w:line="537" w:lineRule="exact"/>
        <w:sectPr>
          <w:headerReference w:type="default" r:id="rId21"/>
          <w:footerReference w:type="default" r:id="rId22"/>
          <w:pgSz w:w="17860" w:h="25270"/>
          <w:pgMar w:top="1420" w:right="1500" w:bottom="1920" w:left="2200" w:header="1088" w:footer="1738"/>
          <w:pgNumType w:start="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spacing w:before="43"/>
        <w:ind w:left="184" w:right="0" w:firstLine="0"/>
        <w:jc w:val="left"/>
        <w:rPr>
          <w:b/>
          <w:sz w:val="42"/>
        </w:rPr>
      </w:pPr>
      <w:r>
        <w:rPr>
          <w:b/>
          <w:sz w:val="42"/>
        </w:rPr>
        <w:t>1、机动车停车场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14"/>
        </w:numPr>
        <w:tabs>
          <w:tab w:val="left" w:pos="817"/>
        </w:tabs>
        <w:spacing w:before="0" w:after="0" w:line="240" w:lineRule="auto"/>
        <w:ind w:left="816" w:right="0" w:hanging="633"/>
        <w:jc w:val="left"/>
        <w:rPr>
          <w:sz w:val="42"/>
        </w:rPr>
      </w:pPr>
      <w:r>
        <w:rPr>
          <w:sz w:val="42"/>
        </w:rPr>
        <w:t>、材料要求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1030"/>
        </w:tabs>
        <w:spacing w:before="0" w:after="0" w:line="417" w:lineRule="auto"/>
        <w:ind w:left="821" w:right="491" w:hanging="637"/>
        <w:jc w:val="both"/>
        <w:rPr>
          <w:sz w:val="42"/>
        </w:rPr>
      </w:pPr>
      <w:r>
        <w:tab/>
      </w:r>
      <w:r>
        <w:rPr>
          <w:spacing w:val="-1"/>
          <w:sz w:val="42"/>
        </w:rPr>
        <w:t>路基填土可采用一般土，不得采用粉土及湿陷性黄土，不得含有草、</w:t>
      </w:r>
      <w:r>
        <w:rPr>
          <w:spacing w:val="-11"/>
          <w:sz w:val="42"/>
        </w:rPr>
        <w:t xml:space="preserve">树根等杂物，粒径超过 </w:t>
      </w:r>
      <w:r>
        <w:rPr>
          <w:sz w:val="42"/>
        </w:rPr>
        <w:t>100mm</w:t>
      </w:r>
      <w:r>
        <w:rPr>
          <w:spacing w:val="-16"/>
          <w:sz w:val="42"/>
        </w:rPr>
        <w:t xml:space="preserve"> 的土块应打碎。</w:t>
      </w:r>
    </w:p>
    <w:p>
      <w:pPr>
        <w:pStyle w:val="ListParagraph"/>
        <w:numPr>
          <w:ilvl w:val="0"/>
          <w:numId w:val="13"/>
        </w:numPr>
        <w:tabs>
          <w:tab w:val="left" w:pos="821"/>
        </w:tabs>
        <w:spacing w:before="0" w:after="0" w:line="417" w:lineRule="auto"/>
        <w:ind w:left="821" w:right="645" w:hanging="637"/>
        <w:jc w:val="both"/>
        <w:rPr>
          <w:sz w:val="42"/>
        </w:rPr>
      </w:pPr>
      <w:r>
        <w:rPr>
          <w:sz w:val="42"/>
        </w:rPr>
        <w:t>砂夹石须采用级配材料，不得含有草根、树叶、塑料袋等有机杂物及</w:t>
      </w:r>
      <w:r>
        <w:rPr>
          <w:spacing w:val="5"/>
          <w:sz w:val="42"/>
        </w:rPr>
        <w:t>垃圾。含泥量不得超过</w:t>
      </w:r>
      <w:r>
        <w:rPr>
          <w:sz w:val="42"/>
        </w:rPr>
        <w:t>5</w:t>
      </w:r>
      <w:r>
        <w:rPr>
          <w:spacing w:val="-1"/>
          <w:sz w:val="42"/>
        </w:rPr>
        <w:t>%。碎石及卵石最大粒径不得大于垫层或虚铺</w:t>
      </w:r>
      <w:r>
        <w:rPr>
          <w:spacing w:val="-27"/>
          <w:sz w:val="42"/>
        </w:rPr>
        <w:t xml:space="preserve">厚度的 </w:t>
      </w:r>
      <w:r>
        <w:rPr>
          <w:sz w:val="42"/>
        </w:rPr>
        <w:t>2/3</w:t>
      </w:r>
      <w:r>
        <w:rPr>
          <w:spacing w:val="-16"/>
          <w:sz w:val="42"/>
        </w:rPr>
        <w:t xml:space="preserve">，且不得大于 </w:t>
      </w:r>
      <w:r>
        <w:rPr>
          <w:sz w:val="42"/>
        </w:rPr>
        <w:t>100mm，颗粒级配应良好。</w:t>
      </w:r>
    </w:p>
    <w:p>
      <w:pPr>
        <w:pStyle w:val="ListParagraph"/>
        <w:numPr>
          <w:ilvl w:val="0"/>
          <w:numId w:val="13"/>
        </w:numPr>
        <w:tabs>
          <w:tab w:val="left" w:pos="821"/>
        </w:tabs>
        <w:spacing w:before="0" w:after="0" w:line="417" w:lineRule="auto"/>
        <w:ind w:left="821" w:right="700" w:hanging="637"/>
        <w:jc w:val="both"/>
        <w:rPr>
          <w:sz w:val="42"/>
        </w:rPr>
      </w:pPr>
      <w:r>
        <w:rPr>
          <w:spacing w:val="-1"/>
          <w:sz w:val="42"/>
        </w:rPr>
        <w:t>混凝土：混凝土应采用预拌商品混凝土，考虑施工季节，应考虑添加</w:t>
      </w:r>
      <w:r>
        <w:rPr>
          <w:sz w:val="42"/>
        </w:rPr>
        <w:t>相应防冻剂。</w:t>
      </w:r>
    </w:p>
    <w:p>
      <w:pPr>
        <w:pStyle w:val="ListParagraph"/>
        <w:numPr>
          <w:ilvl w:val="1"/>
          <w:numId w:val="14"/>
        </w:numPr>
        <w:tabs>
          <w:tab w:val="left" w:pos="817"/>
        </w:tabs>
        <w:spacing w:before="0" w:after="0" w:line="537" w:lineRule="exact"/>
        <w:ind w:left="816" w:right="0" w:hanging="633"/>
        <w:jc w:val="left"/>
        <w:rPr>
          <w:sz w:val="42"/>
        </w:rPr>
      </w:pPr>
      <w:r>
        <w:rPr>
          <w:sz w:val="42"/>
        </w:rPr>
        <w:t>、工艺流程</w:t>
      </w:r>
    </w:p>
    <w:p>
      <w:pPr>
        <w:pStyle w:val="BodyText"/>
        <w:rPr>
          <w:sz w:val="31"/>
        </w:rPr>
      </w:pPr>
    </w:p>
    <w:p>
      <w:pPr>
        <w:pStyle w:val="BodyText"/>
        <w:ind w:left="184"/>
      </w:pPr>
      <w:r>
        <w:t>清表——&gt;基底压实——&gt;分层回填素土—— &gt;回填砂夹石垫层—— &gt;支模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84"/>
      </w:pPr>
      <w:r>
        <w:t>——&gt;浇筑——&gt;养生——&gt;嵌缝——&gt;划线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236"/>
          <w:tab w:val="left" w:pos="2494"/>
        </w:tabs>
        <w:spacing w:before="1" w:after="0" w:line="240" w:lineRule="auto"/>
        <w:ind w:left="1236" w:right="0" w:hanging="1052"/>
        <w:jc w:val="left"/>
        <w:rPr>
          <w:sz w:val="42"/>
        </w:rPr>
      </w:pPr>
      <w:r>
        <w:rPr>
          <w:sz w:val="42"/>
        </w:rPr>
        <w:t>清表</w:t>
        <w:tab/>
        <w:t>挖除树根、排除地表水后清除表层植物、根植土、杂草。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236"/>
          <w:tab w:val="left" w:pos="3247"/>
        </w:tabs>
        <w:spacing w:before="0" w:after="0" w:line="240" w:lineRule="auto"/>
        <w:ind w:left="1236" w:right="0" w:hanging="1052"/>
        <w:jc w:val="left"/>
        <w:rPr>
          <w:sz w:val="42"/>
        </w:rPr>
      </w:pPr>
      <w:r>
        <w:rPr>
          <w:sz w:val="42"/>
        </w:rPr>
        <w:t>基底压实</w:t>
        <w:tab/>
        <w:t>机械开挖至设计标高或原土层外运后</w:t>
      </w:r>
      <w:r>
        <w:rPr>
          <w:spacing w:val="-110"/>
          <w:sz w:val="42"/>
        </w:rPr>
        <w:t>，</w:t>
      </w:r>
      <w:r>
        <w:rPr>
          <w:sz w:val="42"/>
        </w:rPr>
        <w:t>震动压路机压实。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236"/>
          <w:tab w:val="left" w:pos="4177"/>
        </w:tabs>
        <w:spacing w:before="0" w:after="0" w:line="417" w:lineRule="auto"/>
        <w:ind w:left="184" w:right="695" w:firstLine="0"/>
        <w:jc w:val="left"/>
        <w:rPr>
          <w:sz w:val="42"/>
        </w:rPr>
      </w:pPr>
      <w:r>
        <w:rPr>
          <w:sz w:val="42"/>
        </w:rPr>
        <w:t>分层回填素土</w:t>
        <w:tab/>
        <w:t>按照虚铺厚度</w:t>
      </w:r>
      <w:r>
        <w:rPr>
          <w:spacing w:val="-56"/>
          <w:sz w:val="42"/>
        </w:rPr>
        <w:t xml:space="preserve"> </w:t>
      </w:r>
      <w:r>
        <w:rPr>
          <w:sz w:val="42"/>
        </w:rPr>
        <w:t>25cm，压实厚度</w:t>
      </w:r>
      <w:r>
        <w:rPr>
          <w:spacing w:val="-56"/>
          <w:sz w:val="42"/>
        </w:rPr>
        <w:t xml:space="preserve"> </w:t>
      </w:r>
      <w:r>
        <w:rPr>
          <w:sz w:val="42"/>
        </w:rPr>
        <w:t>20cm</w:t>
      </w:r>
      <w:r>
        <w:rPr>
          <w:spacing w:val="-56"/>
          <w:sz w:val="42"/>
        </w:rPr>
        <w:t xml:space="preserve"> </w:t>
      </w:r>
      <w:r>
        <w:rPr>
          <w:sz w:val="42"/>
        </w:rPr>
        <w:t>分层填筑，</w:t>
      </w:r>
      <w:r>
        <w:rPr>
          <w:spacing w:val="-16"/>
          <w:sz w:val="42"/>
        </w:rPr>
        <w:t>震</w:t>
      </w:r>
      <w:r>
        <w:rPr>
          <w:sz w:val="42"/>
        </w:rPr>
        <w:t>动压路机分层压实。</w:t>
      </w:r>
    </w:p>
    <w:p>
      <w:pPr>
        <w:pStyle w:val="ListParagraph"/>
        <w:numPr>
          <w:ilvl w:val="0"/>
          <w:numId w:val="12"/>
        </w:numPr>
        <w:tabs>
          <w:tab w:val="left" w:pos="1240"/>
          <w:tab w:val="left" w:pos="4608"/>
        </w:tabs>
        <w:spacing w:before="0" w:after="0" w:line="417" w:lineRule="auto"/>
        <w:ind w:left="184" w:right="703" w:firstLine="0"/>
        <w:jc w:val="left"/>
        <w:rPr>
          <w:sz w:val="42"/>
        </w:rPr>
      </w:pPr>
      <w:r>
        <w:rPr>
          <w:sz w:val="42"/>
        </w:rPr>
        <w:t>回填砂夹石垫层</w:t>
        <w:tab/>
        <w:t>按照级配回填砂夹石级配料至面层底面标高，</w:t>
      </w:r>
      <w:r>
        <w:rPr>
          <w:spacing w:val="-17"/>
          <w:sz w:val="42"/>
        </w:rPr>
        <w:t>机</w:t>
      </w:r>
      <w:r>
        <w:rPr>
          <w:sz w:val="42"/>
        </w:rPr>
        <w:t>械压实。</w:t>
      </w:r>
    </w:p>
    <w:p>
      <w:pPr>
        <w:pStyle w:val="ListParagraph"/>
        <w:numPr>
          <w:ilvl w:val="0"/>
          <w:numId w:val="12"/>
        </w:numPr>
        <w:tabs>
          <w:tab w:val="left" w:pos="1236"/>
          <w:tab w:val="left" w:pos="2494"/>
        </w:tabs>
        <w:spacing w:before="0" w:after="0" w:line="537" w:lineRule="exact"/>
        <w:ind w:left="1236" w:right="0" w:hanging="1052"/>
        <w:jc w:val="left"/>
        <w:rPr>
          <w:sz w:val="42"/>
        </w:rPr>
      </w:pPr>
      <w:r>
        <w:rPr>
          <w:sz w:val="42"/>
        </w:rPr>
        <w:t>支模</w:t>
        <w:tab/>
        <w:t>按照规范进行分块浇筑，并采取钢模板支模。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240"/>
          <w:tab w:val="left" w:pos="2502"/>
        </w:tabs>
        <w:spacing w:before="0" w:after="0" w:line="417" w:lineRule="auto"/>
        <w:ind w:left="184" w:right="704" w:firstLine="0"/>
        <w:jc w:val="left"/>
        <w:rPr>
          <w:sz w:val="42"/>
        </w:rPr>
      </w:pPr>
      <w:r>
        <w:rPr>
          <w:sz w:val="42"/>
        </w:rPr>
        <w:t>浇筑</w:t>
        <w:tab/>
        <w:t>采用商品混凝土分块浇筑，要求振捣到位，要求浇筑时预</w:t>
      </w:r>
      <w:r>
        <w:rPr>
          <w:spacing w:val="-18"/>
          <w:sz w:val="42"/>
        </w:rPr>
        <w:t>埋</w:t>
      </w:r>
      <w:r>
        <w:rPr>
          <w:sz w:val="42"/>
        </w:rPr>
        <w:t>相应拉结钢筋，浇筑后应及时压光。</w:t>
      </w:r>
    </w:p>
    <w:p>
      <w:pPr>
        <w:pStyle w:val="ListParagraph"/>
        <w:numPr>
          <w:ilvl w:val="0"/>
          <w:numId w:val="12"/>
        </w:numPr>
        <w:tabs>
          <w:tab w:val="left" w:pos="1236"/>
          <w:tab w:val="left" w:pos="2322"/>
        </w:tabs>
        <w:spacing w:before="0" w:after="0" w:line="537" w:lineRule="exact"/>
        <w:ind w:left="1236" w:right="0" w:hanging="1052"/>
        <w:jc w:val="left"/>
        <w:rPr>
          <w:sz w:val="42"/>
        </w:rPr>
      </w:pPr>
      <w:r>
        <w:rPr>
          <w:sz w:val="42"/>
        </w:rPr>
        <w:t>养生</w:t>
        <w:tab/>
        <w:t>混凝土浇筑后达到相应规定强度后需按照规范要求进行养生。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23"/>
          <w:footerReference w:type="default" r:id="rId24"/>
          <w:pgSz w:w="17860" w:h="25270"/>
          <w:pgMar w:top="1420" w:right="1500" w:bottom="1920" w:left="2200" w:header="1088" w:footer="173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1236"/>
          <w:tab w:val="left" w:pos="2494"/>
        </w:tabs>
        <w:spacing w:before="43" w:after="0" w:line="240" w:lineRule="auto"/>
        <w:ind w:left="1236" w:right="0" w:hanging="1052"/>
        <w:jc w:val="left"/>
        <w:rPr>
          <w:sz w:val="42"/>
        </w:rPr>
      </w:pPr>
      <w:r>
        <w:rPr>
          <w:sz w:val="42"/>
        </w:rPr>
        <w:t>嵌缝</w:t>
        <w:tab/>
        <w:t>达到使用强度后，需对分块浇筑缝填充沥青贯入式嵌缝料。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236"/>
          <w:tab w:val="left" w:pos="2494"/>
        </w:tabs>
        <w:spacing w:before="0" w:after="0" w:line="417" w:lineRule="auto"/>
        <w:ind w:left="184" w:right="1553" w:firstLine="0"/>
        <w:jc w:val="left"/>
        <w:rPr>
          <w:sz w:val="42"/>
        </w:rPr>
      </w:pPr>
      <w:r>
        <w:rPr>
          <w:sz w:val="42"/>
        </w:rPr>
        <w:t>划线</w:t>
        <w:tab/>
        <w:t>采用冷喷式路面划线，要求施工前放样，确认后施工</w:t>
      </w:r>
      <w:r>
        <w:rPr>
          <w:spacing w:val="-17"/>
          <w:sz w:val="42"/>
        </w:rPr>
        <w:t>。</w:t>
      </w:r>
      <w:r>
        <w:rPr>
          <w:sz w:val="42"/>
        </w:rPr>
        <w:t>1.3、质量要求</w:t>
      </w:r>
    </w:p>
    <w:p>
      <w:pPr>
        <w:pStyle w:val="ListParagraph"/>
        <w:numPr>
          <w:ilvl w:val="1"/>
          <w:numId w:val="12"/>
        </w:numPr>
        <w:tabs>
          <w:tab w:val="left" w:pos="1459"/>
        </w:tabs>
        <w:spacing w:before="0" w:after="0" w:line="417" w:lineRule="auto"/>
        <w:ind w:left="184" w:right="698" w:firstLine="838"/>
        <w:jc w:val="left"/>
        <w:rPr>
          <w:sz w:val="42"/>
        </w:rPr>
      </w:pPr>
      <w:r>
        <w:rPr>
          <w:spacing w:val="-11"/>
          <w:sz w:val="42"/>
        </w:rPr>
        <w:t>混凝土进场需提供相应资质证书及相应供货证明，得到许可后方可</w:t>
      </w:r>
      <w:r>
        <w:rPr>
          <w:sz w:val="42"/>
        </w:rPr>
        <w:t>进场。</w:t>
      </w:r>
    </w:p>
    <w:p>
      <w:pPr>
        <w:pStyle w:val="ListParagraph"/>
        <w:numPr>
          <w:ilvl w:val="1"/>
          <w:numId w:val="12"/>
        </w:numPr>
        <w:tabs>
          <w:tab w:val="left" w:pos="1459"/>
        </w:tabs>
        <w:spacing w:before="0" w:after="0" w:line="537" w:lineRule="exact"/>
        <w:ind w:left="1458" w:right="0" w:hanging="437"/>
        <w:jc w:val="left"/>
        <w:rPr>
          <w:sz w:val="42"/>
        </w:rPr>
      </w:pPr>
      <w:r>
        <w:rPr>
          <w:sz w:val="42"/>
        </w:rPr>
        <w:t>路基开挖及分层填筑时应及时通知业主方或监理现场核验。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4" w:right="935" w:firstLine="838"/>
        <w:rPr>
          <w:b/>
        </w:rPr>
      </w:pPr>
      <w:r>
        <w:rPr>
          <w:w w:val="100"/>
        </w:rPr>
        <w:t>c.砂夹石级配要求为砾石</w:t>
      </w:r>
      <w:r>
        <w:rPr>
          <w:spacing w:val="-10"/>
          <w:w w:val="100"/>
        </w:rPr>
        <w:t>（</w:t>
      </w:r>
      <w:r>
        <w:rPr>
          <w:w w:val="100"/>
        </w:rPr>
        <w:t>20-40m</w:t>
      </w:r>
      <w:r>
        <w:rPr>
          <w:spacing w:val="-9"/>
          <w:w w:val="100"/>
        </w:rPr>
        <w:t>m</w:t>
      </w:r>
      <w:r>
        <w:rPr>
          <w:spacing w:val="-209"/>
          <w:w w:val="100"/>
        </w:rPr>
        <w:t>）</w:t>
      </w:r>
      <w:r>
        <w:rPr>
          <w:spacing w:val="-2"/>
          <w:w w:val="100"/>
        </w:rPr>
        <w:t>：天然砂：水</w:t>
      </w:r>
      <w:r>
        <w:rPr>
          <w:w w:val="100"/>
        </w:rPr>
        <w:t>=9.11:4.97:</w:t>
      </w:r>
      <w:r>
        <w:rPr>
          <w:spacing w:val="-7"/>
          <w:w w:val="100"/>
        </w:rPr>
        <w:t>3</w:t>
      </w:r>
      <w:r>
        <w:rPr>
          <w:spacing w:val="-14"/>
          <w:w w:val="100"/>
        </w:rPr>
        <w:t>。</w:t>
      </w:r>
      <w:r>
        <w:rPr>
          <w:w w:val="100"/>
        </w:rPr>
        <w:t xml:space="preserve"> </w:t>
      </w:r>
      <w:r>
        <w:rPr>
          <w:b/>
        </w:rPr>
        <w:t>2、非机动车篷</w:t>
      </w:r>
    </w:p>
    <w:p>
      <w:pPr>
        <w:pStyle w:val="ListParagraph"/>
        <w:numPr>
          <w:ilvl w:val="1"/>
          <w:numId w:val="11"/>
        </w:numPr>
        <w:tabs>
          <w:tab w:val="left" w:pos="817"/>
        </w:tabs>
        <w:spacing w:before="0" w:after="0" w:line="537" w:lineRule="exact"/>
        <w:ind w:left="816" w:right="0" w:hanging="633"/>
        <w:jc w:val="left"/>
        <w:rPr>
          <w:sz w:val="42"/>
        </w:rPr>
      </w:pPr>
      <w:r>
        <w:rPr>
          <w:sz w:val="42"/>
        </w:rPr>
        <w:t>、材料要求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033" w:right="4275"/>
      </w:pPr>
      <w:r>
        <w:t>a.钢材型号应根据图纸规定选用国标合格产品。b.阳光板需采用PC 材质，厚度不低于 20mm。</w:t>
      </w:r>
    </w:p>
    <w:p>
      <w:pPr>
        <w:pStyle w:val="BodyText"/>
        <w:spacing w:line="417" w:lineRule="auto"/>
        <w:ind w:left="184" w:right="3434" w:firstLine="849"/>
      </w:pPr>
      <w:r>
        <w:t>c.强电电缆、电气开关插座等应选用国内一线品牌。2.2、工艺流程</w:t>
      </w:r>
    </w:p>
    <w:p>
      <w:pPr>
        <w:pStyle w:val="BodyText"/>
        <w:spacing w:line="417" w:lineRule="auto"/>
        <w:ind w:left="1361" w:right="703"/>
      </w:pPr>
      <w:r>
        <w:rPr>
          <w:spacing w:val="-24"/>
        </w:rPr>
        <w:t xml:space="preserve">开挖基础—— &gt;安装预埋件—— &gt;浇筑基础—— &gt;钢结构安装—— &gt; </w:t>
      </w:r>
      <w:r>
        <w:t>阳光板安装——&gt;配电</w:t>
      </w:r>
    </w:p>
    <w:p>
      <w:pPr>
        <w:pStyle w:val="ListParagraph"/>
        <w:numPr>
          <w:ilvl w:val="0"/>
          <w:numId w:val="10"/>
        </w:numPr>
        <w:tabs>
          <w:tab w:val="left" w:pos="2075"/>
          <w:tab w:val="left" w:pos="4184"/>
        </w:tabs>
        <w:spacing w:before="0" w:after="0" w:line="417" w:lineRule="auto"/>
        <w:ind w:left="184" w:right="708" w:firstLine="838"/>
        <w:jc w:val="left"/>
        <w:rPr>
          <w:sz w:val="42"/>
        </w:rPr>
      </w:pPr>
      <w:r>
        <w:rPr>
          <w:sz w:val="42"/>
        </w:rPr>
        <w:t>开挖基础</w:t>
        <w:tab/>
        <w:t>要求开挖基础按照路基建设标准建设，综合考虑</w:t>
      </w:r>
      <w:r>
        <w:rPr>
          <w:spacing w:val="-19"/>
          <w:sz w:val="42"/>
        </w:rPr>
        <w:t>排</w:t>
      </w:r>
      <w:r>
        <w:rPr>
          <w:sz w:val="42"/>
        </w:rPr>
        <w:t>水。</w:t>
      </w:r>
    </w:p>
    <w:p>
      <w:pPr>
        <w:pStyle w:val="ListParagraph"/>
        <w:numPr>
          <w:ilvl w:val="0"/>
          <w:numId w:val="10"/>
        </w:numPr>
        <w:tabs>
          <w:tab w:val="left" w:pos="2075"/>
          <w:tab w:val="left" w:pos="4605"/>
        </w:tabs>
        <w:spacing w:before="0" w:after="0" w:line="417" w:lineRule="auto"/>
        <w:ind w:left="184" w:right="708" w:firstLine="838"/>
        <w:jc w:val="left"/>
        <w:rPr>
          <w:sz w:val="42"/>
        </w:rPr>
      </w:pPr>
      <w:r>
        <w:rPr>
          <w:sz w:val="42"/>
        </w:rPr>
        <w:t>安装预埋件</w:t>
        <w:tab/>
        <w:t>在浇筑前需将车棚立柱预埋件安装到位，并做</w:t>
      </w:r>
      <w:r>
        <w:rPr>
          <w:spacing w:val="-19"/>
          <w:sz w:val="42"/>
        </w:rPr>
        <w:t>好</w:t>
      </w:r>
      <w:r>
        <w:rPr>
          <w:sz w:val="42"/>
        </w:rPr>
        <w:t>相应保护。</w:t>
      </w:r>
    </w:p>
    <w:p>
      <w:pPr>
        <w:pStyle w:val="ListParagraph"/>
        <w:numPr>
          <w:ilvl w:val="0"/>
          <w:numId w:val="10"/>
        </w:numPr>
        <w:tabs>
          <w:tab w:val="left" w:pos="2075"/>
          <w:tab w:val="left" w:pos="4184"/>
        </w:tabs>
        <w:spacing w:before="0" w:after="0" w:line="417" w:lineRule="auto"/>
        <w:ind w:left="184" w:right="708" w:firstLine="838"/>
        <w:jc w:val="left"/>
        <w:rPr>
          <w:sz w:val="42"/>
        </w:rPr>
      </w:pPr>
      <w:r>
        <w:rPr>
          <w:sz w:val="42"/>
        </w:rPr>
        <w:t>浇筑基础</w:t>
        <w:tab/>
        <w:t>采用商品混凝土分块浇筑，要求振捣到位，要求</w:t>
      </w:r>
      <w:r>
        <w:rPr>
          <w:spacing w:val="-19"/>
          <w:sz w:val="42"/>
        </w:rPr>
        <w:t>浇</w:t>
      </w:r>
      <w:r>
        <w:rPr>
          <w:sz w:val="42"/>
        </w:rPr>
        <w:t>筑时预埋相应拉结钢筋，浇筑后应及时压光。</w:t>
      </w:r>
    </w:p>
    <w:p>
      <w:pPr>
        <w:pStyle w:val="ListParagraph"/>
        <w:numPr>
          <w:ilvl w:val="0"/>
          <w:numId w:val="10"/>
        </w:numPr>
        <w:tabs>
          <w:tab w:val="left" w:pos="2075"/>
          <w:tab w:val="left" w:pos="4605"/>
        </w:tabs>
        <w:spacing w:before="0" w:after="0" w:line="537" w:lineRule="exact"/>
        <w:ind w:left="2074" w:right="0" w:hanging="1053"/>
        <w:jc w:val="left"/>
        <w:rPr>
          <w:sz w:val="42"/>
        </w:rPr>
      </w:pPr>
      <w:r>
        <w:rPr>
          <w:sz w:val="42"/>
        </w:rPr>
        <w:t>钢结构安装</w:t>
        <w:tab/>
        <w:t>安装前需作除锈及防锈漆处理，焊接完成后需对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25"/>
          <w:footerReference w:type="default" r:id="rId26"/>
          <w:pgSz w:w="17860" w:h="25270"/>
          <w:pgMar w:top="1420" w:right="1500" w:bottom="1920" w:left="2200" w:header="1088" w:footer="173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43"/>
        <w:ind w:left="184"/>
      </w:pPr>
      <w:r>
        <w:t>焊缝接口作防锈处理。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2075"/>
          <w:tab w:val="left" w:pos="4605"/>
        </w:tabs>
        <w:spacing w:before="0" w:after="0" w:line="417" w:lineRule="auto"/>
        <w:ind w:left="184" w:right="708" w:firstLine="838"/>
        <w:jc w:val="left"/>
        <w:rPr>
          <w:sz w:val="42"/>
        </w:rPr>
      </w:pPr>
      <w:r>
        <w:rPr>
          <w:sz w:val="42"/>
        </w:rPr>
        <w:t>阳光板安装</w:t>
        <w:tab/>
        <w:t>阳光板安装需整齐平整，接缝处防水、排水需</w:t>
      </w:r>
      <w:r>
        <w:rPr>
          <w:spacing w:val="-19"/>
          <w:sz w:val="42"/>
        </w:rPr>
        <w:t>综</w:t>
      </w:r>
      <w:r>
        <w:rPr>
          <w:sz w:val="42"/>
        </w:rPr>
        <w:t>合考虑。</w:t>
      </w:r>
    </w:p>
    <w:p>
      <w:pPr>
        <w:pStyle w:val="ListParagraph"/>
        <w:numPr>
          <w:ilvl w:val="0"/>
          <w:numId w:val="18"/>
        </w:numPr>
        <w:tabs>
          <w:tab w:val="left" w:pos="2075"/>
          <w:tab w:val="left" w:pos="3340"/>
        </w:tabs>
        <w:spacing w:before="0" w:after="0" w:line="417" w:lineRule="auto"/>
        <w:ind w:left="184" w:right="707" w:firstLine="838"/>
        <w:jc w:val="left"/>
        <w:rPr>
          <w:sz w:val="42"/>
        </w:rPr>
      </w:pPr>
      <w:r>
        <w:rPr>
          <w:sz w:val="42"/>
        </w:rPr>
        <w:t>配电</w:t>
        <w:tab/>
        <w:t>篷内充电插座需选用防水型插座及电箱，线路需穿管</w:t>
      </w:r>
      <w:r>
        <w:rPr>
          <w:spacing w:val="-17"/>
          <w:sz w:val="42"/>
        </w:rPr>
        <w:t xml:space="preserve">， </w:t>
      </w:r>
      <w:r>
        <w:rPr>
          <w:sz w:val="42"/>
        </w:rPr>
        <w:t>排布整齐美观。</w:t>
      </w:r>
    </w:p>
    <w:p>
      <w:pPr>
        <w:pStyle w:val="ListParagraph"/>
        <w:numPr>
          <w:ilvl w:val="1"/>
          <w:numId w:val="9"/>
        </w:numPr>
        <w:tabs>
          <w:tab w:val="left" w:pos="817"/>
        </w:tabs>
        <w:spacing w:before="0" w:after="0" w:line="537" w:lineRule="exact"/>
        <w:ind w:left="816" w:right="0" w:hanging="633"/>
        <w:jc w:val="left"/>
        <w:rPr>
          <w:sz w:val="42"/>
        </w:rPr>
      </w:pPr>
      <w:r>
        <w:rPr>
          <w:sz w:val="42"/>
        </w:rPr>
        <w:t>、质量要求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9"/>
        </w:numPr>
        <w:tabs>
          <w:tab w:val="left" w:pos="2705"/>
        </w:tabs>
        <w:spacing w:before="0" w:after="0" w:line="417" w:lineRule="auto"/>
        <w:ind w:left="813" w:right="701" w:firstLine="838"/>
        <w:jc w:val="left"/>
        <w:rPr>
          <w:sz w:val="42"/>
        </w:rPr>
      </w:pPr>
      <w:r>
        <w:rPr>
          <w:spacing w:val="-14"/>
          <w:sz w:val="42"/>
        </w:rPr>
        <w:t>所有安装工程均要求带线作业，要求横平竖直，充电插座均</w:t>
      </w:r>
      <w:r>
        <w:rPr>
          <w:sz w:val="42"/>
        </w:rPr>
        <w:t>要求安装牢固，能够承受快速插拔及合理拉拽。</w:t>
      </w:r>
    </w:p>
    <w:p>
      <w:pPr>
        <w:pStyle w:val="ListParagraph"/>
        <w:numPr>
          <w:ilvl w:val="2"/>
          <w:numId w:val="9"/>
        </w:numPr>
        <w:tabs>
          <w:tab w:val="left" w:pos="2705"/>
        </w:tabs>
        <w:spacing w:before="0" w:after="0" w:line="537" w:lineRule="exact"/>
        <w:ind w:left="2704" w:right="0" w:hanging="1053"/>
        <w:jc w:val="left"/>
        <w:rPr>
          <w:sz w:val="42"/>
        </w:rPr>
      </w:pPr>
      <w:r>
        <w:rPr>
          <w:spacing w:val="-8"/>
          <w:sz w:val="42"/>
        </w:rPr>
        <w:t xml:space="preserve">阳光板安装牢固，要求能够承受 </w:t>
      </w:r>
      <w:r>
        <w:rPr>
          <w:sz w:val="42"/>
        </w:rPr>
        <w:t>8</w:t>
      </w:r>
      <w:r>
        <w:rPr>
          <w:spacing w:val="-22"/>
          <w:sz w:val="42"/>
        </w:rPr>
        <w:t xml:space="preserve"> 级风力。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27"/>
          <w:footerReference w:type="default" r:id="rId28"/>
          <w:pgSz w:w="17860" w:h="25270"/>
          <w:pgMar w:top="1420" w:right="1500" w:bottom="1920" w:left="2200" w:header="1088" w:footer="1738"/>
          <w:pgNumType w:start="12"/>
          <w:cols w:space="708"/>
        </w:sectPr>
      </w:pPr>
    </w:p>
    <w:p>
      <w:pPr>
        <w:tabs>
          <w:tab w:val="left" w:pos="7701"/>
          <w:tab w:val="left" w:pos="13409"/>
        </w:tabs>
        <w:spacing w:before="48"/>
        <w:ind w:left="0" w:right="488" w:firstLine="0"/>
        <w:jc w:val="center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  <w:u w:val="single"/>
        </w:rPr>
        <w:t xml:space="preserve"> </w:t>
        <w:tab/>
      </w:r>
      <w:r>
        <w:rPr>
          <w:rFonts w:ascii="宋体" w:eastAsia="宋体" w:hint="eastAsia"/>
          <w:sz w:val="27"/>
          <w:u w:val="single"/>
        </w:rPr>
        <w:t>专业资料整理分享</w:t>
        <w:tab/>
      </w:r>
    </w:p>
    <w:p>
      <w:pPr>
        <w:pStyle w:val="BodyText"/>
        <w:rPr>
          <w:rFonts w:ascii="宋体"/>
          <w:sz w:val="30"/>
        </w:rPr>
      </w:pPr>
    </w:p>
    <w:p>
      <w:pPr>
        <w:pStyle w:val="Heading1"/>
        <w:spacing w:before="269"/>
        <w:ind w:left="0" w:right="522"/>
        <w:jc w:val="center"/>
      </w:pPr>
      <w:r>
        <w:rPr>
          <w:w w:val="95"/>
        </w:rPr>
        <w:t>布置图及施工图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  <w:r>
        <w:pict>
          <v:shape id="_x0000_s1025" style="width:548.95pt;height:0.1pt;margin-top:15.45pt;margin-left:161.21pt;mso-position-horizontal-relative:page;mso-wrap-distance-left:0;mso-wrap-distance-right:0;position:absolute;z-index:-251648000" coordorigin="3224,309" coordsize="10979,0" path="m3224,309l14203,309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2"/>
        </w:rPr>
      </w:pPr>
      <w:r>
        <w:pict>
          <v:shape id="_x0000_s1026" style="width:138.15pt;height:0.1pt;margin-top:10.22pt;margin-left:519.34pt;mso-position-horizontal-relative:page;mso-wrap-distance-left:0;mso-wrap-distance-right:0;position:absolute;z-index:-251646976" coordorigin="10387,204" coordsize="2763,0" path="m10387,204l13149,204e" filled="f" stroked="t" strokecolor="black" strokeweight="0.72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2931389</wp:posOffset>
            </wp:positionH>
            <wp:positionV relativeFrom="paragraph">
              <wp:posOffset>321947</wp:posOffset>
            </wp:positionV>
            <wp:extent cx="471300" cy="82296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300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b/>
          <w:sz w:val="17"/>
        </w:rPr>
      </w:pPr>
    </w:p>
    <w:p>
      <w:pPr>
        <w:spacing w:before="0" w:line="1041" w:lineRule="exact"/>
        <w:ind w:left="2048" w:right="522" w:firstLine="0"/>
        <w:jc w:val="center"/>
        <w:rPr>
          <w:rFonts w:ascii="Times New Roman" w:eastAsia="Times New Roman"/>
          <w:sz w:val="4"/>
        </w:rPr>
      </w:pPr>
      <w:r>
        <w:rPr>
          <w:rFonts w:ascii="宋体" w:eastAsia="宋体" w:hint="eastAsia"/>
          <w:color w:val="75EBE6"/>
          <w:spacing w:val="-9"/>
          <w:w w:val="103"/>
          <w:sz w:val="91"/>
        </w:rPr>
        <w:t>_</w:t>
      </w:r>
      <w:r>
        <w:rPr>
          <w:rFonts w:ascii="宋体" w:eastAsia="宋体" w:hint="eastAsia"/>
          <w:color w:val="75EBE6"/>
          <w:spacing w:val="-28"/>
          <w:w w:val="30"/>
          <w:sz w:val="91"/>
        </w:rPr>
        <w:t>＿</w:t>
      </w:r>
      <w:r>
        <w:rPr>
          <w:rFonts w:ascii="Times New Roman" w:eastAsia="Times New Roman"/>
          <w:color w:val="9AE9E6"/>
          <w:w w:val="76"/>
          <w:sz w:val="4"/>
        </w:rPr>
        <w:t>l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tabs>
          <w:tab w:val="left" w:leader="dot" w:pos="3165"/>
        </w:tabs>
        <w:spacing w:before="83" w:line="364" w:lineRule="exact"/>
        <w:ind w:left="2225" w:right="0" w:firstLine="0"/>
        <w:jc w:val="left"/>
        <w:rPr>
          <w:rFonts w:ascii="宋体" w:eastAsia="宋体" w:hAnsi="宋体" w:hint="eastAsia"/>
          <w:sz w:val="7"/>
        </w:rPr>
      </w:pPr>
      <w:r>
        <w:pict>
          <v:group id="_x0000_s1027" style="width:153.05pt;height:43.35pt;margin-top:-115.7pt;margin-left:354.52pt;mso-position-horizontal-relative:page;position:absolute;z-index:-251655168" coordorigin="7090,-2314" coordsize="3061,8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684;height:786;left:7090;position:absolute;top:-2290" stroked="f">
              <v:imagedata r:id="rId30" o:title=""/>
            </v:shape>
            <v:shape id="_x0000_s1029" style="width:333;height:560;left:9818;position:absolute;top:-2314" coordorigin="9818,-2314" coordsize="333,560" path="m10151,-2314l9858,-2314,9858,-2045,9818,-2045,9818,-1949,9818,-1755,10111,-1755,10111,-1949,10111,-2024,10151,-2024,10151,-2314xe" filled="t" fillcolor="#f2edf2" stroked="f">
              <v:fill type="solid"/>
              <v:path arrowok="t"/>
            </v:shape>
            <v:rect id="_x0000_s1030" style="width:293;height:213;left:9858;position:absolute;top:-1950" filled="t" fillcolor="#f0d8f0" stroked="f">
              <v:fill type="solid"/>
            </v:rect>
            <v:rect id="_x0000_s1031" style="width:293;height:291;left:9858;position:absolute;top:-1738" filled="t" fillcolor="#f2edf2" stroked="f">
              <v:fill type="solid"/>
            </v:rect>
          </v:group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2368013</wp:posOffset>
            </wp:positionH>
            <wp:positionV relativeFrom="paragraph">
              <wp:posOffset>253225</wp:posOffset>
            </wp:positionV>
            <wp:extent cx="490091" cy="384431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91" cy="384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6577307</wp:posOffset>
            </wp:positionH>
            <wp:positionV relativeFrom="paragraph">
              <wp:posOffset>-305113</wp:posOffset>
            </wp:positionV>
            <wp:extent cx="1800057" cy="1281436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057" cy="1281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2" style="mso-position-horizontal-relative:page;position:absolute;z-index:-251652096" from="515.35pt,-78.8pt" to="654.6pt,-78.8pt" stroked="t" strokecolor="black" strokeweight="2.88pt">
            <v:stroke dashstyle="solid"/>
          </v:line>
        </w:pict>
      </w:r>
      <w:r>
        <w:pict>
          <v:group id="_x0000_s1033" style="width:156.7pt;height:88.15pt;margin-top:-13.39pt;margin-left:355.06pt;mso-position-horizontal-relative:page;position:absolute;z-index:-251651072" coordorigin="7101,-268" coordsize="3134,1763">
            <v:shape id="_x0000_s1034" style="width:2655;height:1759;left:7104;position:absolute;top:-265" coordorigin="7105,-264" coordsize="2655,1759" path="m7105,-257l9759,-257m7105,183l9759,183m7112,1494l7112,-264m9456,1494l9456,-264m7105,629l9759,629e" filled="f" stroked="t" strokecolor="black" strokeweight="1.08pt">
              <v:stroke dashstyle="solid"/>
              <v:path arrowok="t"/>
            </v:shape>
            <v:line id="_x0000_s1035" style="position:absolute" from="7105,1033" to="7906,1033" stroked="t" strokecolor="black" strokeweight="0.72pt">
              <v:stroke dashstyle="solid"/>
            </v:line>
            <v:line id="_x0000_s1036" style="position:absolute" from="7891,1494" to="7891,-264" stroked="t" strokecolor="black" strokeweight="1.8pt">
              <v:stroke dashstyle="solid"/>
            </v:line>
            <v:line id="_x0000_s1037" style="position:absolute" from="7105,1480" to="9759,1480" stroked="t" strokecolor="black" strokeweight="1.08pt">
              <v:stroke dashstyle="solid"/>
            </v:line>
            <v:shape id="_x0000_s1038" style="width:1613;height:1609;left:8622;position:absolute;top:-135" coordorigin="8623,-134" coordsize="1613,1609" path="m8718,1340l8679,1340,8679,1475,8718,1475,8718,1340xm8746,985l8623,985,8623,1175,8746,1175,8746,985xm9424,985l9338,985,9338,1175,9424,1175,9424,985xm10235,778l9821,778,9821,1189,10235,1189,10235,778xm10235,-134l9821,-134,9821,135,9821,210,9821,276,9821,546,9821,621,10235,621,10235,546,10235,276,10235,210,10235,135,10235,-134xe" filled="t" fillcolor="#f2edf2" stroked="f">
              <v:fill type="solid"/>
              <v:path arrowok="t"/>
            </v:shape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width:13.7pt;height:39.8pt;margin-top:-8.29pt;margin-left:495.26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41"/>
                    </w:rPr>
                  </w:pPr>
                  <w:r>
                    <w:rPr>
                      <w:rFonts w:ascii="宋体"/>
                      <w:color w:val="BFAFB1"/>
                      <w:spacing w:val="-138"/>
                      <w:w w:val="100"/>
                      <w:sz w:val="41"/>
                    </w:rPr>
                    <w:t>/</w:t>
                  </w:r>
                  <w:r>
                    <w:rPr>
                      <w:rFonts w:ascii="宋体"/>
                      <w:color w:val="BFAFB1"/>
                      <w:spacing w:val="-338"/>
                      <w:w w:val="100"/>
                      <w:position w:val="3"/>
                      <w:sz w:val="41"/>
                    </w:rPr>
                    <w:t>}</w:t>
                  </w:r>
                  <w:r>
                    <w:rPr>
                      <w:rFonts w:ascii="宋体"/>
                      <w:color w:val="BFAFB1"/>
                      <w:w w:val="100"/>
                      <w:sz w:val="41"/>
                    </w:rPr>
                    <w:t>?</w:t>
                  </w:r>
                </w:p>
              </w:txbxContent>
            </v:textbox>
          </v:shape>
        </w:pict>
      </w:r>
      <w:r>
        <w:pict>
          <v:shape id="_x0000_s1040" type="#_x0000_t202" style="width:9.3pt;height:16.55pt;margin-top:-103.08pt;margin-left:497.41pt;mso-position-horizontal-relative:page;position:absolute;z-index:-2516500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color w:val="BFAFB1"/>
                      <w:w w:val="100"/>
                      <w:sz w:val="29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41" type="#_x0000_t202" style="width:11.5pt;height:45.35pt;margin-top:-117.11pt;margin-left:493.4pt;mso-position-horizontal-relative:page;position:absolute;z-index:-2516490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color w:val="BFAFB1"/>
                      <w:spacing w:val="-34"/>
                      <w:w w:val="100"/>
                      <w:sz w:val="29"/>
                    </w:rPr>
                    <w:t>/</w:t>
                  </w:r>
                  <w:r>
                    <w:rPr>
                      <w:rFonts w:ascii="宋体"/>
                      <w:color w:val="BFAFB1"/>
                      <w:spacing w:val="29"/>
                      <w:w w:val="100"/>
                      <w:position w:val="-3"/>
                      <w:sz w:val="29"/>
                    </w:rPr>
                    <w:t>\</w:t>
                  </w:r>
                  <w:r>
                    <w:rPr>
                      <w:rFonts w:ascii="宋体"/>
                      <w:color w:val="BFAFB1"/>
                      <w:w w:val="100"/>
                      <w:sz w:val="29"/>
                    </w:rPr>
                    <w:t>/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DA95D8"/>
          <w:w w:val="103"/>
          <w:sz w:val="20"/>
        </w:rPr>
        <w:t>,.</w:t>
      </w:r>
      <w:r>
        <w:rPr>
          <w:rFonts w:ascii="宋体" w:eastAsia="宋体" w:hAnsi="宋体" w:hint="eastAsia"/>
          <w:color w:val="DA95D8"/>
          <w:w w:val="69"/>
          <w:sz w:val="20"/>
        </w:rPr>
        <w:t>..</w:t>
      </w:r>
      <w:r>
        <w:rPr>
          <w:rFonts w:ascii="宋体" w:eastAsia="宋体" w:hAnsi="宋体" w:hint="eastAsia"/>
          <w:color w:val="DA95D8"/>
          <w:spacing w:val="-49"/>
          <w:w w:val="69"/>
          <w:sz w:val="20"/>
        </w:rPr>
        <w:t>.</w:t>
      </w:r>
      <w:r>
        <w:rPr>
          <w:rFonts w:ascii="宋体" w:eastAsia="宋体" w:hAnsi="宋体" w:hint="eastAsia"/>
          <w:color w:val="DA95D8"/>
          <w:w w:val="62"/>
          <w:sz w:val="20"/>
        </w:rPr>
        <w:t>..</w:t>
      </w:r>
      <w:r>
        <w:rPr>
          <w:rFonts w:ascii="宋体" w:eastAsia="宋体" w:hAnsi="宋体" w:hint="eastAsia"/>
          <w:color w:val="DA95D8"/>
          <w:spacing w:val="-27"/>
          <w:w w:val="62"/>
          <w:sz w:val="20"/>
        </w:rPr>
        <w:t>.</w:t>
      </w:r>
      <w:r>
        <w:rPr>
          <w:rFonts w:ascii="宋体" w:eastAsia="宋体" w:hAnsi="宋体" w:hint="eastAsia"/>
          <w:color w:val="DA95D8"/>
          <w:spacing w:val="-24"/>
          <w:w w:val="37"/>
          <w:sz w:val="20"/>
        </w:rPr>
        <w:t>徊</w:t>
      </w:r>
      <w:r>
        <w:rPr>
          <w:rFonts w:ascii="宋体" w:eastAsia="宋体" w:hAnsi="宋体" w:hint="eastAsia"/>
          <w:color w:val="DA95D8"/>
          <w:w w:val="100"/>
          <w:sz w:val="20"/>
        </w:rPr>
        <w:t xml:space="preserve"> </w:t>
      </w:r>
      <w:r>
        <w:rPr>
          <w:rFonts w:ascii="宋体" w:eastAsia="宋体" w:hAnsi="宋体" w:hint="eastAsia"/>
          <w:color w:val="DA95D8"/>
          <w:sz w:val="20"/>
        </w:rPr>
        <w:tab/>
      </w:r>
      <w:r>
        <w:rPr>
          <w:rFonts w:ascii="Times New Roman" w:eastAsia="Times New Roman" w:hAnsi="Times New Roman"/>
          <w:color w:val="DA95D8"/>
          <w:spacing w:val="3"/>
          <w:w w:val="21"/>
          <w:sz w:val="40"/>
        </w:rPr>
        <w:t>1</w:t>
      </w:r>
      <w:r>
        <w:rPr>
          <w:rFonts w:ascii="Times New Roman" w:eastAsia="Times New Roman" w:hAnsi="Times New Roman"/>
          <w:color w:val="DA95D8"/>
          <w:w w:val="49"/>
          <w:sz w:val="40"/>
        </w:rPr>
        <w:t>.</w:t>
      </w:r>
      <w:r>
        <w:rPr>
          <w:rFonts w:ascii="Times New Roman" w:eastAsia="Times New Roman" w:hAnsi="Times New Roman"/>
          <w:color w:val="DA95D8"/>
          <w:spacing w:val="8"/>
          <w:sz w:val="40"/>
        </w:rPr>
        <w:t xml:space="preserve"> </w:t>
      </w:r>
      <w:r>
        <w:rPr>
          <w:rFonts w:ascii="宋体" w:eastAsia="宋体" w:hAnsi="宋体" w:hint="eastAsia"/>
          <w:color w:val="DA95D8"/>
          <w:w w:val="70"/>
          <w:sz w:val="7"/>
        </w:rPr>
        <w:t>＿看·</w:t>
      </w:r>
      <w:r>
        <w:rPr>
          <w:rFonts w:ascii="宋体" w:eastAsia="宋体" w:hAnsi="宋体" w:hint="eastAsia"/>
          <w:color w:val="DA95D8"/>
          <w:sz w:val="7"/>
        </w:rPr>
        <w:t xml:space="preserve"> </w:t>
      </w:r>
      <w:r>
        <w:rPr>
          <w:rFonts w:ascii="宋体" w:eastAsia="宋体" w:hAnsi="宋体" w:hint="eastAsia"/>
          <w:color w:val="DA95D8"/>
          <w:spacing w:val="-5"/>
          <w:sz w:val="7"/>
        </w:rPr>
        <w:t xml:space="preserve"> </w:t>
      </w:r>
      <w:r>
        <w:rPr>
          <w:rFonts w:ascii="宋体" w:eastAsia="宋体" w:hAnsi="宋体" w:hint="eastAsia"/>
          <w:color w:val="DA95D8"/>
          <w:w w:val="70"/>
          <w:sz w:val="7"/>
        </w:rPr>
        <w:t>冒-</w:t>
      </w:r>
    </w:p>
    <w:p>
      <w:pPr>
        <w:spacing w:after="0" w:line="364" w:lineRule="exact"/>
        <w:jc w:val="left"/>
        <w:rPr>
          <w:rFonts w:ascii="宋体" w:eastAsia="宋体" w:hAnsi="宋体" w:hint="eastAsia"/>
          <w:sz w:val="7"/>
        </w:rPr>
        <w:sectPr>
          <w:headerReference w:type="default" r:id="rId33"/>
          <w:footerReference w:type="default" r:id="rId34"/>
          <w:pgSz w:w="17860" w:h="25270"/>
          <w:pgMar w:top="1000" w:right="1500" w:bottom="1920" w:left="2200" w:header="0" w:footer="1738"/>
          <w:pgNumType w:start="13"/>
          <w:cols w:space="708"/>
        </w:sectPr>
      </w:pPr>
    </w:p>
    <w:p>
      <w:pPr>
        <w:tabs>
          <w:tab w:val="left" w:pos="963"/>
        </w:tabs>
        <w:spacing w:before="0" w:line="227" w:lineRule="exact"/>
        <w:ind w:left="0" w:right="122" w:firstLine="0"/>
        <w:jc w:val="right"/>
        <w:rPr>
          <w:rFonts w:ascii="宋体" w:eastAsia="宋体" w:hAnsi="宋体" w:hint="eastAsia"/>
          <w:sz w:val="19"/>
        </w:rPr>
      </w:pPr>
      <w:r>
        <w:rPr>
          <w:rFonts w:ascii="宋体" w:eastAsia="宋体" w:hAnsi="宋体" w:hint="eastAsia"/>
          <w:color w:val="DA95D8"/>
          <w:w w:val="152"/>
          <w:position w:val="6"/>
          <w:sz w:val="22"/>
        </w:rPr>
        <w:t>"</w:t>
      </w:r>
      <w:r>
        <w:rPr>
          <w:rFonts w:ascii="宋体" w:eastAsia="宋体" w:hAnsi="宋体" w:hint="eastAsia"/>
          <w:color w:val="DA95D8"/>
          <w:position w:val="6"/>
          <w:sz w:val="22"/>
        </w:rPr>
        <w:tab/>
      </w:r>
      <w:r>
        <w:rPr>
          <w:rFonts w:ascii="宋体" w:eastAsia="宋体" w:hAnsi="宋体" w:hint="eastAsia"/>
          <w:color w:val="DA95D8"/>
          <w:spacing w:val="-75"/>
          <w:w w:val="85"/>
          <w:sz w:val="19"/>
        </w:rPr>
        <w:t>-</w:t>
      </w:r>
      <w:r>
        <w:rPr>
          <w:rFonts w:ascii="宋体" w:eastAsia="宋体" w:hAnsi="宋体" w:hint="eastAsia"/>
          <w:color w:val="DA95D8"/>
          <w:spacing w:val="-6"/>
          <w:w w:val="70"/>
          <w:position w:val="4"/>
          <w:sz w:val="23"/>
        </w:rPr>
        <w:t>-</w:t>
      </w:r>
      <w:r>
        <w:rPr>
          <w:rFonts w:ascii="宋体" w:eastAsia="宋体" w:hAnsi="宋体" w:hint="eastAsia"/>
          <w:color w:val="DA95D8"/>
          <w:spacing w:val="-38"/>
          <w:w w:val="85"/>
          <w:sz w:val="19"/>
        </w:rPr>
        <w:t>..</w:t>
      </w:r>
      <w:r>
        <w:rPr>
          <w:rFonts w:ascii="宋体" w:eastAsia="宋体" w:hAnsi="宋体" w:hint="eastAsia"/>
          <w:shadow/>
          <w:color w:val="D462CF"/>
          <w:spacing w:val="-4"/>
          <w:w w:val="57"/>
          <w:position w:val="4"/>
          <w:sz w:val="23"/>
        </w:rPr>
        <w:t>.</w:t>
      </w:r>
      <w:r>
        <w:rPr>
          <w:rFonts w:ascii="宋体" w:eastAsia="宋体" w:hAnsi="宋体" w:hint="eastAsia"/>
          <w:shadow w:val="0"/>
          <w:color w:val="DA95D8"/>
          <w:spacing w:val="-53"/>
          <w:w w:val="57"/>
          <w:position w:val="4"/>
          <w:sz w:val="23"/>
        </w:rPr>
        <w:t>.</w:t>
      </w:r>
      <w:r>
        <w:rPr>
          <w:rFonts w:ascii="宋体" w:eastAsia="宋体" w:hAnsi="宋体" w:hint="eastAsia"/>
          <w:shadow w:val="0"/>
          <w:color w:val="DA95D8"/>
          <w:spacing w:val="-56"/>
          <w:w w:val="85"/>
          <w:sz w:val="19"/>
        </w:rPr>
        <w:t>.</w:t>
      </w:r>
      <w:r>
        <w:rPr>
          <w:rFonts w:ascii="宋体" w:eastAsia="宋体" w:hAnsi="宋体" w:hint="eastAsia"/>
          <w:shadow w:val="0"/>
          <w:color w:val="D462CF"/>
          <w:spacing w:val="-55"/>
          <w:w w:val="56"/>
          <w:position w:val="4"/>
          <w:sz w:val="23"/>
        </w:rPr>
        <w:t>.</w:t>
      </w:r>
      <w:r>
        <w:rPr>
          <w:rFonts w:ascii="宋体" w:eastAsia="宋体" w:hAnsi="宋体" w:hint="eastAsia"/>
          <w:shadow w:val="0"/>
          <w:color w:val="C875C4"/>
          <w:spacing w:val="-87"/>
          <w:w w:val="54"/>
          <w:sz w:val="19"/>
        </w:rPr>
        <w:t>，</w:t>
      </w:r>
      <w:r>
        <w:rPr>
          <w:rFonts w:ascii="宋体" w:eastAsia="宋体" w:hAnsi="宋体" w:hint="eastAsia"/>
          <w:shadow w:val="0"/>
          <w:color w:val="DA95D8"/>
          <w:spacing w:val="-38"/>
          <w:w w:val="57"/>
          <w:position w:val="4"/>
          <w:sz w:val="23"/>
        </w:rPr>
        <w:t>.</w:t>
      </w:r>
      <w:r>
        <w:rPr>
          <w:rFonts w:ascii="宋体" w:eastAsia="宋体" w:hAnsi="宋体" w:hint="eastAsia"/>
          <w:shadow w:val="0"/>
          <w:color w:val="DA95D8"/>
          <w:spacing w:val="-70"/>
          <w:w w:val="85"/>
          <w:sz w:val="19"/>
        </w:rPr>
        <w:t>.</w:t>
      </w:r>
      <w:r>
        <w:rPr>
          <w:rFonts w:ascii="宋体" w:eastAsia="宋体" w:hAnsi="宋体" w:hint="eastAsia"/>
          <w:shadow w:val="0"/>
          <w:color w:val="DA95D8"/>
          <w:spacing w:val="-115"/>
          <w:w w:val="92"/>
          <w:sz w:val="19"/>
        </w:rPr>
        <w:t>一</w:t>
      </w:r>
      <w:r>
        <w:rPr>
          <w:rFonts w:ascii="宋体" w:eastAsia="宋体" w:hAnsi="宋体" w:hint="eastAsia"/>
          <w:shadow w:val="0"/>
          <w:color w:val="DBB3DA"/>
          <w:spacing w:val="15"/>
          <w:w w:val="56"/>
          <w:position w:val="4"/>
          <w:sz w:val="23"/>
          <w:shd w:val="clear" w:color="auto" w:fill="F0D8F0"/>
        </w:rPr>
        <w:t>-</w:t>
      </w:r>
      <w:r>
        <w:rPr>
          <w:rFonts w:ascii="宋体" w:eastAsia="宋体" w:hAnsi="宋体" w:hint="eastAsia"/>
          <w:shadow w:val="0"/>
          <w:color w:val="DA95D8"/>
          <w:spacing w:val="-155"/>
          <w:w w:val="82"/>
          <w:position w:val="4"/>
          <w:sz w:val="23"/>
        </w:rPr>
        <w:t>｀</w:t>
      </w:r>
      <w:r>
        <w:rPr>
          <w:rFonts w:ascii="宋体" w:eastAsia="宋体" w:hAnsi="宋体" w:hint="eastAsia"/>
          <w:shadow w:val="0"/>
          <w:color w:val="DA95D8"/>
          <w:w w:val="92"/>
          <w:sz w:val="19"/>
        </w:rPr>
        <w:t>吐·-</w:t>
      </w:r>
      <w:r>
        <w:rPr>
          <w:rFonts w:ascii="宋体" w:eastAsia="宋体" w:hAnsi="宋体" w:hint="eastAsia"/>
          <w:shadow w:val="0"/>
          <w:color w:val="DA95D8"/>
          <w:spacing w:val="-11"/>
          <w:sz w:val="19"/>
        </w:rPr>
        <w:t xml:space="preserve"> </w:t>
      </w:r>
      <w:r>
        <w:rPr>
          <w:rFonts w:ascii="宋体" w:eastAsia="宋体" w:hAnsi="宋体" w:hint="eastAsia"/>
          <w:shadow w:val="0"/>
          <w:color w:val="DA95D8"/>
          <w:spacing w:val="-28"/>
          <w:w w:val="90"/>
          <w:sz w:val="19"/>
        </w:rPr>
        <w:t>..</w:t>
      </w:r>
      <w:r>
        <w:rPr>
          <w:rFonts w:ascii="宋体" w:eastAsia="宋体" w:hAnsi="宋体" w:hint="eastAsia"/>
          <w:shadow w:val="0"/>
          <w:color w:val="C875C4"/>
          <w:spacing w:val="-24"/>
          <w:w w:val="90"/>
          <w:sz w:val="19"/>
        </w:rPr>
        <w:t>.</w:t>
      </w:r>
      <w:r>
        <w:rPr>
          <w:rFonts w:ascii="宋体" w:eastAsia="宋体" w:hAnsi="宋体" w:hint="eastAsia"/>
          <w:shadow w:val="0"/>
          <w:color w:val="DBB3DA"/>
          <w:spacing w:val="-74"/>
          <w:w w:val="69"/>
          <w:sz w:val="19"/>
          <w:shd w:val="clear" w:color="auto" w:fill="F0D8F0"/>
        </w:rPr>
        <w:t>亏</w:t>
      </w:r>
      <w:r>
        <w:rPr>
          <w:rFonts w:ascii="宋体" w:eastAsia="宋体" w:hAnsi="宋体" w:hint="eastAsia"/>
          <w:shadow w:val="0"/>
          <w:color w:val="C875C4"/>
          <w:w w:val="69"/>
          <w:sz w:val="19"/>
          <w:shd w:val="clear" w:color="auto" w:fill="F0D8F0"/>
        </w:rPr>
        <w:t>·</w:t>
      </w:r>
    </w:p>
    <w:p>
      <w:pPr>
        <w:spacing w:before="0" w:line="230" w:lineRule="exact"/>
        <w:ind w:left="0" w:right="38" w:firstLine="0"/>
        <w:jc w:val="right"/>
        <w:rPr>
          <w:rFonts w:ascii="宋体" w:eastAsia="宋体" w:hAnsi="宋体" w:hint="eastAsia"/>
          <w:sz w:val="6"/>
        </w:rPr>
      </w:pPr>
      <w:r>
        <w:pict>
          <v:rect id="_x0000_s1042" style="width:3.87pt;height:11.45pt;margin-top:0.1pt;margin-left:273.84pt;mso-position-horizontal-relative:page;position:absolute;z-index:-251644928" filled="t" fillcolor="#f0d8f0" stroked="f">
            <v:fill type="solid"/>
          </v:rect>
        </w:pict>
      </w:r>
      <w:r>
        <w:pict>
          <v:rect id="_x0000_s1043" style="width:3.97pt;height:3pt;margin-top:6.37pt;margin-left:289.13pt;mso-position-horizontal-relative:page;position:absolute;z-index:-251643904" filled="t" fillcolor="#f2edf2" stroked="f">
            <v:fill type="solid"/>
          </v:rect>
        </w:pict>
      </w:r>
      <w:r>
        <w:pict>
          <v:rect id="_x0000_s1044" style="width:2.16pt;height:4.78pt;margin-top:11.79pt;margin-left:250.55pt;mso-position-horizontal-relative:page;position:absolute;z-index:251670528" filled="t" fillcolor="#f2edf2" stroked="f">
            <v:fill type="solid"/>
          </v:rect>
        </w:pict>
      </w:r>
      <w:r>
        <w:rPr>
          <w:rFonts w:ascii="宋体" w:eastAsia="宋体" w:hAnsi="宋体" w:hint="eastAsia"/>
          <w:color w:val="DA95D8"/>
          <w:spacing w:val="-15"/>
          <w:w w:val="45"/>
          <w:sz w:val="18"/>
        </w:rPr>
        <w:t>，</w:t>
      </w:r>
      <w:r>
        <w:rPr>
          <w:rFonts w:ascii="宋体" w:eastAsia="宋体" w:hAnsi="宋体" w:hint="eastAsia"/>
          <w:color w:val="DA95D8"/>
          <w:spacing w:val="-52"/>
          <w:w w:val="69"/>
          <w:position w:val="7"/>
          <w:sz w:val="19"/>
        </w:rPr>
        <w:t>.</w:t>
      </w:r>
      <w:r>
        <w:rPr>
          <w:rFonts w:ascii="宋体" w:eastAsia="宋体" w:hAnsi="宋体" w:hint="eastAsia"/>
          <w:color w:val="DA95D8"/>
          <w:spacing w:val="27"/>
          <w:w w:val="45"/>
          <w:sz w:val="18"/>
        </w:rPr>
        <w:t>一</w:t>
      </w:r>
      <w:r>
        <w:rPr>
          <w:rFonts w:ascii="宋体" w:eastAsia="宋体" w:hAnsi="宋体" w:hint="eastAsia"/>
          <w:color w:val="DA95D8"/>
          <w:spacing w:val="-34"/>
          <w:w w:val="52"/>
          <w:position w:val="7"/>
          <w:sz w:val="19"/>
        </w:rPr>
        <w:t>.</w:t>
      </w:r>
      <w:r>
        <w:rPr>
          <w:rFonts w:ascii="宋体" w:eastAsia="宋体" w:hAnsi="宋体" w:hint="eastAsia"/>
          <w:color w:val="C875C4"/>
          <w:spacing w:val="-48"/>
          <w:w w:val="45"/>
          <w:sz w:val="18"/>
        </w:rPr>
        <w:t>·</w:t>
      </w:r>
      <w:r>
        <w:rPr>
          <w:rFonts w:ascii="宋体" w:eastAsia="宋体" w:hAnsi="宋体" w:hint="eastAsia"/>
          <w:color w:val="DA95D8"/>
          <w:spacing w:val="-26"/>
          <w:w w:val="52"/>
          <w:position w:val="7"/>
          <w:sz w:val="19"/>
        </w:rPr>
        <w:t>.</w:t>
      </w:r>
      <w:r>
        <w:rPr>
          <w:rFonts w:ascii="宋体" w:eastAsia="宋体" w:hAnsi="宋体" w:hint="eastAsia"/>
          <w:color w:val="DA95D8"/>
          <w:spacing w:val="-56"/>
          <w:w w:val="45"/>
          <w:sz w:val="18"/>
        </w:rPr>
        <w:t>·</w:t>
      </w:r>
      <w:r>
        <w:rPr>
          <w:rFonts w:ascii="宋体" w:eastAsia="宋体" w:hAnsi="宋体" w:hint="eastAsia"/>
          <w:color w:val="DA95D8"/>
          <w:spacing w:val="-43"/>
          <w:w w:val="52"/>
          <w:position w:val="7"/>
          <w:sz w:val="19"/>
        </w:rPr>
        <w:t>.</w:t>
      </w:r>
      <w:r>
        <w:rPr>
          <w:rFonts w:ascii="宋体" w:eastAsia="宋体" w:hAnsi="宋体" w:hint="eastAsia"/>
          <w:color w:val="DA95D8"/>
          <w:spacing w:val="-137"/>
          <w:w w:val="97"/>
          <w:position w:val="7"/>
          <w:sz w:val="19"/>
        </w:rPr>
        <w:t>立</w:t>
      </w:r>
      <w:r>
        <w:rPr>
          <w:rFonts w:ascii="宋体" w:eastAsia="宋体" w:hAnsi="宋体" w:hint="eastAsia"/>
          <w:color w:val="DA95D8"/>
          <w:w w:val="45"/>
          <w:sz w:val="18"/>
        </w:rPr>
        <w:t>"</w:t>
      </w:r>
      <w:r>
        <w:rPr>
          <w:rFonts w:ascii="宋体" w:eastAsia="宋体" w:hAnsi="宋体" w:hint="eastAsia"/>
          <w:color w:val="DA95D8"/>
          <w:spacing w:val="-31"/>
          <w:sz w:val="18"/>
        </w:rPr>
        <w:t xml:space="preserve"> </w:t>
      </w:r>
      <w:r>
        <w:rPr>
          <w:rFonts w:ascii="宋体" w:eastAsia="宋体" w:hAnsi="宋体" w:hint="eastAsia"/>
          <w:color w:val="DA95D8"/>
          <w:spacing w:val="-4"/>
          <w:w w:val="31"/>
          <w:position w:val="7"/>
          <w:sz w:val="19"/>
        </w:rPr>
        <w:t>噜</w:t>
      </w:r>
      <w:r>
        <w:rPr>
          <w:rFonts w:ascii="宋体" w:eastAsia="宋体" w:hAnsi="宋体" w:hint="eastAsia"/>
          <w:color w:val="C875C4"/>
          <w:spacing w:val="14"/>
          <w:w w:val="31"/>
          <w:position w:val="7"/>
          <w:sz w:val="19"/>
        </w:rPr>
        <w:t>.</w:t>
      </w:r>
      <w:r>
        <w:rPr>
          <w:rFonts w:ascii="宋体" w:eastAsia="宋体" w:hAnsi="宋体" w:hint="eastAsia"/>
          <w:color w:val="DA95D8"/>
          <w:spacing w:val="-60"/>
          <w:w w:val="89"/>
          <w:sz w:val="18"/>
        </w:rPr>
        <w:t>.</w:t>
      </w:r>
      <w:r>
        <w:rPr>
          <w:rFonts w:ascii="宋体" w:eastAsia="宋体" w:hAnsi="宋体" w:hint="eastAsia"/>
          <w:color w:val="DA95D8"/>
          <w:spacing w:val="-15"/>
          <w:w w:val="31"/>
          <w:position w:val="7"/>
          <w:sz w:val="19"/>
        </w:rPr>
        <w:t>.勤</w:t>
      </w:r>
      <w:r>
        <w:rPr>
          <w:rFonts w:ascii="宋体" w:eastAsia="宋体" w:hAnsi="宋体" w:hint="eastAsia"/>
          <w:color w:val="DA95D8"/>
          <w:spacing w:val="-54"/>
          <w:w w:val="89"/>
          <w:sz w:val="18"/>
        </w:rPr>
        <w:t>.</w:t>
      </w:r>
      <w:r>
        <w:rPr>
          <w:rFonts w:ascii="宋体" w:eastAsia="宋体" w:hAnsi="宋体" w:hint="eastAsia"/>
          <w:color w:val="C875C4"/>
          <w:spacing w:val="-61"/>
          <w:w w:val="35"/>
          <w:sz w:val="18"/>
        </w:rPr>
        <w:t>蓦</w:t>
      </w:r>
      <w:r>
        <w:rPr>
          <w:rFonts w:ascii="宋体" w:eastAsia="宋体" w:hAnsi="宋体" w:hint="eastAsia"/>
          <w:color w:val="DA95D8"/>
          <w:w w:val="31"/>
          <w:position w:val="7"/>
          <w:sz w:val="19"/>
        </w:rPr>
        <w:t>-</w:t>
      </w:r>
      <w:r>
        <w:rPr>
          <w:rFonts w:ascii="宋体" w:eastAsia="宋体" w:hAnsi="宋体" w:hint="eastAsia"/>
          <w:color w:val="DA95D8"/>
          <w:spacing w:val="-67"/>
          <w:position w:val="7"/>
          <w:sz w:val="19"/>
        </w:rPr>
        <w:t xml:space="preserve"> </w:t>
      </w:r>
      <w:r>
        <w:rPr>
          <w:rFonts w:ascii="宋体" w:eastAsia="宋体" w:hAnsi="宋体" w:hint="eastAsia"/>
          <w:color w:val="DA95D8"/>
          <w:spacing w:val="-57"/>
          <w:w w:val="37"/>
          <w:sz w:val="18"/>
        </w:rPr>
        <w:t>覃</w:t>
      </w:r>
      <w:r>
        <w:rPr>
          <w:rFonts w:ascii="宋体" w:eastAsia="宋体" w:hAnsi="宋体" w:hint="eastAsia"/>
          <w:color w:val="C875C4"/>
          <w:spacing w:val="-36"/>
          <w:w w:val="38"/>
          <w:position w:val="7"/>
          <w:sz w:val="19"/>
        </w:rPr>
        <w:t>一</w:t>
      </w:r>
      <w:r>
        <w:rPr>
          <w:rFonts w:ascii="宋体" w:eastAsia="宋体" w:hAnsi="宋体" w:hint="eastAsia"/>
          <w:color w:val="DA95D8"/>
          <w:spacing w:val="-33"/>
          <w:w w:val="59"/>
          <w:sz w:val="18"/>
        </w:rPr>
        <w:t>霉</w:t>
      </w:r>
      <w:r>
        <w:rPr>
          <w:rFonts w:ascii="Times New Roman" w:eastAsia="Times New Roman" w:hAnsi="Times New Roman"/>
          <w:color w:val="DA95D8"/>
          <w:w w:val="48"/>
          <w:sz w:val="17"/>
        </w:rPr>
        <w:t>1”</w:t>
      </w:r>
      <w:r>
        <w:rPr>
          <w:rFonts w:ascii="Times New Roman" w:eastAsia="Times New Roman" w:hAnsi="Times New Roman"/>
          <w:color w:val="DA95D8"/>
          <w:spacing w:val="-9"/>
          <w:sz w:val="17"/>
        </w:rPr>
        <w:t xml:space="preserve">  </w:t>
      </w:r>
      <w:r>
        <w:rPr>
          <w:rFonts w:ascii="Times New Roman" w:eastAsia="Times New Roman" w:hAnsi="Times New Roman"/>
          <w:color w:val="DA95D8"/>
          <w:w w:val="48"/>
          <w:sz w:val="17"/>
        </w:rPr>
        <w:t>“</w:t>
      </w:r>
      <w:r>
        <w:rPr>
          <w:rFonts w:ascii="Times New Roman" w:eastAsia="Times New Roman" w:hAnsi="Times New Roman"/>
          <w:color w:val="DA95D8"/>
          <w:spacing w:val="-3"/>
          <w:sz w:val="17"/>
        </w:rPr>
        <w:t xml:space="preserve">  </w:t>
      </w:r>
      <w:r>
        <w:rPr>
          <w:rFonts w:ascii="Times New Roman" w:eastAsia="Times New Roman" w:hAnsi="Times New Roman"/>
          <w:color w:val="DA95D8"/>
          <w:w w:val="87"/>
          <w:sz w:val="17"/>
        </w:rPr>
        <w:t>'</w:t>
      </w:r>
      <w:r>
        <w:rPr>
          <w:rFonts w:ascii="Times New Roman" w:eastAsia="Times New Roman" w:hAnsi="Times New Roman"/>
          <w:color w:val="DA95D8"/>
          <w:spacing w:val="-7"/>
          <w:sz w:val="17"/>
        </w:rPr>
        <w:t xml:space="preserve">  </w:t>
      </w:r>
      <w:r>
        <w:rPr>
          <w:rFonts w:ascii="Times New Roman" w:eastAsia="Times New Roman" w:hAnsi="Times New Roman"/>
          <w:color w:val="DBB3DA"/>
          <w:spacing w:val="-1"/>
          <w:w w:val="37"/>
          <w:sz w:val="17"/>
        </w:rPr>
        <w:t>l</w:t>
      </w:r>
      <w:r>
        <w:rPr>
          <w:rFonts w:ascii="Times New Roman" w:eastAsia="Times New Roman" w:hAnsi="Times New Roman"/>
          <w:color w:val="DBB3DA"/>
          <w:spacing w:val="-24"/>
          <w:w w:val="37"/>
          <w:sz w:val="17"/>
        </w:rPr>
        <w:t>_</w:t>
      </w:r>
      <w:r>
        <w:rPr>
          <w:rFonts w:ascii="宋体" w:eastAsia="宋体" w:hAnsi="宋体" w:hint="eastAsia"/>
          <w:color w:val="DA95D8"/>
          <w:w w:val="37"/>
          <w:sz w:val="6"/>
        </w:rPr>
        <w:t>．</w:t>
      </w:r>
      <w:r>
        <w:rPr>
          <w:rFonts w:ascii="宋体" w:eastAsia="宋体" w:hAnsi="宋体" w:hint="eastAsia"/>
          <w:color w:val="DA95D8"/>
          <w:spacing w:val="5"/>
          <w:sz w:val="6"/>
        </w:rPr>
        <w:t xml:space="preserve">  </w:t>
      </w:r>
      <w:r>
        <w:rPr>
          <w:rFonts w:ascii="宋体" w:eastAsia="宋体" w:hAnsi="宋体" w:hint="eastAsia"/>
          <w:color w:val="DBB3DA"/>
          <w:w w:val="37"/>
          <w:sz w:val="6"/>
        </w:rPr>
        <w:t>申</w:t>
      </w:r>
      <w:r>
        <w:rPr>
          <w:rFonts w:ascii="宋体" w:eastAsia="宋体" w:hAnsi="宋体" w:hint="eastAsia"/>
          <w:color w:val="DBB3DA"/>
          <w:spacing w:val="-6"/>
          <w:sz w:val="6"/>
        </w:rPr>
        <w:t xml:space="preserve">  </w:t>
      </w:r>
      <w:r>
        <w:rPr>
          <w:rFonts w:ascii="宋体" w:eastAsia="宋体" w:hAnsi="宋体" w:hint="eastAsia"/>
          <w:color w:val="DA95D8"/>
          <w:w w:val="37"/>
          <w:sz w:val="6"/>
        </w:rPr>
        <w:t>夙</w:t>
      </w:r>
      <w:r>
        <w:rPr>
          <w:rFonts w:ascii="宋体" w:eastAsia="宋体" w:hAnsi="宋体" w:hint="eastAsia"/>
          <w:color w:val="DA95D8"/>
          <w:spacing w:val="6"/>
          <w:sz w:val="6"/>
        </w:rPr>
        <w:t xml:space="preserve">  </w:t>
      </w:r>
      <w:r>
        <w:rPr>
          <w:rFonts w:ascii="宋体" w:eastAsia="宋体" w:hAnsi="宋体" w:hint="eastAsia"/>
          <w:color w:val="DA95D8"/>
          <w:w w:val="37"/>
          <w:sz w:val="6"/>
        </w:rPr>
        <w:t>嘈</w:t>
      </w:r>
    </w:p>
    <w:p>
      <w:pPr>
        <w:tabs>
          <w:tab w:val="left" w:pos="2810"/>
        </w:tabs>
        <w:spacing w:before="13"/>
        <w:ind w:left="2346" w:right="0" w:firstLine="0"/>
        <w:jc w:val="left"/>
        <w:rPr>
          <w:rFonts w:ascii="Arial" w:eastAsia="Arial"/>
          <w:sz w:val="7"/>
        </w:rPr>
      </w:pPr>
      <w:r>
        <w:rPr>
          <w:rFonts w:ascii="宋体" w:eastAsia="宋体" w:hint="eastAsia"/>
          <w:color w:val="DA95D8"/>
          <w:w w:val="45"/>
          <w:sz w:val="6"/>
        </w:rPr>
        <w:t xml:space="preserve">厦 覂 噩  </w:t>
      </w:r>
      <w:r>
        <w:rPr>
          <w:rFonts w:ascii="宋体" w:eastAsia="宋体" w:hint="eastAsia"/>
          <w:color w:val="DA95D8"/>
          <w:spacing w:val="11"/>
          <w:w w:val="45"/>
          <w:sz w:val="6"/>
        </w:rPr>
        <w:t xml:space="preserve"> </w:t>
      </w:r>
      <w:r>
        <w:rPr>
          <w:rFonts w:ascii="Arial" w:eastAsia="Arial"/>
          <w:color w:val="DA95D8"/>
          <w:w w:val="45"/>
          <w:sz w:val="7"/>
        </w:rPr>
        <w:t xml:space="preserve">l      </w:t>
      </w:r>
      <w:r>
        <w:rPr>
          <w:rFonts w:ascii="Arial" w:eastAsia="Arial"/>
          <w:color w:val="DA95D8"/>
          <w:spacing w:val="5"/>
          <w:w w:val="45"/>
          <w:sz w:val="7"/>
        </w:rPr>
        <w:t xml:space="preserve"> </w:t>
      </w:r>
      <w:r>
        <w:rPr>
          <w:rFonts w:ascii="Arial" w:eastAsia="Arial"/>
          <w:color w:val="DA95D8"/>
          <w:w w:val="45"/>
          <w:sz w:val="7"/>
        </w:rPr>
        <w:t>1-</w:t>
        <w:tab/>
      </w:r>
      <w:r>
        <w:rPr>
          <w:rFonts w:ascii="Arial" w:eastAsia="Arial"/>
          <w:color w:val="E2CCE8"/>
          <w:w w:val="45"/>
          <w:sz w:val="7"/>
        </w:rPr>
        <w:t>-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tabs>
          <w:tab w:val="left" w:pos="2039"/>
          <w:tab w:val="left" w:pos="2441"/>
        </w:tabs>
        <w:spacing w:before="0"/>
        <w:ind w:left="1324" w:right="0" w:firstLine="0"/>
        <w:jc w:val="left"/>
        <w:rPr>
          <w:rFonts w:ascii="Arial" w:eastAsia="Arial"/>
          <w:sz w:val="11"/>
        </w:rPr>
      </w:pPr>
      <w:r>
        <w:pict>
          <v:rect id="_x0000_s1045" style="width:1.08pt;height:7.51pt;margin-top:2.7pt;margin-left:486.99pt;mso-position-horizontal-relative:page;position:absolute;z-index:-251642880" filled="t" fillcolor="#f2edf2" stroked="f">
            <v:fill type="solid"/>
          </v:rect>
        </w:pict>
      </w:r>
      <w:r>
        <w:pict>
          <v:shape id="_x0000_s1046" type="#_x0000_t202" style="width:22.55pt;height:43.95pt;margin-top:-10.42pt;margin-left:487.24pt;mso-position-horizontal-relative:page;position:absolute;z-index:-25164185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41"/>
                    </w:rPr>
                  </w:pPr>
                  <w:r>
                    <w:rPr>
                      <w:rFonts w:ascii="宋体" w:eastAsia="宋体" w:hint="eastAsia"/>
                      <w:color w:val="BFAFB1"/>
                      <w:w w:val="100"/>
                      <w:sz w:val="41"/>
                    </w:rPr>
                    <w:t>(</w:t>
                  </w:r>
                  <w:r>
                    <w:rPr>
                      <w:rFonts w:ascii="宋体" w:eastAsia="宋体" w:hint="eastAsia"/>
                      <w:color w:val="ACC8C8"/>
                      <w:w w:val="100"/>
                      <w:position w:val="-1"/>
                      <w:sz w:val="41"/>
                      <w:shd w:val="clear" w:color="auto" w:fill="F2EDF2"/>
                    </w:rPr>
                    <w:t>之</w:t>
                  </w:r>
                </w:p>
              </w:txbxContent>
            </v:textbox>
          </v:shape>
        </w:pict>
      </w:r>
      <w:r>
        <w:pict>
          <v:shape id="_x0000_s1047" type="#_x0000_t202" style="width:36.05pt;height:70.6pt;margin-top:-8.98pt;margin-left:483.97pt;mso-position-horizontal-relative:page;position:absolute;z-index:-251640832" filled="f" stroked="f">
            <v:textbox inset="0,0,0,0">
              <w:txbxContent>
                <w:p>
                  <w:pPr>
                    <w:spacing w:before="0" w:line="141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1"/>
                    </w:rPr>
                  </w:pPr>
                  <w:r>
                    <w:rPr>
                      <w:rFonts w:ascii="宋体" w:eastAsia="宋体" w:hint="eastAsia"/>
                      <w:color w:val="75EBE6"/>
                      <w:w w:val="51"/>
                      <w:sz w:val="141"/>
                    </w:rPr>
                    <w:t>＿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D4C1C6"/>
          <w:w w:val="70"/>
          <w:sz w:val="19"/>
        </w:rPr>
        <w:t>士</w:t>
        <w:tab/>
      </w:r>
      <w:r>
        <w:rPr>
          <w:rFonts w:ascii="宋体" w:eastAsia="宋体" w:hint="eastAsia"/>
          <w:color w:val="EFE2E1"/>
          <w:w w:val="70"/>
          <w:sz w:val="19"/>
        </w:rPr>
        <w:t>一</w:t>
        <w:tab/>
      </w:r>
      <w:r>
        <w:rPr>
          <w:rFonts w:ascii="Arial" w:eastAsia="Arial"/>
          <w:color w:val="EFE2E1"/>
          <w:w w:val="70"/>
          <w:position w:val="2"/>
          <w:sz w:val="11"/>
        </w:rPr>
        <w:t>'</w:t>
      </w:r>
    </w:p>
    <w:p>
      <w:pPr>
        <w:spacing w:after="0"/>
        <w:jc w:val="left"/>
        <w:rPr>
          <w:rFonts w:ascii="Arial" w:eastAsia="Arial"/>
          <w:sz w:val="11"/>
        </w:rPr>
        <w:sectPr>
          <w:headerReference w:type="default" r:id="rId35"/>
          <w:footerReference w:type="default" r:id="rId36"/>
          <w:type w:val="continuous"/>
          <w:pgSz w:w="17860" w:h="25270"/>
          <w:pgMar w:top="1420" w:right="1500" w:bottom="1920" w:left="2200" w:header="708" w:footer="708"/>
          <w:pgNumType w:start="14"/>
          <w:cols w:num="2" w:space="708" w:equalWidth="0">
            <w:col w:w="3811" w:space="1287"/>
            <w:col w:w="9062" w:space="0"/>
          </w:cols>
        </w:sectPr>
      </w:pPr>
    </w:p>
    <w:p>
      <w:pPr>
        <w:pStyle w:val="BodyText"/>
        <w:spacing w:before="11"/>
        <w:rPr>
          <w:rFonts w:ascii="Arial"/>
          <w:sz w:val="12"/>
        </w:rPr>
      </w:pPr>
    </w:p>
    <w:p>
      <w:pPr>
        <w:spacing w:before="0"/>
        <w:ind w:left="0" w:right="1151" w:firstLine="0"/>
        <w:jc w:val="center"/>
        <w:rPr>
          <w:rFonts w:ascii="Times New Roman"/>
          <w:sz w:val="10"/>
        </w:rPr>
      </w:pPr>
      <w:r>
        <w:rPr>
          <w:rFonts w:ascii="Times New Roman"/>
          <w:color w:val="EFE2E1"/>
          <w:w w:val="75"/>
          <w:sz w:val="10"/>
        </w:rPr>
        <w:t>,</w:t>
      </w:r>
      <w:r>
        <w:rPr>
          <w:rFonts w:ascii="Times New Roman"/>
          <w:color w:val="D4C1C6"/>
          <w:w w:val="75"/>
          <w:sz w:val="10"/>
        </w:rPr>
        <w:t>J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  <w:r>
        <w:pict>
          <v:shape id="_x0000_s1048" style="width:582.85pt;height:0.1pt;margin-top:15.53pt;margin-left:161.21pt;mso-position-horizontal-relative:page;mso-wrap-distance-left:0;mso-wrap-distance-right:0;position:absolute;z-index:-251639808" coordorigin="3224,311" coordsize="11657,0" path="m3224,311l14881,311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headerReference w:type="default" r:id="rId37"/>
          <w:footerReference w:type="default" r:id="rId38"/>
          <w:type w:val="continuous"/>
          <w:pgSz w:w="17860" w:h="25270"/>
          <w:pgMar w:top="1420" w:right="1500" w:bottom="1920" w:left="2200" w:header="708" w:footer="708"/>
          <w:pgNumType w:start="15"/>
          <w:cols w:space="708"/>
        </w:sectPr>
      </w:pPr>
    </w:p>
    <w:p>
      <w:pPr>
        <w:spacing w:before="47"/>
        <w:ind w:left="1974" w:right="2604" w:firstLine="0"/>
        <w:jc w:val="center"/>
        <w:rPr>
          <w:rFonts w:ascii="宋体" w:eastAsia="宋体" w:hint="eastAsia"/>
          <w:sz w:val="38"/>
        </w:rPr>
      </w:pPr>
      <w:r>
        <w:pict>
          <v:group id="_x0000_s1049" style="width:266.55pt;height:67.05pt;margin-top:-15.41pt;margin-left:261.11pt;mso-position-horizontal-relative:page;position:absolute;z-index:251679744" coordorigin="5222,-308" coordsize="5331,1341">
            <v:shape id="_x0000_s1050" type="#_x0000_t75" style="width:5331;height:1341;left:5222;position:absolute;top:-309" stroked="f">
              <v:imagedata r:id="rId39" o:title=""/>
            </v:shape>
            <v:shape id="_x0000_s1051" type="#_x0000_t202" style="width:5331;height:1341;left:5222;position:absolute;top:-309" filled="f" stroked="f">
              <v:textbox inset="0,0,0,0">
                <w:txbxContent>
                  <w:p>
                    <w:pPr>
                      <w:spacing w:before="0" w:line="467" w:lineRule="exact"/>
                      <w:ind w:left="3493" w:right="0" w:firstLine="0"/>
                      <w:jc w:val="left"/>
                      <w:rPr>
                        <w:rFonts w:ascii="宋体" w:eastAsia="宋体" w:hint="eastAsia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28282A"/>
                        <w:w w:val="110"/>
                        <w:sz w:val="38"/>
                      </w:rPr>
                      <w:t>嘉</w:t>
                    </w:r>
                    <w:r>
                      <w:rPr>
                        <w:rFonts w:ascii="宋体" w:eastAsia="宋体" w:hint="eastAsia"/>
                        <w:color w:val="414141"/>
                        <w:w w:val="110"/>
                        <w:sz w:val="38"/>
                      </w:rPr>
                      <w:t>陵江路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414141"/>
          <w:w w:val="105"/>
          <w:sz w:val="38"/>
        </w:rPr>
        <w:t>西门</w:t>
      </w: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spacing w:before="9"/>
        <w:rPr>
          <w:rFonts w:ascii="宋体"/>
          <w:sz w:val="29"/>
        </w:rPr>
      </w:pPr>
    </w:p>
    <w:p>
      <w:pPr>
        <w:spacing w:before="0" w:line="403" w:lineRule="exact"/>
        <w:ind w:left="2354" w:right="0" w:firstLine="0"/>
        <w:jc w:val="left"/>
        <w:rPr>
          <w:rFonts w:ascii="宋体" w:eastAsia="宋体" w:hAnsi="宋体" w:hint="eastAsia"/>
          <w:sz w:val="19"/>
        </w:rPr>
      </w:pPr>
      <w:r>
        <w:pict>
          <v:group id="_x0000_s1052" style="width:147.05pt;height:106.7pt;margin-top:4.17pt;margin-left:227.21pt;mso-position-horizontal-relative:page;position:absolute;z-index:-251635712" coordorigin="4544,83" coordsize="2941,2134">
            <v:shape id="_x0000_s1053" type="#_x0000_t75" style="width:2922;height:1701;left:4544;position:absolute;top:515" stroked="f">
              <v:imagedata r:id="rId40" o:title=""/>
            </v:shape>
            <v:rect id="_x0000_s1054" style="width:15;height:246;left:4554;position:absolute;top:220" filled="t" fillcolor="#f2edf2" stroked="f">
              <v:fill type="solid"/>
            </v:rect>
            <v:shape id="_x0000_s1055" style="width:356;height:171;left:4845;position:absolute;top:203" coordorigin="4845,204" coordsize="356,171" path="m4867,204l4845,204,4845,374,4867,374,4867,204xm5201,212l5172,212,5172,373,5201,373,5201,212xe" filled="t" fillcolor="#f0d8f0" stroked="f">
              <v:fill type="solid"/>
              <v:path arrowok="t"/>
            </v:shape>
            <v:rect id="_x0000_s1056" style="width:116;height:311;left:5248;position:absolute;top:83" filled="t" fillcolor="#f2edf2" stroked="f">
              <v:fill type="solid"/>
            </v:rect>
            <v:rect id="_x0000_s1057" style="width:44;height:149;left:5690;position:absolute;top:235" filled="t" fillcolor="#f0d8f0" stroked="f">
              <v:fill type="solid"/>
            </v:rect>
            <v:shape id="_x0000_s1058" type="#_x0000_t75" style="width:254;height:191;left:5915;position:absolute;top:186" stroked="f">
              <v:imagedata r:id="rId41" o:title=""/>
            </v:shape>
            <v:shape id="_x0000_s1059" style="width:296;height:191;left:6431;position:absolute;top:186" coordorigin="6432,187" coordsize="296,191" path="m6482,187l6432,187,6432,377,6482,377,6482,187xm6727,187l6662,187,6662,377,6727,377,6727,187xe" filled="t" fillcolor="#f2edf2" stroked="f">
              <v:fill type="solid"/>
              <v:path arrowok="t"/>
            </v:shape>
            <v:shape id="_x0000_s1060" style="width:577;height:1154;left:6836;position:absolute;top:186" coordorigin="6837,187" coordsize="577,1154" path="m6873,187l6837,187,6837,377,6873,377,6873,187xm7335,403l7298,403,7298,593,7335,593,7335,403xm7414,1270l7363,1270,7363,1340,7414,1340,7414,1270xe" filled="t" fillcolor="#f0d8f0" stroked="f">
              <v:fill type="solid"/>
              <v:path arrowok="t"/>
            </v:shape>
            <v:shape id="_x0000_s1061" style="width:404;height:574;left:7081;position:absolute;top:1440" coordorigin="7082,1441" coordsize="404,574" path="m7146,1482l7082,1482,7082,1603,7146,1603,7146,1482xm7485,1441l7434,1441,7434,2014,7485,2014,7485,1441xe" filled="t" fillcolor="#f2edf2" stroked="f">
              <v:fill type="solid"/>
              <v:path arrowok="t"/>
            </v:shape>
          </v:group>
        </w:pict>
      </w:r>
      <w:r>
        <w:pict>
          <v:shape id="_x0000_s1062" type="#_x0000_t202" style="width:8.65pt;height:20.55pt;margin-top:-4.05pt;margin-left:226.98pt;mso-position-horizontal-relative:page;position:absolute;z-index:-251632640" filled="f" stroked="f">
            <v:textbox inset="0,0,0,0">
              <w:txbxContent>
                <w:p>
                  <w:pPr>
                    <w:spacing w:before="0" w:line="410" w:lineRule="exact"/>
                    <w:ind w:left="0" w:right="0" w:firstLine="0"/>
                    <w:jc w:val="left"/>
                    <w:rPr>
                      <w:rFonts w:ascii="Times New Roman"/>
                      <w:sz w:val="37"/>
                    </w:rPr>
                  </w:pPr>
                  <w:r>
                    <w:rPr>
                      <w:rFonts w:ascii="Times New Roman"/>
                      <w:color w:val="DA95D8"/>
                      <w:w w:val="60"/>
                      <w:sz w:val="37"/>
                    </w:rPr>
                    <w:t>...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E2CCE8"/>
          <w:spacing w:val="-16"/>
          <w:w w:val="62"/>
          <w:position w:val="-5"/>
          <w:sz w:val="18"/>
        </w:rPr>
        <w:t>l</w:t>
      </w:r>
      <w:r>
        <w:rPr>
          <w:rFonts w:ascii="Arial" w:eastAsia="Arial" w:hAnsi="Arial"/>
          <w:color w:val="DA95D8"/>
          <w:spacing w:val="-1"/>
          <w:w w:val="62"/>
          <w:position w:val="-5"/>
          <w:sz w:val="18"/>
        </w:rPr>
        <w:t>.,</w:t>
      </w:r>
      <w:r>
        <w:rPr>
          <w:rFonts w:ascii="Arial" w:eastAsia="Arial" w:hAnsi="Arial"/>
          <w:color w:val="DA95D8"/>
          <w:spacing w:val="-28"/>
          <w:position w:val="-5"/>
          <w:sz w:val="18"/>
        </w:rPr>
        <w:t xml:space="preserve"> </w:t>
      </w:r>
      <w:r>
        <w:rPr>
          <w:rFonts w:ascii="宋体" w:eastAsia="宋体" w:hAnsi="宋体" w:hint="eastAsia"/>
          <w:color w:val="DA95D8"/>
          <w:spacing w:val="-219"/>
          <w:w w:val="101"/>
          <w:position w:val="-5"/>
          <w:sz w:val="41"/>
        </w:rPr>
        <w:t>．</w:t>
      </w:r>
      <w:r>
        <w:rPr>
          <w:rFonts w:ascii="宋体" w:eastAsia="宋体" w:hAnsi="宋体" w:hint="eastAsia"/>
          <w:color w:val="DBB3DA"/>
          <w:spacing w:val="-60"/>
          <w:w w:val="101"/>
          <w:sz w:val="17"/>
        </w:rPr>
        <w:t>,</w:t>
      </w:r>
      <w:r>
        <w:rPr>
          <w:rFonts w:ascii="宋体" w:eastAsia="宋体" w:hAnsi="宋体" w:hint="eastAsia"/>
          <w:color w:val="C189BD"/>
          <w:spacing w:val="-41"/>
          <w:w w:val="101"/>
          <w:sz w:val="17"/>
        </w:rPr>
        <w:t>.</w:t>
      </w:r>
      <w:r>
        <w:rPr>
          <w:rFonts w:ascii="宋体" w:eastAsia="宋体" w:hAnsi="宋体" w:hint="eastAsia"/>
          <w:color w:val="BA5DB3"/>
          <w:spacing w:val="-28"/>
          <w:w w:val="38"/>
          <w:sz w:val="17"/>
        </w:rPr>
        <w:t>一</w:t>
      </w:r>
      <w:r>
        <w:rPr>
          <w:rFonts w:ascii="宋体" w:eastAsia="宋体" w:hAnsi="宋体" w:hint="eastAsia"/>
          <w:color w:val="DA95D8"/>
          <w:w w:val="38"/>
          <w:sz w:val="17"/>
        </w:rPr>
        <w:t>”</w:t>
      </w:r>
      <w:r>
        <w:rPr>
          <w:rFonts w:ascii="宋体" w:eastAsia="宋体" w:hAnsi="宋体" w:hint="eastAsia"/>
          <w:color w:val="DA95D8"/>
          <w:spacing w:val="-4"/>
          <w:sz w:val="17"/>
        </w:rPr>
        <w:t xml:space="preserve"> </w:t>
      </w:r>
      <w:r>
        <w:rPr>
          <w:rFonts w:ascii="宋体" w:eastAsia="宋体" w:hAnsi="宋体" w:hint="eastAsia"/>
          <w:color w:val="C875C4"/>
          <w:spacing w:val="-3"/>
          <w:w w:val="86"/>
          <w:sz w:val="17"/>
        </w:rPr>
        <w:t>-</w:t>
      </w:r>
      <w:r>
        <w:rPr>
          <w:rFonts w:ascii="宋体" w:eastAsia="宋体" w:hAnsi="宋体" w:hint="eastAsia"/>
          <w:color w:val="DBB3DA"/>
          <w:spacing w:val="-48"/>
          <w:w w:val="59"/>
          <w:sz w:val="16"/>
        </w:rPr>
        <w:t>：</w:t>
      </w:r>
      <w:r>
        <w:rPr>
          <w:rFonts w:ascii="Times New Roman" w:eastAsia="Times New Roman" w:hAnsi="Times New Roman"/>
          <w:color w:val="DA95D8"/>
          <w:spacing w:val="7"/>
          <w:w w:val="59"/>
          <w:sz w:val="11"/>
        </w:rPr>
        <w:t>I</w:t>
      </w:r>
      <w:r>
        <w:rPr>
          <w:rFonts w:ascii="宋体" w:eastAsia="宋体" w:hAnsi="宋体" w:hint="eastAsia"/>
          <w:color w:val="DBB3DA"/>
          <w:spacing w:val="-90"/>
          <w:w w:val="59"/>
          <w:sz w:val="31"/>
        </w:rPr>
        <w:t>、</w:t>
      </w:r>
      <w:r>
        <w:rPr>
          <w:rFonts w:ascii="Times New Roman" w:eastAsia="Times New Roman" w:hAnsi="Times New Roman"/>
          <w:color w:val="D462CF"/>
          <w:w w:val="59"/>
          <w:sz w:val="11"/>
        </w:rPr>
        <w:t>.</w:t>
      </w:r>
      <w:r>
        <w:rPr>
          <w:rFonts w:ascii="Times New Roman" w:eastAsia="Times New Roman" w:hAnsi="Times New Roman"/>
          <w:color w:val="D462CF"/>
          <w:spacing w:val="1"/>
          <w:sz w:val="11"/>
        </w:rPr>
        <w:t xml:space="preserve">     </w:t>
      </w:r>
      <w:r>
        <w:rPr>
          <w:rFonts w:ascii="Times New Roman" w:eastAsia="Times New Roman" w:hAnsi="Times New Roman"/>
          <w:color w:val="DA95D8"/>
          <w:w w:val="59"/>
          <w:sz w:val="11"/>
        </w:rPr>
        <w:t>.</w:t>
      </w:r>
      <w:r>
        <w:rPr>
          <w:rFonts w:ascii="Times New Roman" w:eastAsia="Times New Roman" w:hAnsi="Times New Roman"/>
          <w:color w:val="DA95D8"/>
          <w:spacing w:val="-2"/>
          <w:sz w:val="11"/>
        </w:rPr>
        <w:t xml:space="preserve">  </w:t>
      </w:r>
      <w:r>
        <w:rPr>
          <w:rFonts w:ascii="Times New Roman" w:eastAsia="Times New Roman" w:hAnsi="Times New Roman"/>
          <w:color w:val="DA95D8"/>
          <w:w w:val="59"/>
          <w:sz w:val="11"/>
        </w:rPr>
        <w:t>“</w:t>
      </w:r>
      <w:r>
        <w:rPr>
          <w:rFonts w:ascii="Times New Roman" w:eastAsia="Times New Roman" w:hAnsi="Times New Roman"/>
          <w:color w:val="DA95D8"/>
          <w:spacing w:val="2"/>
          <w:sz w:val="11"/>
        </w:rPr>
        <w:t xml:space="preserve">   </w:t>
      </w:r>
      <w:r>
        <w:rPr>
          <w:rFonts w:ascii="Times New Roman" w:eastAsia="Times New Roman" w:hAnsi="Times New Roman"/>
          <w:color w:val="DBB3DA"/>
          <w:w w:val="59"/>
          <w:sz w:val="11"/>
        </w:rPr>
        <w:t>.</w:t>
      </w:r>
      <w:r>
        <w:rPr>
          <w:rFonts w:ascii="Times New Roman" w:eastAsia="Times New Roman" w:hAnsi="Times New Roman"/>
          <w:color w:val="DBB3DA"/>
          <w:spacing w:val="1"/>
          <w:sz w:val="11"/>
        </w:rPr>
        <w:t xml:space="preserve"> </w:t>
      </w:r>
      <w:r>
        <w:rPr>
          <w:rFonts w:ascii="Times New Roman" w:eastAsia="Times New Roman" w:hAnsi="Times New Roman"/>
          <w:color w:val="DA95D8"/>
          <w:w w:val="59"/>
          <w:sz w:val="11"/>
        </w:rPr>
        <w:t>13I</w:t>
      </w:r>
      <w:r>
        <w:rPr>
          <w:rFonts w:ascii="Times New Roman" w:eastAsia="Times New Roman" w:hAnsi="Times New Roman"/>
          <w:color w:val="DA95D8"/>
          <w:spacing w:val="3"/>
          <w:sz w:val="11"/>
        </w:rPr>
        <w:t xml:space="preserve">   </w:t>
      </w:r>
      <w:r>
        <w:rPr>
          <w:rFonts w:ascii="宋体" w:eastAsia="宋体" w:hAnsi="宋体" w:hint="eastAsia"/>
          <w:color w:val="D4C1C6"/>
          <w:spacing w:val="-28"/>
          <w:w w:val="32"/>
          <w:sz w:val="19"/>
        </w:rPr>
        <w:t>勹</w:t>
      </w:r>
      <w:r>
        <w:rPr>
          <w:rFonts w:ascii="宋体" w:eastAsia="宋体" w:hAnsi="宋体" w:hint="eastAsia"/>
          <w:color w:val="D4C1C6"/>
          <w:spacing w:val="-20"/>
          <w:w w:val="45"/>
          <w:sz w:val="19"/>
        </w:rPr>
        <w:t>忑</w:t>
      </w:r>
      <w:r>
        <w:rPr>
          <w:rFonts w:ascii="宋体" w:eastAsia="宋体" w:hAnsi="宋体" w:hint="eastAsia"/>
          <w:color w:val="D4C1C6"/>
          <w:spacing w:val="-29"/>
          <w:w w:val="41"/>
          <w:sz w:val="19"/>
        </w:rPr>
        <w:t>量</w:t>
      </w:r>
      <w:r>
        <w:rPr>
          <w:rFonts w:ascii="宋体" w:eastAsia="宋体" w:hAnsi="宋体" w:hint="eastAsia"/>
          <w:color w:val="E2CCE8"/>
          <w:w w:val="28"/>
          <w:sz w:val="19"/>
        </w:rPr>
        <w:t>，</w:t>
      </w:r>
      <w:r>
        <w:rPr>
          <w:rFonts w:ascii="宋体" w:eastAsia="宋体" w:hAnsi="宋体" w:hint="eastAsia"/>
          <w:color w:val="E2CCE8"/>
          <w:spacing w:val="-78"/>
          <w:sz w:val="19"/>
        </w:rPr>
        <w:t xml:space="preserve"> </w:t>
      </w:r>
      <w:r>
        <w:rPr>
          <w:rFonts w:ascii="宋体" w:eastAsia="宋体" w:hAnsi="宋体" w:hint="eastAsia"/>
          <w:color w:val="DA95D8"/>
          <w:w w:val="43"/>
          <w:sz w:val="19"/>
        </w:rPr>
        <w:t>扈</w:t>
      </w:r>
      <w:r>
        <w:rPr>
          <w:rFonts w:ascii="宋体" w:eastAsia="宋体" w:hAnsi="宋体" w:hint="eastAsia"/>
          <w:color w:val="DA95D8"/>
          <w:spacing w:val="2"/>
          <w:w w:val="43"/>
          <w:sz w:val="19"/>
        </w:rPr>
        <w:t>`</w:t>
      </w:r>
      <w:r>
        <w:rPr>
          <w:rFonts w:ascii="宋体" w:eastAsia="宋体" w:hAnsi="宋体" w:hint="eastAsia"/>
          <w:color w:val="DA95D8"/>
          <w:w w:val="43"/>
          <w:sz w:val="19"/>
        </w:rPr>
        <w:t>•</w:t>
      </w:r>
      <w:r>
        <w:rPr>
          <w:rFonts w:ascii="宋体" w:eastAsia="宋体" w:hAnsi="宋体" w:hint="eastAsia"/>
          <w:color w:val="DA95D8"/>
          <w:spacing w:val="-13"/>
          <w:sz w:val="19"/>
        </w:rPr>
        <w:t xml:space="preserve"> </w:t>
      </w:r>
      <w:r>
        <w:rPr>
          <w:rFonts w:ascii="宋体" w:eastAsia="宋体" w:hAnsi="宋体" w:hint="eastAsia"/>
          <w:color w:val="C875C4"/>
          <w:spacing w:val="-10"/>
          <w:w w:val="59"/>
          <w:sz w:val="19"/>
        </w:rPr>
        <w:t>-</w:t>
      </w:r>
      <w:r>
        <w:rPr>
          <w:rFonts w:ascii="宋体" w:eastAsia="宋体" w:hAnsi="宋体" w:hint="eastAsia"/>
          <w:color w:val="DBB3DA"/>
          <w:w w:val="59"/>
          <w:sz w:val="19"/>
        </w:rPr>
        <w:t>•</w:t>
      </w:r>
      <w:r>
        <w:rPr>
          <w:rFonts w:ascii="宋体" w:eastAsia="宋体" w:hAnsi="宋体" w:hint="eastAsia"/>
          <w:color w:val="DBB3DA"/>
          <w:spacing w:val="-42"/>
          <w:sz w:val="19"/>
        </w:rPr>
        <w:t xml:space="preserve"> </w:t>
      </w:r>
      <w:r>
        <w:rPr>
          <w:rFonts w:ascii="宋体" w:eastAsia="宋体" w:hAnsi="宋体" w:hint="eastAsia"/>
          <w:color w:val="DA95D8"/>
          <w:spacing w:val="-20"/>
          <w:w w:val="42"/>
          <w:sz w:val="19"/>
        </w:rPr>
        <w:t>嚷晶</w:t>
      </w:r>
      <w:r>
        <w:rPr>
          <w:rFonts w:ascii="宋体" w:eastAsia="宋体" w:hAnsi="宋体" w:hint="eastAsia"/>
          <w:color w:val="DBB3DA"/>
          <w:spacing w:val="-41"/>
          <w:w w:val="42"/>
          <w:sz w:val="19"/>
        </w:rPr>
        <w:t>工</w:t>
      </w:r>
      <w:r>
        <w:rPr>
          <w:rFonts w:ascii="宋体" w:eastAsia="宋体" w:hAnsi="宋体" w:hint="eastAsia"/>
          <w:color w:val="DA95D8"/>
          <w:spacing w:val="-22"/>
          <w:w w:val="43"/>
          <w:sz w:val="19"/>
        </w:rPr>
        <w:t>已</w:t>
      </w:r>
      <w:r>
        <w:rPr>
          <w:rFonts w:ascii="宋体" w:eastAsia="宋体" w:hAnsi="宋体" w:hint="eastAsia"/>
          <w:color w:val="C875C4"/>
          <w:spacing w:val="-8"/>
          <w:w w:val="43"/>
          <w:sz w:val="19"/>
        </w:rPr>
        <w:t>．</w:t>
      </w:r>
      <w:r>
        <w:rPr>
          <w:rFonts w:ascii="宋体" w:eastAsia="宋体" w:hAnsi="宋体" w:hint="eastAsia"/>
          <w:color w:val="DBB3DA"/>
          <w:spacing w:val="-98"/>
          <w:w w:val="83"/>
          <w:sz w:val="19"/>
        </w:rPr>
        <w:t>，</w:t>
      </w:r>
      <w:r>
        <w:rPr>
          <w:rFonts w:ascii="宋体" w:eastAsia="宋体" w:hAnsi="宋体" w:hint="eastAsia"/>
          <w:color w:val="DA95D8"/>
          <w:spacing w:val="-29"/>
          <w:w w:val="43"/>
          <w:sz w:val="19"/>
        </w:rPr>
        <w:t>墨</w:t>
      </w:r>
      <w:r>
        <w:rPr>
          <w:rFonts w:ascii="宋体" w:eastAsia="宋体" w:hAnsi="宋体" w:hint="eastAsia"/>
          <w:color w:val="DA95D8"/>
          <w:w w:val="100"/>
          <w:sz w:val="19"/>
        </w:rPr>
        <w:t>｀．</w:t>
      </w:r>
      <w:r>
        <w:rPr>
          <w:rFonts w:ascii="宋体" w:eastAsia="宋体" w:hAnsi="宋体" w:hint="eastAsia"/>
          <w:color w:val="DA95D8"/>
          <w:spacing w:val="-144"/>
          <w:w w:val="100"/>
          <w:sz w:val="19"/>
        </w:rPr>
        <w:t>．</w:t>
      </w:r>
      <w:r>
        <w:rPr>
          <w:rFonts w:ascii="宋体" w:eastAsia="宋体" w:hAnsi="宋体" w:hint="eastAsia"/>
          <w:color w:val="DA95D8"/>
          <w:spacing w:val="-40"/>
          <w:w w:val="96"/>
          <w:sz w:val="19"/>
        </w:rPr>
        <w:t>·</w:t>
      </w:r>
      <w:r>
        <w:rPr>
          <w:rFonts w:ascii="宋体" w:eastAsia="宋体" w:hAnsi="宋体" w:hint="eastAsia"/>
          <w:color w:val="DA95D8"/>
          <w:w w:val="100"/>
          <w:sz w:val="19"/>
        </w:rPr>
        <w:t>-</w:t>
      </w:r>
    </w:p>
    <w:p>
      <w:pPr>
        <w:pStyle w:val="BodyText"/>
        <w:rPr>
          <w:rFonts w:ascii="宋体"/>
          <w:sz w:val="38"/>
        </w:rPr>
      </w:pPr>
      <w:r>
        <w:br w:type="column"/>
      </w:r>
    </w:p>
    <w:p>
      <w:pPr>
        <w:pStyle w:val="BodyText"/>
        <w:spacing w:before="4"/>
        <w:rPr>
          <w:rFonts w:ascii="宋体"/>
          <w:sz w:val="48"/>
        </w:rPr>
      </w:pPr>
    </w:p>
    <w:p>
      <w:pPr>
        <w:spacing w:before="0"/>
        <w:ind w:left="1031" w:right="0" w:firstLine="0"/>
        <w:jc w:val="left"/>
        <w:rPr>
          <w:rFonts w:ascii="宋体" w:eastAsia="宋体" w:hint="eastAsia"/>
          <w:sz w:val="38"/>
        </w:rPr>
      </w:pPr>
      <w:r>
        <w:rPr>
          <w:rFonts w:ascii="宋体" w:eastAsia="宋体" w:hint="eastAsia"/>
          <w:color w:val="414141"/>
          <w:w w:val="105"/>
          <w:sz w:val="38"/>
        </w:rPr>
        <w:t>园区正式路</w:t>
      </w:r>
    </w:p>
    <w:p>
      <w:pPr>
        <w:spacing w:before="18"/>
        <w:ind w:left="859" w:right="0" w:firstLine="0"/>
        <w:jc w:val="left"/>
        <w:rPr>
          <w:rFonts w:ascii="宋体" w:eastAsia="宋体" w:hint="eastAsia"/>
          <w:sz w:val="38"/>
        </w:rPr>
      </w:pPr>
      <w:r>
        <w:rPr>
          <w:rFonts w:ascii="宋体" w:eastAsia="宋体" w:hint="eastAsia"/>
          <w:color w:val="626060"/>
          <w:spacing w:val="-33"/>
          <w:w w:val="105"/>
          <w:sz w:val="38"/>
        </w:rPr>
        <w:t>（</w:t>
      </w:r>
      <w:r>
        <w:rPr>
          <w:rFonts w:ascii="宋体" w:eastAsia="宋体" w:hint="eastAsia"/>
          <w:color w:val="414141"/>
          <w:spacing w:val="7"/>
          <w:w w:val="105"/>
          <w:sz w:val="38"/>
        </w:rPr>
        <w:t>临时便道</w:t>
      </w:r>
      <w:r>
        <w:rPr>
          <w:rFonts w:ascii="宋体" w:eastAsia="宋体" w:hint="eastAsia"/>
          <w:color w:val="414141"/>
          <w:spacing w:val="-19"/>
          <w:w w:val="105"/>
          <w:sz w:val="38"/>
        </w:rPr>
        <w:t>）</w:t>
      </w:r>
    </w:p>
    <w:p>
      <w:pPr>
        <w:pStyle w:val="BodyText"/>
        <w:rPr>
          <w:rFonts w:ascii="宋体"/>
          <w:sz w:val="20"/>
        </w:rPr>
      </w:pPr>
      <w:r>
        <w:br w:type="column"/>
      </w:r>
    </w:p>
    <w:p>
      <w:pPr>
        <w:pStyle w:val="BodyText"/>
        <w:spacing w:before="4"/>
        <w:rPr>
          <w:rFonts w:ascii="宋体"/>
          <w:sz w:val="15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7145263</wp:posOffset>
            </wp:positionH>
            <wp:positionV relativeFrom="paragraph">
              <wp:posOffset>149748</wp:posOffset>
            </wp:positionV>
            <wp:extent cx="1395599" cy="228600"/>
            <wp:effectExtent l="0" t="0" r="0" b="0"/>
            <wp:wrapTopAndBottom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599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5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7117782</wp:posOffset>
            </wp:positionH>
            <wp:positionV relativeFrom="paragraph">
              <wp:posOffset>147603</wp:posOffset>
            </wp:positionV>
            <wp:extent cx="1121054" cy="205739"/>
            <wp:effectExtent l="0" t="0" r="0" b="0"/>
            <wp:wrapTopAndBottom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1054" cy="205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48" w:lineRule="exact"/>
        <w:ind w:left="1307" w:right="0" w:firstLine="0"/>
        <w:jc w:val="left"/>
        <w:rPr>
          <w:rFonts w:ascii="宋体" w:eastAsia="宋体" w:hint="eastAsia"/>
          <w:sz w:val="13"/>
        </w:rPr>
      </w:pPr>
      <w:r>
        <w:rPr>
          <w:rFonts w:ascii="宋体" w:eastAsia="宋体" w:hint="eastAsia"/>
          <w:color w:val="626060"/>
          <w:w w:val="105"/>
          <w:sz w:val="13"/>
        </w:rPr>
        <w:t xml:space="preserve">" </w:t>
      </w:r>
      <w:r>
        <w:rPr>
          <w:rFonts w:ascii="宋体" w:eastAsia="宋体" w:hint="eastAsia"/>
          <w:color w:val="79797B"/>
          <w:w w:val="105"/>
          <w:sz w:val="13"/>
        </w:rPr>
        <w:t>自小</w:t>
      </w:r>
    </w:p>
    <w:p>
      <w:pPr>
        <w:tabs>
          <w:tab w:val="left" w:pos="1230"/>
          <w:tab w:val="left" w:pos="2226"/>
        </w:tabs>
        <w:spacing w:before="0" w:line="250" w:lineRule="exact"/>
        <w:ind w:left="299" w:right="0" w:firstLine="0"/>
        <w:jc w:val="left"/>
        <w:rPr>
          <w:rFonts w:ascii="宋体" w:eastAsia="宋体" w:hint="eastAsia"/>
          <w:sz w:val="21"/>
        </w:rPr>
      </w:pPr>
      <w:r>
        <w:pict>
          <v:rect id="_x0000_s1063" style="width:1.44pt;height:10.51pt;margin-top:0.53pt;margin-left:631.55pt;mso-position-horizontal-relative:page;position:absolute;z-index:-251634688" filled="t" fillcolor="#f2edf2" stroked="f">
            <v:fill type="solid"/>
          </v:rect>
        </w:pict>
      </w:r>
      <w:r>
        <w:pict>
          <v:shape id="_x0000_s1064" type="#_x0000_t202" style="width:18.55pt;height:21.1pt;margin-top:-14.42pt;margin-left:564.47pt;mso-position-horizontal-relative:page;position:absolute;z-index:-2516336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hAnsi="宋体"/>
                      <w:sz w:val="33"/>
                    </w:rPr>
                  </w:pPr>
                  <w:r>
                    <w:rPr>
                      <w:rFonts w:ascii="宋体" w:hAnsi="宋体"/>
                      <w:color w:val="79797B"/>
                      <w:spacing w:val="-318"/>
                      <w:w w:val="100"/>
                      <w:position w:val="-3"/>
                      <w:sz w:val="33"/>
                    </w:rPr>
                    <w:t>u</w:t>
                  </w:r>
                  <w:r>
                    <w:rPr>
                      <w:rFonts w:ascii="宋体" w:hAnsi="宋体"/>
                      <w:color w:val="BFAFB1"/>
                      <w:spacing w:val="-293"/>
                      <w:w w:val="100"/>
                      <w:sz w:val="33"/>
                    </w:rPr>
                    <w:t>-</w:t>
                  </w:r>
                  <w:r>
                    <w:rPr>
                      <w:rFonts w:ascii="宋体" w:hAnsi="宋体"/>
                      <w:color w:val="79797B"/>
                      <w:w w:val="100"/>
                      <w:sz w:val="33"/>
                      <w:shd w:val="clear" w:color="auto" w:fill="F2EDF2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FAFB1"/>
          <w:w w:val="100"/>
          <w:sz w:val="21"/>
          <w:u w:val="thick" w:color="000000"/>
        </w:rPr>
        <w:t xml:space="preserve"> </w:t>
      </w:r>
      <w:r>
        <w:rPr>
          <w:rFonts w:ascii="宋体" w:eastAsia="宋体" w:hint="eastAsia"/>
          <w:color w:val="BFAFB1"/>
          <w:sz w:val="21"/>
          <w:u w:val="thick" w:color="000000"/>
        </w:rPr>
        <w:tab/>
      </w:r>
      <w:r>
        <w:rPr>
          <w:rFonts w:ascii="宋体" w:eastAsia="宋体" w:hint="eastAsia"/>
          <w:color w:val="BFAFB1"/>
          <w:w w:val="208"/>
          <w:sz w:val="21"/>
          <w:shd w:val="clear" w:color="auto" w:fill="F2EDF2"/>
        </w:rPr>
        <w:t>＂</w:t>
      </w:r>
      <w:r>
        <w:rPr>
          <w:rFonts w:ascii="宋体" w:eastAsia="宋体" w:hint="eastAsia"/>
          <w:color w:val="BFAFB1"/>
          <w:spacing w:val="-65"/>
          <w:sz w:val="21"/>
          <w:shd w:val="clear" w:color="auto" w:fill="F2EDF2"/>
        </w:rPr>
        <w:t xml:space="preserve"> </w:t>
      </w:r>
      <w:r>
        <w:rPr>
          <w:rFonts w:ascii="宋体" w:eastAsia="宋体" w:hint="eastAsia"/>
          <w:color w:val="BFAFB1"/>
          <w:spacing w:val="-1"/>
          <w:w w:val="71"/>
          <w:sz w:val="21"/>
          <w:shd w:val="clear" w:color="auto" w:fill="F2EDF2"/>
        </w:rPr>
        <w:t>们</w:t>
      </w:r>
      <w:r>
        <w:rPr>
          <w:rFonts w:ascii="宋体" w:eastAsia="宋体" w:hint="eastAsia"/>
          <w:color w:val="939393"/>
          <w:spacing w:val="-102"/>
          <w:w w:val="71"/>
          <w:sz w:val="21"/>
          <w:u w:val="thick" w:color="000000"/>
        </w:rPr>
        <w:t>，</w:t>
      </w:r>
      <w:r>
        <w:rPr>
          <w:rFonts w:ascii="宋体" w:eastAsia="宋体" w:hint="eastAsia"/>
          <w:color w:val="BFAFB1"/>
          <w:spacing w:val="-145"/>
          <w:w w:val="71"/>
          <w:sz w:val="21"/>
          <w:u w:val="thick" w:color="000000"/>
        </w:rPr>
        <w:t>．</w:t>
      </w:r>
      <w:r>
        <w:rPr>
          <w:rFonts w:ascii="宋体" w:eastAsia="宋体" w:hint="eastAsia"/>
          <w:color w:val="939393"/>
          <w:spacing w:val="-201"/>
          <w:w w:val="96"/>
          <w:sz w:val="21"/>
          <w:u w:val="thick" w:color="000000"/>
        </w:rPr>
        <w:t>；</w:t>
      </w:r>
      <w:r>
        <w:rPr>
          <w:rFonts w:ascii="宋体" w:eastAsia="宋体" w:hint="eastAsia"/>
          <w:color w:val="939393"/>
          <w:w w:val="142"/>
          <w:sz w:val="21"/>
          <w:u w:val="thick" w:color="000000"/>
        </w:rPr>
        <w:t>＂</w:t>
      </w:r>
      <w:r>
        <w:rPr>
          <w:rFonts w:ascii="宋体" w:eastAsia="宋体" w:hint="eastAsia"/>
          <w:color w:val="939393"/>
          <w:sz w:val="21"/>
          <w:u w:val="thick" w:color="000000"/>
        </w:rPr>
        <w:tab/>
      </w:r>
    </w:p>
    <w:p>
      <w:pPr>
        <w:spacing w:after="0" w:line="250" w:lineRule="exact"/>
        <w:jc w:val="left"/>
        <w:rPr>
          <w:rFonts w:ascii="宋体" w:eastAsia="宋体" w:hint="eastAsia"/>
          <w:sz w:val="21"/>
        </w:rPr>
        <w:sectPr>
          <w:headerReference w:type="default" r:id="rId44"/>
          <w:footerReference w:type="default" r:id="rId45"/>
          <w:type w:val="continuous"/>
          <w:pgSz w:w="17860" w:h="25270"/>
          <w:pgMar w:top="1420" w:right="1500" w:bottom="1920" w:left="2200" w:header="708" w:footer="708"/>
          <w:pgNumType w:start="16"/>
          <w:cols w:num="3" w:space="708" w:equalWidth="0">
            <w:col w:w="5417" w:space="40"/>
            <w:col w:w="3250" w:space="39"/>
            <w:col w:w="5414" w:space="0"/>
          </w:cols>
        </w:sectPr>
      </w:pPr>
    </w:p>
    <w:p>
      <w:pPr>
        <w:tabs>
          <w:tab w:val="left" w:pos="4820"/>
        </w:tabs>
        <w:spacing w:before="0" w:line="170" w:lineRule="exact"/>
        <w:ind w:left="2309" w:right="0" w:firstLine="0"/>
        <w:jc w:val="left"/>
        <w:rPr>
          <w:rFonts w:ascii="宋体" w:eastAsia="宋体" w:hAnsi="宋体" w:hint="eastAsia"/>
          <w:sz w:val="19"/>
        </w:rPr>
      </w:pPr>
      <w:r>
        <w:pict>
          <v:group id="_x0000_s1065" style="width:152.95pt;height:39.4pt;margin-top:247.09pt;margin-left:354.52pt;mso-position-horizontal-relative:page;mso-position-vertical-relative:page;position:absolute;z-index:251684864" coordorigin="7090,4942" coordsize="3059,788">
            <v:shape id="_x0000_s1066" type="#_x0000_t75" style="width:2684;height:779;left:7090;position:absolute;top:4951" stroked="f">
              <v:imagedata r:id="rId46" o:title=""/>
            </v:shape>
            <v:shape id="_x0000_s1067" style="width:356;height:700;left:9793;position:absolute;top:4941" coordorigin="9794,4942" coordsize="356,700" path="m10149,4942l9836,4942,9836,5233,9794,5233,9794,5278,9794,5543,9794,5589,9836,5589,9836,5641,10149,5641,10149,5581,10149,5331,10149,5271,10107,5271,10107,5252,10149,5252,10149,4942xe" filled="t" fillcolor="#f2edf2" stroked="f">
              <v:fill type="solid"/>
              <v:path arrowok="t"/>
            </v:shape>
          </v:group>
        </w:pict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6536083</wp:posOffset>
            </wp:positionH>
            <wp:positionV relativeFrom="page">
              <wp:posOffset>3134943</wp:posOffset>
            </wp:positionV>
            <wp:extent cx="1853172" cy="50292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172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2633671</wp:posOffset>
            </wp:positionH>
            <wp:positionV relativeFrom="page">
              <wp:posOffset>3816850</wp:posOffset>
            </wp:positionV>
            <wp:extent cx="1029540" cy="553211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9540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6146759</wp:posOffset>
            </wp:positionH>
            <wp:positionV relativeFrom="page">
              <wp:posOffset>3967876</wp:posOffset>
            </wp:positionV>
            <wp:extent cx="462149" cy="50292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149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8" style="width:94.45pt;height:92.65pt;margin-top:4.95pt;margin-left:573.5pt;mso-position-horizontal-relative:page;position:absolute;z-index:251688960" coordorigin="11470,99" coordsize="1889,1853">
            <v:shape id="_x0000_s1069" type="#_x0000_t75" style="width:1609;height:1853;left:11750;position:absolute;top:99" stroked="f">
              <v:imagedata r:id="rId50" o:title=""/>
            </v:shape>
            <v:shape id="_x0000_s1070" style="width:376;height:591;left:11470;position:absolute;top:168" coordorigin="11470,168" coordsize="376,591" path="m11845,419l11745,419,11745,207,11712,207,11712,168,11470,168,11470,409,11503,409,11503,419,11502,419,11502,759,11845,759,11845,419xe" filled="t" fillcolor="#f2edf2" stroked="f">
              <v:fill type="solid"/>
              <v:path arrowok="t"/>
            </v:shape>
          </v:group>
        </w:pict>
      </w:r>
      <w:r>
        <w:pict>
          <v:shape id="_x0000_s1071" type="#_x0000_t202" style="width:10.55pt;height:19.05pt;margin-top:4.43pt;margin-left:580.6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34"/>
                    </w:rPr>
                  </w:pPr>
                  <w:r>
                    <w:rPr>
                      <w:rFonts w:ascii="宋体"/>
                      <w:color w:val="79797B"/>
                      <w:w w:val="100"/>
                      <w:sz w:val="34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72" type="#_x0000_t202" style="width:8.05pt;height:14.05pt;margin-top:1pt;margin-left:577.19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626060"/>
                      <w:w w:val="100"/>
                      <w:sz w:val="24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73" type="#_x0000_t202" style="width:8.05pt;height:14.05pt;margin-top:5.79pt;margin-left:575.62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A5A5A5"/>
                      <w:w w:val="100"/>
                      <w:sz w:val="24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74" type="#_x0000_t202" style="width:17.55pt;height:17.55pt;margin-top:284.47pt;margin-left:505.55pt;mso-position-horizontal-relative:page;mso-position-vertic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31"/>
                    </w:rPr>
                  </w:pPr>
                  <w:r>
                    <w:rPr>
                      <w:rFonts w:ascii="宋体" w:eastAsia="宋体" w:hint="eastAsia"/>
                      <w:color w:val="75EBE6"/>
                      <w:w w:val="100"/>
                      <w:sz w:val="31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075" type="#_x0000_t202" style="width:18.45pt;height:38.75pt;margin-top:245.65pt;margin-left:486.11pt;mso-position-horizontal-relative:page;mso-position-vertic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31"/>
                    </w:rPr>
                  </w:pPr>
                  <w:r>
                    <w:rPr>
                      <w:rFonts w:ascii="宋体" w:eastAsia="宋体" w:hint="eastAsia"/>
                      <w:color w:val="BFAFB1"/>
                      <w:spacing w:val="-17"/>
                      <w:w w:val="100"/>
                      <w:sz w:val="31"/>
                    </w:rPr>
                    <w:t>/</w:t>
                  </w:r>
                  <w:r>
                    <w:rPr>
                      <w:rFonts w:ascii="宋体" w:eastAsia="宋体" w:hint="eastAsia"/>
                      <w:color w:val="BFAFB1"/>
                      <w:spacing w:val="-265"/>
                      <w:w w:val="100"/>
                      <w:position w:val="-1"/>
                      <w:sz w:val="31"/>
                    </w:rPr>
                    <w:t>}</w:t>
                  </w:r>
                  <w:r>
                    <w:rPr>
                      <w:rFonts w:ascii="宋体" w:eastAsia="宋体" w:hint="eastAsia"/>
                      <w:color w:val="BFAFB1"/>
                      <w:spacing w:val="-260"/>
                      <w:w w:val="100"/>
                      <w:position w:val="-3"/>
                      <w:sz w:val="31"/>
                    </w:rPr>
                    <w:t>&gt;</w:t>
                  </w:r>
                  <w:r>
                    <w:rPr>
                      <w:rFonts w:ascii="宋体" w:eastAsia="宋体" w:hint="eastAsia"/>
                      <w:color w:val="BFAFB1"/>
                      <w:spacing w:val="-276"/>
                      <w:w w:val="100"/>
                      <w:sz w:val="31"/>
                    </w:rPr>
                    <w:t>/</w:t>
                  </w:r>
                  <w:r>
                    <w:rPr>
                      <w:rFonts w:ascii="宋体" w:eastAsia="宋体" w:hint="eastAsia"/>
                      <w:color w:val="BFAFB1"/>
                      <w:w w:val="100"/>
                      <w:position w:val="-9"/>
                      <w:sz w:val="31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76" type="#_x0000_t202" style="width:16.25pt;height:27.4pt;margin-top:3.65pt;margin-left:350.22pt;mso-position-horizontal-relative:page;position:absolute;z-index:-251613184" filled="f" stroked="f">
            <v:textbox inset="0,0,0,0">
              <w:txbxContent>
                <w:p>
                  <w:pPr>
                    <w:spacing w:before="0" w:line="548" w:lineRule="exact"/>
                    <w:ind w:left="0" w:right="0" w:firstLine="0"/>
                    <w:jc w:val="left"/>
                    <w:rPr>
                      <w:rFonts w:ascii="Arial" w:hAnsi="Arial"/>
                      <w:sz w:val="49"/>
                    </w:rPr>
                  </w:pPr>
                  <w:r>
                    <w:rPr>
                      <w:rFonts w:ascii="Arial" w:hAnsi="Arial"/>
                      <w:color w:val="DBB3DA"/>
                      <w:w w:val="60"/>
                      <w:sz w:val="49"/>
                      <w:shd w:val="clear" w:color="auto" w:fill="F2EDF2"/>
                    </w:rPr>
                    <w:t>,</w:t>
                  </w:r>
                  <w:r>
                    <w:rPr>
                      <w:rFonts w:ascii="Arial" w:hAnsi="Arial"/>
                      <w:color w:val="DBB3DA"/>
                      <w:spacing w:val="-40"/>
                      <w:w w:val="60"/>
                      <w:sz w:val="49"/>
                    </w:rPr>
                    <w:t xml:space="preserve"> </w:t>
                  </w:r>
                  <w:r>
                    <w:rPr>
                      <w:rFonts w:ascii="Arial" w:hAnsi="Arial"/>
                      <w:color w:val="DA95D8"/>
                      <w:spacing w:val="-34"/>
                      <w:w w:val="60"/>
                      <w:sz w:val="49"/>
                    </w:rPr>
                    <w:t>·</w:t>
                  </w:r>
                  <w:r>
                    <w:rPr>
                      <w:rFonts w:ascii="Arial" w:hAnsi="Arial"/>
                      <w:color w:val="D462CF"/>
                      <w:spacing w:val="-34"/>
                      <w:w w:val="60"/>
                      <w:sz w:val="49"/>
                    </w:rPr>
                    <w:t>·</w:t>
                  </w:r>
                  <w:r>
                    <w:rPr>
                      <w:rFonts w:ascii="Arial" w:hAnsi="Arial"/>
                      <w:color w:val="DA95D8"/>
                      <w:spacing w:val="-34"/>
                      <w:w w:val="60"/>
                      <w:sz w:val="49"/>
                    </w:rPr>
                    <w:t>·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DA95D8"/>
          <w:w w:val="202"/>
          <w:sz w:val="19"/>
        </w:rPr>
        <w:t>"</w:t>
      </w:r>
      <w:r>
        <w:rPr>
          <w:rFonts w:ascii="宋体" w:eastAsia="宋体" w:hAnsi="宋体" w:hint="eastAsia"/>
          <w:color w:val="DA95D8"/>
          <w:sz w:val="19"/>
        </w:rPr>
        <w:tab/>
      </w:r>
      <w:r>
        <w:rPr>
          <w:rFonts w:ascii="宋体" w:eastAsia="宋体" w:hAnsi="宋体" w:hint="eastAsia"/>
          <w:color w:val="BA5DB3"/>
          <w:spacing w:val="-27"/>
          <w:w w:val="96"/>
          <w:sz w:val="19"/>
        </w:rPr>
        <w:t>.</w:t>
      </w:r>
      <w:r>
        <w:rPr>
          <w:rFonts w:ascii="宋体" w:eastAsia="宋体" w:hAnsi="宋体" w:hint="eastAsia"/>
          <w:color w:val="DA95D8"/>
          <w:spacing w:val="-45"/>
          <w:w w:val="96"/>
          <w:sz w:val="19"/>
        </w:rPr>
        <w:t>.</w:t>
      </w:r>
      <w:r>
        <w:rPr>
          <w:rFonts w:ascii="宋体" w:eastAsia="宋体" w:hAnsi="宋体" w:hint="eastAsia"/>
          <w:color w:val="DA95D8"/>
          <w:spacing w:val="-57"/>
          <w:w w:val="64"/>
          <w:sz w:val="19"/>
        </w:rPr>
        <w:t>屯</w:t>
      </w:r>
      <w:r>
        <w:rPr>
          <w:rFonts w:ascii="宋体" w:eastAsia="宋体" w:hAnsi="宋体" w:hint="eastAsia"/>
          <w:color w:val="C875C4"/>
          <w:spacing w:val="-22"/>
          <w:w w:val="64"/>
          <w:sz w:val="19"/>
        </w:rPr>
        <w:t>·</w:t>
      </w:r>
      <w:r>
        <w:rPr>
          <w:rFonts w:ascii="宋体" w:eastAsia="宋体" w:hAnsi="宋体" w:hint="eastAsia"/>
          <w:color w:val="DBB3DA"/>
          <w:spacing w:val="-102"/>
          <w:w w:val="83"/>
          <w:sz w:val="19"/>
        </w:rPr>
        <w:t>，</w:t>
      </w:r>
      <w:r>
        <w:rPr>
          <w:rFonts w:ascii="宋体" w:eastAsia="宋体" w:hAnsi="宋体" w:hint="eastAsia"/>
          <w:color w:val="DA95D8"/>
          <w:spacing w:val="-8"/>
          <w:w w:val="49"/>
          <w:sz w:val="19"/>
        </w:rPr>
        <w:t>尸</w:t>
      </w:r>
      <w:r>
        <w:rPr>
          <w:rFonts w:ascii="宋体" w:eastAsia="宋体" w:hAnsi="宋体" w:hint="eastAsia"/>
          <w:color w:val="DBB3DA"/>
          <w:w w:val="49"/>
          <w:sz w:val="19"/>
          <w:shd w:val="clear" w:color="auto" w:fill="F2EDF2"/>
        </w:rPr>
        <w:t>．</w:t>
      </w:r>
    </w:p>
    <w:p>
      <w:pPr>
        <w:spacing w:before="0" w:line="436" w:lineRule="exact"/>
        <w:ind w:left="4863" w:right="0" w:firstLine="0"/>
        <w:jc w:val="left"/>
        <w:rPr>
          <w:rFonts w:ascii="宋体" w:eastAsia="宋体" w:hAnsi="宋体" w:hint="eastAsia"/>
          <w:sz w:val="6"/>
        </w:rPr>
      </w:pPr>
      <w:r>
        <w:pict>
          <v:shape id="_x0000_s1077" type="#_x0000_t202" style="width:7.95pt;height:14.15pt;margin-top:3.97pt;margin-left:593.44pt;mso-position-horizontal-relative:page;position:absolute;z-index:-251616256" filled="f" stroked="f">
            <v:textbox inset="0,0,0,0">
              <w:txbxContent>
                <w:p>
                  <w:pPr>
                    <w:spacing w:before="0" w:line="10" w:lineRule="exact"/>
                    <w:ind w:left="4" w:right="0" w:firstLine="0"/>
                    <w:jc w:val="left"/>
                    <w:rPr>
                      <w:rFonts w:ascii="宋体" w:eastAsia="宋体" w:hint="eastAsia"/>
                      <w:sz w:val="13"/>
                    </w:rPr>
                  </w:pPr>
                  <w:r>
                    <w:rPr>
                      <w:rFonts w:ascii="宋体" w:eastAsia="宋体" w:hint="eastAsia"/>
                      <w:color w:val="BFAFB1"/>
                      <w:w w:val="100"/>
                      <w:sz w:val="13"/>
                    </w:rPr>
                    <w:t>么</w:t>
                  </w:r>
                </w:p>
                <w:p>
                  <w:pPr>
                    <w:spacing w:before="0" w:line="194" w:lineRule="auto"/>
                    <w:ind w:left="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宋体" w:eastAsia="宋体" w:hint="eastAsia"/>
                      <w:color w:val="BFAFB1"/>
                      <w:spacing w:val="-112"/>
                      <w:position w:val="-2"/>
                      <w:sz w:val="13"/>
                    </w:rPr>
                    <w:t>皿</w:t>
                  </w:r>
                  <w:r>
                    <w:rPr>
                      <w:rFonts w:ascii="宋体" w:eastAsia="宋体" w:hint="eastAsia"/>
                      <w:color w:val="A5A5A5"/>
                      <w:sz w:val="14"/>
                    </w:rPr>
                    <w:t>U</w:t>
                  </w:r>
                </w:p>
              </w:txbxContent>
            </v:textbox>
          </v:shape>
        </w:pict>
      </w:r>
      <w:r>
        <w:pict>
          <v:shape id="_x0000_s1078" type="#_x0000_t202" style="width:8.1pt;height:6.4pt;margin-top:7.92pt;margin-left:578.05pt;mso-position-horizontal-relative:page;position:absolute;z-index:-251615232" filled="f" stroked="f">
            <v:textbox inset="0,0,0,0">
              <w:txbxContent>
                <w:p>
                  <w:pPr>
                    <w:spacing w:before="0" w:line="65" w:lineRule="exact"/>
                    <w:ind w:left="11" w:right="0" w:firstLine="0"/>
                    <w:jc w:val="left"/>
                    <w:rPr>
                      <w:rFonts w:ascii="宋体"/>
                      <w:sz w:val="15"/>
                    </w:rPr>
                  </w:pPr>
                  <w:r>
                    <w:rPr>
                      <w:rFonts w:ascii="宋体"/>
                      <w:color w:val="79797B"/>
                      <w:w w:val="100"/>
                      <w:sz w:val="15"/>
                    </w:rPr>
                    <w:t>`</w:t>
                  </w:r>
                </w:p>
                <w:p>
                  <w:pPr>
                    <w:spacing w:before="0" w:line="57" w:lineRule="exact"/>
                    <w:ind w:left="0" w:right="0" w:firstLine="0"/>
                    <w:jc w:val="left"/>
                    <w:rPr>
                      <w:rFonts w:ascii="宋体"/>
                      <w:sz w:val="15"/>
                    </w:rPr>
                  </w:pPr>
                  <w:r>
                    <w:rPr>
                      <w:rFonts w:ascii="宋体"/>
                      <w:color w:val="939393"/>
                      <w:w w:val="100"/>
                      <w:sz w:val="1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9" type="#_x0000_t202" style="width:6.05pt;height:6.05pt;margin-top:18.48pt;margin-left:577.46pt;mso-position-horizontal-relative:page;position:absolute;z-index:-251614208" filled="f" stroked="f">
            <v:textbox inset="0,0,0,0">
              <w:txbxContent>
                <w:p>
                  <w:pPr>
                    <w:spacing w:before="0" w:line="34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2"/>
                    </w:rPr>
                  </w:pPr>
                  <w:r>
                    <w:rPr>
                      <w:rFonts w:ascii="宋体" w:eastAsia="宋体" w:hint="eastAsia"/>
                      <w:color w:val="79797B"/>
                      <w:w w:val="100"/>
                      <w:sz w:val="12"/>
                    </w:rPr>
                    <w:t>司</w:t>
                  </w:r>
                </w:p>
              </w:txbxContent>
            </v:textbox>
          </v:shape>
        </w:pict>
      </w:r>
      <w:r>
        <w:pict>
          <v:shape id="_x0000_s1080" type="#_x0000_t202" style="width:15.55pt;height:26.6pt;margin-top:2.84pt;margin-left:593.52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BFAFB1"/>
                      <w:w w:val="100"/>
                      <w:sz w:val="27"/>
                      <w:shd w:val="clear" w:color="auto" w:fill="F2EDF2"/>
                    </w:rPr>
                    <w:t xml:space="preserve"> ＇</w:t>
                  </w:r>
                </w:p>
              </w:txbxContent>
            </v:textbox>
          </v:shape>
        </w:pict>
      </w:r>
      <w:r>
        <w:pict>
          <v:shape id="_x0000_s1081" type="#_x0000_t202" style="width:15.55pt;height:15.55pt;margin-top:5.88pt;margin-left:586.1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7"/>
                    </w:rPr>
                  </w:pPr>
                  <w:r>
                    <w:rPr>
                      <w:rFonts w:ascii="宋体" w:eastAsia="宋体" w:hint="eastAsia"/>
                      <w:color w:val="BFAFB1"/>
                      <w:w w:val="100"/>
                      <w:sz w:val="2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82" type="#_x0000_t202" style="width:13.55pt;height:13.55pt;margin-top:13.62pt;margin-left:577.14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A5A5A5"/>
                      <w:w w:val="100"/>
                      <w:sz w:val="23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083" type="#_x0000_t202" style="width:10.55pt;height:19.05pt;margin-top:11.2pt;margin-left:578.42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34"/>
                    </w:rPr>
                  </w:pPr>
                  <w:r>
                    <w:rPr>
                      <w:rFonts w:ascii="宋体"/>
                      <w:color w:val="D4C1C6"/>
                      <w:w w:val="100"/>
                      <w:sz w:val="34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84" type="#_x0000_t202" style="width:8.05pt;height:14.05pt;margin-top:5.39pt;margin-left:578.02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24"/>
                    </w:rPr>
                  </w:pPr>
                  <w:r>
                    <w:rPr>
                      <w:rFonts w:ascii="宋体"/>
                      <w:color w:val="A5A5A5"/>
                      <w:w w:val="100"/>
                      <w:sz w:val="24"/>
                    </w:rPr>
                    <w:t>`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D462CF"/>
          <w:spacing w:val="-26"/>
          <w:w w:val="75"/>
          <w:position w:val="-4"/>
          <w:sz w:val="42"/>
        </w:rPr>
        <w:t>·</w:t>
      </w:r>
      <w:r>
        <w:rPr>
          <w:rFonts w:ascii="宋体" w:eastAsia="宋体" w:hAnsi="宋体" w:hint="eastAsia"/>
          <w:color w:val="DA95D8"/>
          <w:spacing w:val="6"/>
          <w:w w:val="75"/>
          <w:sz w:val="7"/>
        </w:rPr>
        <w:t xml:space="preserve">忑了  </w:t>
      </w:r>
      <w:r>
        <w:rPr>
          <w:rFonts w:ascii="Times New Roman" w:eastAsia="Times New Roman" w:hAnsi="Times New Roman"/>
          <w:color w:val="DA95D8"/>
          <w:w w:val="75"/>
          <w:sz w:val="9"/>
        </w:rPr>
        <w:t>1</w:t>
      </w:r>
      <w:r>
        <w:rPr>
          <w:rFonts w:ascii="Times New Roman" w:eastAsia="Times New Roman" w:hAnsi="Times New Roman"/>
          <w:color w:val="DA95D8"/>
          <w:spacing w:val="3"/>
          <w:w w:val="75"/>
          <w:sz w:val="9"/>
        </w:rPr>
        <w:t xml:space="preserve"> </w:t>
      </w:r>
      <w:r>
        <w:rPr>
          <w:rFonts w:ascii="宋体" w:eastAsia="宋体" w:hAnsi="宋体" w:hint="eastAsia"/>
          <w:color w:val="DA95D8"/>
          <w:w w:val="95"/>
          <w:sz w:val="6"/>
        </w:rPr>
        <w:t>鲁量</w:t>
      </w:r>
    </w:p>
    <w:p>
      <w:pPr>
        <w:spacing w:before="55" w:line="214" w:lineRule="exact"/>
        <w:ind w:left="0" w:right="3898" w:firstLine="0"/>
        <w:jc w:val="center"/>
        <w:rPr>
          <w:rFonts w:ascii="宋体" w:eastAsia="宋体" w:hint="eastAsia"/>
          <w:sz w:val="18"/>
        </w:rPr>
      </w:pPr>
      <w:r>
        <w:rPr>
          <w:rFonts w:ascii="宋体" w:eastAsia="宋体" w:hint="eastAsia"/>
          <w:color w:val="DA95D8"/>
          <w:spacing w:val="-25"/>
          <w:w w:val="60"/>
          <w:sz w:val="18"/>
        </w:rPr>
        <w:t>盲</w:t>
      </w:r>
      <w:r>
        <w:rPr>
          <w:rFonts w:ascii="宋体" w:eastAsia="宋体" w:hint="eastAsia"/>
          <w:color w:val="D462CF"/>
          <w:spacing w:val="-5"/>
          <w:w w:val="60"/>
          <w:sz w:val="18"/>
        </w:rPr>
        <w:t>皋</w:t>
      </w:r>
      <w:r>
        <w:rPr>
          <w:rFonts w:ascii="宋体" w:eastAsia="宋体" w:hint="eastAsia"/>
          <w:color w:val="DA95D8"/>
          <w:w w:val="60"/>
          <w:sz w:val="18"/>
        </w:rPr>
        <w:t>.,.</w:t>
      </w:r>
    </w:p>
    <w:p>
      <w:pPr>
        <w:spacing w:before="0" w:line="73" w:lineRule="exact"/>
        <w:ind w:left="0" w:right="3986" w:firstLine="0"/>
        <w:jc w:val="center"/>
        <w:rPr>
          <w:rFonts w:ascii="宋体" w:eastAsia="宋体" w:hAnsi="宋体" w:hint="eastAsia"/>
          <w:sz w:val="7"/>
        </w:rPr>
      </w:pPr>
      <w:r>
        <w:rPr>
          <w:rFonts w:ascii="Arial" w:eastAsia="Arial" w:hAnsi="Arial"/>
          <w:color w:val="C875C4"/>
          <w:spacing w:val="-7"/>
          <w:sz w:val="7"/>
        </w:rPr>
        <w:t xml:space="preserve">, </w:t>
      </w:r>
      <w:r>
        <w:rPr>
          <w:rFonts w:ascii="Arial" w:eastAsia="Arial" w:hAnsi="Arial"/>
          <w:color w:val="DA95D8"/>
          <w:sz w:val="7"/>
        </w:rPr>
        <w:t>l</w:t>
      </w:r>
      <w:r>
        <w:rPr>
          <w:rFonts w:ascii="Arial" w:eastAsia="Arial" w:hAnsi="Arial"/>
          <w:color w:val="DA95D8"/>
          <w:spacing w:val="1"/>
          <w:sz w:val="7"/>
        </w:rPr>
        <w:t xml:space="preserve">   </w:t>
      </w:r>
      <w:r>
        <w:rPr>
          <w:rFonts w:ascii="宋体" w:eastAsia="宋体" w:hAnsi="宋体" w:hint="eastAsia"/>
          <w:color w:val="DA95D8"/>
          <w:spacing w:val="1"/>
          <w:sz w:val="7"/>
        </w:rPr>
        <w:t xml:space="preserve">上叫 </w:t>
      </w:r>
      <w:r>
        <w:rPr>
          <w:rFonts w:ascii="宋体" w:eastAsia="宋体" w:hAnsi="宋体" w:hint="eastAsia"/>
          <w:color w:val="DBB3DA"/>
          <w:spacing w:val="-19"/>
          <w:sz w:val="7"/>
        </w:rPr>
        <w:t>闱</w:t>
      </w:r>
      <w:r>
        <w:rPr>
          <w:rFonts w:ascii="宋体" w:eastAsia="宋体" w:hAnsi="宋体" w:hint="eastAsia"/>
          <w:color w:val="C189BD"/>
          <w:sz w:val="7"/>
        </w:rPr>
        <w:t>·</w:t>
      </w:r>
    </w:p>
    <w:p>
      <w:pPr>
        <w:spacing w:before="66" w:line="82" w:lineRule="exact"/>
        <w:ind w:left="0" w:right="3960" w:firstLine="0"/>
        <w:jc w:val="center"/>
        <w:rPr>
          <w:rFonts w:ascii="宋体" w:eastAsia="宋体" w:hAnsi="宋体" w:hint="eastAsia"/>
          <w:sz w:val="23"/>
        </w:rPr>
      </w:pPr>
      <w:r>
        <w:rPr>
          <w:rFonts w:ascii="Times New Roman" w:eastAsia="Times New Roman" w:hAnsi="Times New Roman"/>
          <w:color w:val="DBB3DA"/>
          <w:w w:val="50"/>
          <w:sz w:val="9"/>
        </w:rPr>
        <w:t xml:space="preserve">g </w:t>
      </w:r>
      <w:r>
        <w:rPr>
          <w:rFonts w:ascii="宋体" w:eastAsia="宋体" w:hAnsi="宋体" w:hint="eastAsia"/>
          <w:color w:val="DA95D8"/>
          <w:spacing w:val="-80"/>
          <w:w w:val="50"/>
          <w:position w:val="-9"/>
          <w:sz w:val="23"/>
        </w:rPr>
        <w:t>丁</w:t>
      </w:r>
      <w:r>
        <w:rPr>
          <w:rFonts w:ascii="宋体" w:eastAsia="宋体" w:hAnsi="宋体" w:hint="eastAsia"/>
          <w:color w:val="DA95D8"/>
          <w:spacing w:val="-28"/>
          <w:w w:val="50"/>
          <w:sz w:val="16"/>
        </w:rPr>
        <w:t>嚷皇</w:t>
      </w:r>
      <w:r>
        <w:rPr>
          <w:rFonts w:ascii="宋体" w:eastAsia="宋体" w:hAnsi="宋体" w:hint="eastAsia"/>
          <w:color w:val="DA95D8"/>
          <w:spacing w:val="-74"/>
          <w:w w:val="50"/>
          <w:position w:val="-9"/>
          <w:sz w:val="23"/>
        </w:rPr>
        <w:t>圈</w:t>
      </w:r>
      <w:r>
        <w:rPr>
          <w:rFonts w:ascii="宋体" w:eastAsia="宋体" w:hAnsi="宋体" w:hint="eastAsia"/>
          <w:color w:val="DA95D8"/>
          <w:spacing w:val="-20"/>
          <w:w w:val="50"/>
          <w:sz w:val="16"/>
        </w:rPr>
        <w:t>一</w:t>
      </w:r>
      <w:r>
        <w:rPr>
          <w:rFonts w:ascii="宋体" w:eastAsia="宋体" w:hAnsi="宋体" w:hint="eastAsia"/>
          <w:color w:val="C875C4"/>
          <w:spacing w:val="-13"/>
          <w:w w:val="50"/>
          <w:sz w:val="16"/>
        </w:rPr>
        <w:t>·</w:t>
      </w:r>
      <w:r>
        <w:rPr>
          <w:rFonts w:ascii="宋体" w:eastAsia="宋体" w:hAnsi="宋体" w:hint="eastAsia"/>
          <w:color w:val="DA95D8"/>
          <w:spacing w:val="-13"/>
          <w:w w:val="50"/>
          <w:position w:val="-9"/>
          <w:sz w:val="23"/>
        </w:rPr>
        <w:t>-­</w:t>
      </w:r>
    </w:p>
    <w:p>
      <w:pPr>
        <w:spacing w:before="82" w:line="139" w:lineRule="auto"/>
        <w:ind w:left="0" w:right="4000" w:firstLine="0"/>
        <w:jc w:val="center"/>
        <w:rPr>
          <w:rFonts w:ascii="Arial" w:eastAsia="Arial"/>
          <w:sz w:val="42"/>
        </w:rPr>
      </w:pPr>
      <w:r>
        <w:rPr>
          <w:rFonts w:ascii="宋体" w:eastAsia="宋体" w:hint="eastAsia"/>
          <w:color w:val="C875C4"/>
          <w:spacing w:val="6"/>
          <w:w w:val="50"/>
          <w:sz w:val="5"/>
        </w:rPr>
        <w:t xml:space="preserve">， </w:t>
      </w:r>
      <w:r>
        <w:rPr>
          <w:rFonts w:ascii="宋体" w:eastAsia="宋体" w:hint="eastAsia"/>
          <w:color w:val="DA95D8"/>
          <w:spacing w:val="3"/>
          <w:w w:val="50"/>
          <w:sz w:val="5"/>
        </w:rPr>
        <w:t xml:space="preserve">已 嘈 </w:t>
      </w:r>
      <w:r>
        <w:rPr>
          <w:rFonts w:ascii="Times New Roman" w:eastAsia="Times New Roman"/>
          <w:color w:val="DA95D8"/>
          <w:w w:val="50"/>
          <w:sz w:val="13"/>
        </w:rPr>
        <w:t>r</w:t>
      </w:r>
      <w:r>
        <w:rPr>
          <w:rFonts w:ascii="Times New Roman" w:eastAsia="Times New Roman"/>
          <w:color w:val="DA95D8"/>
          <w:spacing w:val="7"/>
          <w:w w:val="50"/>
          <w:sz w:val="13"/>
        </w:rPr>
        <w:t xml:space="preserve">  </w:t>
      </w:r>
      <w:r>
        <w:rPr>
          <w:rFonts w:ascii="宋体" w:eastAsia="宋体" w:hint="eastAsia"/>
          <w:color w:val="DA95D8"/>
          <w:spacing w:val="-64"/>
          <w:w w:val="50"/>
          <w:sz w:val="25"/>
        </w:rPr>
        <w:t>、</w:t>
      </w:r>
      <w:r>
        <w:rPr>
          <w:rFonts w:ascii="Arial" w:eastAsia="Arial"/>
          <w:color w:val="DA95D8"/>
          <w:spacing w:val="9"/>
          <w:w w:val="50"/>
          <w:position w:val="-14"/>
          <w:sz w:val="42"/>
        </w:rPr>
        <w:t>.</w:t>
      </w:r>
      <w:r>
        <w:rPr>
          <w:rFonts w:ascii="Arial" w:eastAsia="Arial"/>
          <w:color w:val="DBB3DA"/>
          <w:spacing w:val="9"/>
          <w:w w:val="50"/>
          <w:position w:val="-14"/>
          <w:sz w:val="42"/>
        </w:rPr>
        <w:t>.</w:t>
      </w:r>
    </w:p>
    <w:p>
      <w:pPr>
        <w:spacing w:after="0" w:line="139" w:lineRule="auto"/>
        <w:jc w:val="center"/>
        <w:rPr>
          <w:rFonts w:ascii="Arial" w:eastAsia="Arial"/>
          <w:sz w:val="42"/>
        </w:rPr>
      </w:pPr>
      <w:r>
        <w:rPr>
          <w:rFonts w:ascii="Arial" w:eastAsia="Arial"/>
          <w:sz w:val="42"/>
        </w:rPr>
        <w:br/>
      </w:r>
      <w:r>
        <w:rPr>
          <w:rFonts w:ascii="Arial" w:eastAsia="Arial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https://d.book118.com/848000074000006032</w:t>
        </w:r>
      </w:hyperlink>
    </w:p>
    <w:p>
      <w:pPr>
        <w:spacing w:after="0" w:line="139" w:lineRule="auto"/>
        <w:jc w:val="center"/>
        <w:rPr>
          <w:rFonts w:ascii="Arial" w:eastAsia="Arial"/>
          <w:sz w:val="42"/>
        </w:rPr>
      </w:pPr>
    </w:p>
    <w:sectPr>
      <w:headerReference w:type="default" r:id="rId52"/>
      <w:footerReference w:type="default" r:id="rId53"/>
      <w:type w:val="continuous"/>
      <w:pgSz w:w="17860" w:h="25270"/>
      <w:pgMar w:top="1420" w:right="1500" w:bottom="1920" w:left="220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0.9pt;height:17.2pt;margin-top:1165.17pt;margin-left:314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0.9pt;height:17.2pt;margin-top:1165.17pt;margin-left:314.2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30.9pt;height:17.2pt;margin-top:1165.17pt;margin-left:314.2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0.9pt;height:17.2pt;margin-top:1165.17pt;margin-left:314.2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0.9pt;height:17.2pt;margin-top:1165.17pt;margin-left:314.2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0.9pt;height:17.2pt;margin-top:1165.17pt;margin-left:314.2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30.9pt;height:17.2pt;margin-top:1165.17pt;margin-left:314.2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30.9pt;height:17.2pt;margin-top:1165.17pt;margin-left:314.2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30.9pt;height:17.2pt;margin-top:1165.17pt;margin-left:314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0.9pt;height:17.2pt;margin-top:1165.17pt;margin-left:314.2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30.9pt;height:17.2pt;margin-top:1165.17pt;margin-left:314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30.9pt;height:17.2pt;margin-top:1165.17pt;margin-left:314.2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30.9pt;height:17.2pt;margin-top:1165.17pt;margin-left:314.2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30.9pt;height:17.2pt;margin-top:1165.17pt;margin-left:314.2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30.9pt;height:17.2pt;margin-top:1165.17pt;margin-left:314.2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30.9pt;height:17.2pt;margin-top:1165.17pt;margin-left:314.2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30.9pt;height:17.2pt;margin-top:1165.17pt;margin-left:314.2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7"/>
                    <w:sz w:val="27"/>
                  </w:rPr>
                  <w:t xml:space="preserve">完美 </w:t>
                </w: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23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格式编辑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15.5pt;margin-top:53.38pt;margin-left:500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20650217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50217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pt;height:15.5pt;margin-top:53.38pt;margin-left:500.5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8731083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1083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pt;height:15.5pt;margin-top:53.38pt;margin-left:500.5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1181468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1468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pt;height:15.5pt;margin-top:53.38pt;margin-left:500.5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2581260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1260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0pt;height:15.5pt;margin-top:53.38pt;margin-left:500.5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436872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8726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0pt;height:15.5pt;margin-top:53.38pt;margin-left:500.5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9742235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2235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0pt;height:15.5pt;margin-top:53.38pt;margin-left:500.5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7884992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4992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0pt;height:15.5pt;margin-top:53.38pt;margin-left:500.5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7447618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7618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0pt;height:15.5pt;margin-top:53.38pt;margin-left:500.5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21047545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47545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0pt;height:15.5pt;margin-top:53.38pt;margin-left:500.5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17935569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35569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0pt;height:15.5pt;margin-top:53.38pt;margin-left:500.5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1485900</wp:posOffset>
          </wp:positionH>
          <wp:positionV relativeFrom="page">
            <wp:posOffset>850900</wp:posOffset>
          </wp:positionV>
          <wp:extent cx="8496300" cy="50800"/>
          <wp:effectExtent l="0" t="0" r="0" b="0"/>
          <wp:wrapNone/>
          <wp:docPr id="3218631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18631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96300" cy="50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0pt;height:15.5pt;margin-top:53.38pt;margin-left:500.5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专业资料整理分享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D921B"/>
    <w:multiLevelType w:val="hybridMultilevel"/>
    <w:tmpl w:val="00000000"/>
    <w:lvl w:ilvl="0">
      <w:start w:val="1"/>
      <w:numFmt w:val="decimal"/>
      <w:lvlText w:val="（%1）"/>
      <w:lvlJc w:val="left"/>
      <w:pPr>
        <w:ind w:left="1236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1"/>
      <w:numFmt w:val="lowerLetter"/>
      <w:lvlText w:val="%2."/>
      <w:lvlJc w:val="left"/>
      <w:pPr>
        <w:ind w:left="184" w:hanging="436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75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1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2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7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8" w:hanging="436"/>
      </w:pPr>
      <w:rPr>
        <w:rFonts w:hint="default"/>
      </w:rPr>
    </w:lvl>
  </w:abstractNum>
  <w:abstractNum w:abstractNumId="1">
    <w:nsid w:val="1BE76F1F"/>
    <w:multiLevelType w:val="hybridMultilevel"/>
    <w:tmpl w:val="00000000"/>
    <w:lvl w:ilvl="0">
      <w:start w:val="1"/>
      <w:numFmt w:val="lowerLetter"/>
      <w:lvlText w:val="%1."/>
      <w:lvlJc w:val="left"/>
      <w:pPr>
        <w:ind w:left="821" w:hanging="84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3" w:hanging="8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7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846"/>
      </w:pPr>
      <w:rPr>
        <w:rFonts w:hint="default"/>
      </w:rPr>
    </w:lvl>
  </w:abstractNum>
  <w:abstractNum w:abstractNumId="2">
    <w:nsid w:val="1F939338"/>
    <w:multiLevelType w:val="hybridMultilevel"/>
    <w:tmpl w:val="00000000"/>
    <w:lvl w:ilvl="0">
      <w:start w:val="1"/>
      <w:numFmt w:val="decimal"/>
      <w:lvlText w:val="%1）"/>
      <w:lvlJc w:val="left"/>
      <w:pPr>
        <w:ind w:left="184" w:hanging="631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84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635"/>
      </w:pPr>
      <w:rPr>
        <w:rFonts w:hint="default"/>
      </w:rPr>
    </w:lvl>
  </w:abstractNum>
  <w:abstractNum w:abstractNumId="3">
    <w:nsid w:val="30BE2408"/>
    <w:multiLevelType w:val="hybridMultilevel"/>
    <w:tmpl w:val="00000000"/>
    <w:lvl w:ilvl="0">
      <w:start w:val="1"/>
      <w:numFmt w:val="decimal"/>
      <w:lvlText w:val="（%1）"/>
      <w:lvlJc w:val="left"/>
      <w:pPr>
        <w:ind w:left="2074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1053"/>
      </w:pPr>
      <w:rPr>
        <w:rFonts w:hint="default"/>
      </w:rPr>
    </w:lvl>
  </w:abstractNum>
  <w:abstractNum w:abstractNumId="4">
    <w:nsid w:val="3FD150EC"/>
    <w:multiLevelType w:val="hybridMultilevel"/>
    <w:tmpl w:val="00000000"/>
    <w:lvl w:ilvl="0">
      <w:start w:val="1"/>
      <w:numFmt w:val="decimal"/>
      <w:lvlText w:val="（%1）"/>
      <w:lvlJc w:val="left"/>
      <w:pPr>
        <w:ind w:left="2074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8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1053"/>
      </w:pPr>
      <w:rPr>
        <w:rFonts w:hint="default"/>
      </w:rPr>
    </w:lvl>
  </w:abstractNum>
  <w:abstractNum w:abstractNumId="5">
    <w:nsid w:val="4BBFED14"/>
    <w:multiLevelType w:val="hybridMultilevel"/>
    <w:tmpl w:val="00000000"/>
    <w:lvl w:ilvl="0">
      <w:start w:val="2"/>
      <w:numFmt w:val="decimal"/>
      <w:lvlText w:val="%1"/>
      <w:lvlJc w:val="left"/>
      <w:pPr>
        <w:ind w:left="1022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2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（%3）"/>
      <w:lvlJc w:val="left"/>
      <w:pPr>
        <w:ind w:left="184" w:hanging="1056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9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1056"/>
      </w:pPr>
      <w:rPr>
        <w:rFonts w:hint="default"/>
      </w:rPr>
    </w:lvl>
  </w:abstractNum>
  <w:abstractNum w:abstractNumId="6">
    <w:nsid w:val="4DF54E9D"/>
    <w:multiLevelType w:val="hybridMultilevel"/>
    <w:tmpl w:val="00000000"/>
    <w:lvl w:ilvl="0">
      <w:start w:val="1"/>
      <w:numFmt w:val="decimal"/>
      <w:lvlText w:val="(%1)"/>
      <w:lvlJc w:val="left"/>
      <w:pPr>
        <w:ind w:left="184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633"/>
      </w:pPr>
      <w:rPr>
        <w:rFonts w:hint="default"/>
      </w:rPr>
    </w:lvl>
  </w:abstractNum>
  <w:abstractNum w:abstractNumId="7">
    <w:nsid w:val="4E3C402B"/>
    <w:multiLevelType w:val="hybridMultilevel"/>
    <w:tmpl w:val="00000000"/>
    <w:lvl w:ilvl="0">
      <w:start w:val="2"/>
      <w:numFmt w:val="decimal"/>
      <w:lvlText w:val="%1"/>
      <w:lvlJc w:val="left"/>
      <w:pPr>
        <w:ind w:left="816" w:hanging="63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6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813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2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3"/>
      </w:pPr>
      <w:rPr>
        <w:rFonts w:hint="default"/>
      </w:rPr>
    </w:lvl>
  </w:abstractNum>
  <w:abstractNum w:abstractNumId="8">
    <w:nsid w:val="57118B48"/>
    <w:multiLevelType w:val="hybridMultilevel"/>
    <w:tmpl w:val="00000000"/>
    <w:lvl w:ilvl="0">
      <w:start w:val="1"/>
      <w:numFmt w:val="decimal"/>
      <w:lvlText w:val="（%1）"/>
      <w:lvlJc w:val="left"/>
      <w:pPr>
        <w:ind w:left="1866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2"/>
      <w:numFmt w:val="decimal"/>
      <w:lvlText w:val="%2）"/>
      <w:lvlJc w:val="left"/>
      <w:pPr>
        <w:ind w:left="184" w:hanging="631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2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6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6" w:hanging="631"/>
      </w:pPr>
      <w:rPr>
        <w:rFonts w:hint="default"/>
      </w:rPr>
    </w:lvl>
  </w:abstractNum>
  <w:abstractNum w:abstractNumId="9">
    <w:nsid w:val="58CB84A2"/>
    <w:multiLevelType w:val="hybridMultilevel"/>
    <w:tmpl w:val="00000000"/>
    <w:lvl w:ilvl="0">
      <w:start w:val="2"/>
      <w:numFmt w:val="decimal"/>
      <w:lvlText w:val="%1"/>
      <w:lvlJc w:val="left"/>
      <w:pPr>
        <w:ind w:left="816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9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0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8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4" w:hanging="633"/>
      </w:pPr>
      <w:rPr>
        <w:rFonts w:hint="default"/>
      </w:rPr>
    </w:lvl>
  </w:abstractNum>
  <w:abstractNum w:abstractNumId="10">
    <w:nsid w:val="59D93A69"/>
    <w:multiLevelType w:val="hybridMultilevel"/>
    <w:tmpl w:val="00000000"/>
    <w:lvl w:ilvl="0">
      <w:start w:val="1"/>
      <w:numFmt w:val="decimal"/>
      <w:lvlText w:val="(%1)"/>
      <w:lvlJc w:val="left"/>
      <w:pPr>
        <w:ind w:left="184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633"/>
      </w:pPr>
      <w:rPr>
        <w:rFonts w:hint="default"/>
      </w:rPr>
    </w:lvl>
  </w:abstractNum>
  <w:abstractNum w:abstractNumId="11">
    <w:nsid w:val="5EE1F8FE"/>
    <w:multiLevelType w:val="hybridMultilevel"/>
    <w:tmpl w:val="00000000"/>
    <w:lvl w:ilvl="0">
      <w:start w:val="1"/>
      <w:numFmt w:val="decimal"/>
      <w:lvlText w:val="（%1）"/>
      <w:lvlJc w:val="left"/>
      <w:pPr>
        <w:ind w:left="1862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8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3"/>
      </w:pPr>
      <w:rPr>
        <w:rFonts w:hint="default"/>
      </w:rPr>
    </w:lvl>
  </w:abstractNum>
  <w:abstractNum w:abstractNumId="12">
    <w:nsid w:val="61C36285"/>
    <w:multiLevelType w:val="hybridMultilevel"/>
    <w:tmpl w:val="00000000"/>
    <w:lvl w:ilvl="0">
      <w:start w:val="1"/>
      <w:numFmt w:val="decimal"/>
      <w:lvlText w:val="%1"/>
      <w:lvlJc w:val="left"/>
      <w:pPr>
        <w:ind w:left="816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8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633"/>
      </w:pPr>
      <w:rPr>
        <w:rFonts w:hint="default"/>
      </w:rPr>
    </w:lvl>
  </w:abstractNum>
  <w:abstractNum w:abstractNumId="13">
    <w:nsid w:val="638EC49E"/>
    <w:multiLevelType w:val="hybridMultilevel"/>
    <w:tmpl w:val="00000000"/>
    <w:lvl w:ilvl="0">
      <w:start w:val="1"/>
      <w:numFmt w:val="decimal"/>
      <w:lvlText w:val="（%1）"/>
      <w:lvlJc w:val="left"/>
      <w:pPr>
        <w:ind w:left="184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</w:abstractNum>
  <w:abstractNum w:abstractNumId="14">
    <w:nsid w:val="6509497A"/>
    <w:multiLevelType w:val="hybridMultilevel"/>
    <w:tmpl w:val="00000000"/>
    <w:lvl w:ilvl="0">
      <w:start w:val="1"/>
      <w:numFmt w:val="decimal"/>
      <w:lvlText w:val="（%1）"/>
      <w:lvlJc w:val="left"/>
      <w:pPr>
        <w:ind w:left="184" w:hanging="1056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56"/>
      </w:pPr>
      <w:rPr>
        <w:rFonts w:hint="default"/>
      </w:rPr>
    </w:lvl>
  </w:abstractNum>
  <w:abstractNum w:abstractNumId="15">
    <w:nsid w:val="66DE6738"/>
    <w:multiLevelType w:val="hybridMultilevel"/>
    <w:tmpl w:val="00000000"/>
    <w:lvl w:ilvl="0">
      <w:start w:val="1"/>
      <w:numFmt w:val="decimal"/>
      <w:lvlText w:val="（%1）"/>
      <w:lvlJc w:val="left"/>
      <w:pPr>
        <w:ind w:left="184" w:hanging="1056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56"/>
      </w:pPr>
      <w:rPr>
        <w:rFonts w:hint="default"/>
      </w:rPr>
    </w:lvl>
  </w:abstractNum>
  <w:abstractNum w:abstractNumId="16">
    <w:nsid w:val="6FEB3F9F"/>
    <w:multiLevelType w:val="hybridMultilevel"/>
    <w:tmpl w:val="00000000"/>
    <w:lvl w:ilvl="0">
      <w:start w:val="1"/>
      <w:numFmt w:val="decimal"/>
      <w:lvlText w:val="（%1）"/>
      <w:lvlJc w:val="left"/>
      <w:pPr>
        <w:ind w:left="184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7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1053"/>
      </w:pPr>
      <w:rPr>
        <w:rFonts w:hint="default"/>
      </w:rPr>
    </w:lvl>
  </w:abstractNum>
  <w:abstractNum w:abstractNumId="17">
    <w:nsid w:val="7797A89A"/>
    <w:multiLevelType w:val="hybridMultilevel"/>
    <w:tmpl w:val="00000000"/>
    <w:lvl w:ilvl="0">
      <w:start w:val="1"/>
      <w:numFmt w:val="decimal"/>
      <w:lvlText w:val="%1"/>
      <w:lvlJc w:val="left"/>
      <w:pPr>
        <w:ind w:left="1022" w:hanging="8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2" w:hanging="839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647" w:hanging="8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8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5" w:hanging="8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8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8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8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1" w:hanging="839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10"/>
  </w:num>
  <w:num w:numId="4">
    <w:abstractNumId w:val="6"/>
  </w:num>
  <w:num w:numId="5">
    <w:abstractNumId w:val="15"/>
  </w:num>
  <w:num w:numId="6">
    <w:abstractNumId w:val="4"/>
  </w:num>
  <w:num w:numId="7">
    <w:abstractNumId w:val="5"/>
  </w:num>
  <w:num w:numId="8">
    <w:abstractNumId w:val="17"/>
  </w:num>
  <w:num w:numId="9">
    <w:abstractNumId w:val="7"/>
  </w:num>
  <w:num w:numId="10">
    <w:abstractNumId w:val="13"/>
  </w:num>
  <w:num w:numId="11">
    <w:abstractNumId w:val="9"/>
  </w:num>
  <w:num w:numId="12">
    <w:abstractNumId w:val="0"/>
  </w:num>
  <w:num w:numId="13">
    <w:abstractNumId w:val="1"/>
  </w:num>
  <w:num w:numId="14">
    <w:abstractNumId w:val="12"/>
  </w:num>
  <w:num w:numId="15">
    <w:abstractNumId w:val="2"/>
  </w:num>
  <w:num w:numId="16">
    <w:abstractNumId w:val="8"/>
  </w:num>
  <w:num w:numId="17">
    <w:abstractNumId w:val="11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84"/>
      <w:outlineLvl w:val="0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84" w:firstLine="838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image" Target="media/image3.png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image" Target="media/image5.png" /><Relationship Id="rId32" Type="http://schemas.openxmlformats.org/officeDocument/2006/relationships/image" Target="media/image6.png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image" Target="media/image7.jpeg" /><Relationship Id="rId4" Type="http://schemas.openxmlformats.org/officeDocument/2006/relationships/header" Target="header1.xml" /><Relationship Id="rId40" Type="http://schemas.openxmlformats.org/officeDocument/2006/relationships/image" Target="media/image8.jpeg" /><Relationship Id="rId41" Type="http://schemas.openxmlformats.org/officeDocument/2006/relationships/image" Target="media/image9.png" /><Relationship Id="rId42" Type="http://schemas.openxmlformats.org/officeDocument/2006/relationships/image" Target="media/image10.png" /><Relationship Id="rId43" Type="http://schemas.openxmlformats.org/officeDocument/2006/relationships/image" Target="media/image11.png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image" Target="media/image12.png" /><Relationship Id="rId47" Type="http://schemas.openxmlformats.org/officeDocument/2006/relationships/image" Target="media/image13.png" /><Relationship Id="rId48" Type="http://schemas.openxmlformats.org/officeDocument/2006/relationships/image" Target="media/image14.png" /><Relationship Id="rId49" Type="http://schemas.openxmlformats.org/officeDocument/2006/relationships/image" Target="media/image15.png" /><Relationship Id="rId5" Type="http://schemas.openxmlformats.org/officeDocument/2006/relationships/footer" Target="footer1.xml" /><Relationship Id="rId50" Type="http://schemas.openxmlformats.org/officeDocument/2006/relationships/image" Target="media/image16.png" /><Relationship Id="rId51" Type="http://schemas.openxmlformats.org/officeDocument/2006/relationships/hyperlink" Target="https://d.book118.com/848000074000006032" TargetMode="External" /><Relationship Id="rId52" Type="http://schemas.openxmlformats.org/officeDocument/2006/relationships/header" Target="header17.xm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2024-01-04T07:53:24Z</dcterms:created>
  <dcterms:modified xsi:type="dcterms:W3CDTF">2024-01-04T07:53:24Z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2024-01-04T00:00:00Z</vt:filetime>
  </property>
</Properties>
</file>