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高精度晶闸管直流调速器项目规划设计方案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7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_Toc29572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val="en-US"/>
          </w:rPr>
          <w:t>一、公司介绍</w:t>
        </w:r>
        <w:r>
          <w:tab/>
        </w:r>
        <w:r>
          <w:fldChar w:fldCharType="begin"/>
        </w:r>
        <w:r>
          <w:instrText xml:space="preserve"> PAGEREF _Toc4145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_Toc23724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_Toc38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_Toc27046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_Toc9552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_Toc28161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_Toc13394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_Toc1503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_Toc21164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val="en-US"/>
          </w:rPr>
          <w:t>二、高精度晶闸管直流调速器行业发展现状</w:t>
        </w:r>
        <w:r>
          <w:tab/>
        </w:r>
        <w:r>
          <w:fldChar w:fldCharType="begin"/>
        </w:r>
        <w:r>
          <w:instrText xml:space="preserve"> PAGEREF _Toc23324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val="en-US"/>
          </w:rPr>
          <w:t>(一)、高精度晶闸管直流调速器行业整体概况</w:t>
        </w:r>
        <w:r>
          <w:tab/>
        </w:r>
        <w:r>
          <w:fldChar w:fldCharType="begin"/>
        </w:r>
        <w:r>
          <w:instrText xml:space="preserve"> PAGEREF _Toc7093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_Toc6360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_Toc16023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_Toc10262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val="en-US"/>
          </w:rPr>
          <w:t>三、高精度晶闸管直流调速器项目建设背景及必要性分析</w:t>
        </w:r>
        <w:r>
          <w:tab/>
        </w:r>
        <w:r>
          <w:fldChar w:fldCharType="begin"/>
        </w:r>
        <w:r>
          <w:instrText xml:space="preserve"> PAGEREF _Toc1238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_Toc26254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_Toc20078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val="en-US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_Toc20715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_Toc14222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_Toc9218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_Toc32120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val="en-US"/>
          </w:rPr>
          <w:t>五、环境保护说明</w:t>
        </w:r>
        <w:r>
          <w:tab/>
        </w:r>
        <w:r>
          <w:fldChar w:fldCharType="begin"/>
        </w:r>
        <w:r>
          <w:instrText xml:space="preserve"> PAGEREF _Toc21711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_Toc8975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_Toc32051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30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_Toc6930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_Toc3014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_Toc11556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_Toc14153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val="en-US"/>
          </w:rPr>
          <w:t>(七)、高精度晶闸管直流调速器项目建设对区域经济的影响</w:t>
        </w:r>
        <w:r>
          <w:tab/>
        </w:r>
        <w:r>
          <w:fldChar w:fldCharType="begin"/>
        </w:r>
        <w:r>
          <w:instrText xml:space="preserve"> PAGEREF _Toc13321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_Toc31343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val="en-US"/>
          </w:rPr>
          <w:t>六、人力资源管理</w:t>
        </w:r>
        <w:r>
          <w:tab/>
        </w:r>
        <w:r>
          <w:fldChar w:fldCharType="begin"/>
        </w:r>
        <w:r>
          <w:instrText xml:space="preserve"> PAGEREF _Toc1723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val="en-US"/>
          </w:rPr>
          <w:t>(一)、高精度晶闸管直流调速器项目绩效与薪酬管理</w:t>
        </w:r>
        <w:r>
          <w:tab/>
        </w:r>
        <w:r>
          <w:fldChar w:fldCharType="begin"/>
        </w:r>
        <w:r>
          <w:instrText xml:space="preserve"> PAGEREF _Toc17171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val="en-US"/>
          </w:rPr>
          <w:t>(二)、高精度晶闸管直流调速器项目组织与管理</w:t>
        </w:r>
        <w:r>
          <w:tab/>
        </w:r>
        <w:r>
          <w:fldChar w:fldCharType="begin"/>
        </w:r>
        <w:r>
          <w:instrText xml:space="preserve"> PAGEREF _Toc11080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val="en-US"/>
          </w:rPr>
          <w:t>(三)、高精度晶闸管直流调速器项目人力资源管理</w:t>
        </w:r>
        <w:r>
          <w:tab/>
        </w:r>
        <w:r>
          <w:fldChar w:fldCharType="begin"/>
        </w:r>
        <w:r>
          <w:instrText xml:space="preserve"> PAGEREF _Toc6176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val="en-US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_Toc10656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val="en-US"/>
          </w:rPr>
          <w:t>(一)、高精度晶闸管直流调速器项目承办单位背景分析</w:t>
        </w:r>
        <w:r>
          <w:tab/>
        </w:r>
        <w:r>
          <w:fldChar w:fldCharType="begin"/>
        </w:r>
        <w:r>
          <w:instrText xml:space="preserve"> PAGEREF _Toc21427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_Toc17843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_Toc15160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_Toc25483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_Toc19864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val="en-US"/>
          </w:rPr>
          <w:t>(六)、高精度晶闸管直流调速器项目必要性分析</w:t>
        </w:r>
        <w:r>
          <w:tab/>
        </w:r>
        <w:r>
          <w:fldChar w:fldCharType="begin"/>
        </w:r>
        <w:r>
          <w:instrText xml:space="preserve"> PAGEREF _Toc11602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val="en-US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_Toc8113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_Toc4701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_Toc8621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val="en-US"/>
          </w:rPr>
          <w:t>九、组织机构管理</w:t>
        </w:r>
        <w:r>
          <w:tab/>
        </w:r>
        <w:r>
          <w:fldChar w:fldCharType="begin"/>
        </w:r>
        <w:r>
          <w:instrText xml:space="preserve"> PAGEREF _Toc12210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_Toc15349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_Toc30119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val="en-US"/>
          </w:rPr>
          <w:t>十、高精度晶闸管直流调速器项目总结与建议</w:t>
        </w:r>
        <w:r>
          <w:tab/>
        </w:r>
        <w:r>
          <w:fldChar w:fldCharType="begin"/>
        </w:r>
        <w:r>
          <w:instrText xml:space="preserve"> PAGEREF _Toc26832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val="en-US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_Toc15240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val="en-US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_Toc22515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val="en-US"/>
          </w:rPr>
          <w:t>十一、高精度晶闸管直流调速器项目实施与监督</w:t>
        </w:r>
        <w:r>
          <w:tab/>
        </w:r>
        <w:r>
          <w:fldChar w:fldCharType="begin"/>
        </w:r>
        <w:r>
          <w:instrText xml:space="preserve"> PAGEREF _Toc14700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2" w:history="1">
        <w:r>
          <w:rPr>
            <w:rFonts w:ascii="仿宋" w:eastAsia="仿宋" w:hAnsi="仿宋" w:cs="仿宋" w:hint="eastAsia"/>
            <w:lang w:val="en-US"/>
          </w:rPr>
          <w:t>(一)、高精度晶闸管直流调速器项目进度与任务分配</w:t>
        </w:r>
        <w:r>
          <w:tab/>
        </w:r>
        <w:r>
          <w:fldChar w:fldCharType="begin"/>
        </w:r>
        <w:r>
          <w:instrText xml:space="preserve"> PAGEREF _Toc21382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984" w:history="1">
        <w:r>
          <w:rPr>
            <w:rFonts w:ascii="仿宋" w:eastAsia="仿宋" w:hAnsi="仿宋" w:cs="仿宋" w:hint="eastAsia"/>
            <w:lang w:val="en-US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_Toc24984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val="en-US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_Toc6769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val="en-US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_Toc7720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val="en-US"/>
          </w:rPr>
          <w:t>(一)、高精度晶闸管直流调速器项目估算说明</w:t>
        </w:r>
        <w:r>
          <w:tab/>
        </w:r>
        <w:r>
          <w:fldChar w:fldCharType="begin"/>
        </w:r>
        <w:r>
          <w:instrText xml:space="preserve"> PAGEREF _Toc16877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val="en-US"/>
          </w:rPr>
          <w:t>(二)、高精度晶闸管直流调速器项目总投资估算</w:t>
        </w:r>
        <w:r>
          <w:tab/>
        </w:r>
        <w:r>
          <w:fldChar w:fldCharType="begin"/>
        </w:r>
        <w:r>
          <w:instrText xml:space="preserve"> PAGEREF _Toc23765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_Toc164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val="en-US"/>
          </w:rPr>
          <w:t>十三、产业环境分析</w:t>
        </w:r>
        <w:r>
          <w:tab/>
        </w:r>
        <w:r>
          <w:fldChar w:fldCharType="begin"/>
        </w:r>
        <w:r>
          <w:instrText xml:space="preserve"> PAGEREF _Toc25104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_Toc6130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8" w:history="1">
        <w:r>
          <w:rPr>
            <w:rFonts w:ascii="仿宋" w:eastAsia="仿宋" w:hAnsi="仿宋" w:cs="仿宋" w:hint="eastAsia"/>
            <w:lang w:val="en-US"/>
          </w:rPr>
          <w:t>十四、战略实施的阶段</w:t>
        </w:r>
        <w:r>
          <w:tab/>
        </w:r>
        <w:r>
          <w:fldChar w:fldCharType="begin"/>
        </w:r>
        <w:r>
          <w:instrText xml:space="preserve"> PAGEREF _Toc26058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_Toc29694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val="en-US"/>
          </w:rPr>
          <w:t>十五、高精度晶闸管直流调速器行业企业内外不同利益主体的影响</w:t>
        </w:r>
        <w:r>
          <w:tab/>
        </w:r>
        <w:r>
          <w:fldChar w:fldCharType="begin"/>
        </w:r>
        <w:r>
          <w:instrText xml:space="preserve"> PAGEREF _Toc20380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val="en-US"/>
          </w:rPr>
          <w:t>(一)、高精度晶闸管直流调速器行业企业内外不同利益主体的影响</w:t>
        </w:r>
        <w:r>
          <w:tab/>
        </w:r>
        <w:r>
          <w:fldChar w:fldCharType="begin"/>
        </w:r>
        <w:r>
          <w:instrText xml:space="preserve"> PAGEREF _Toc8643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val="en-US"/>
          </w:rPr>
          <w:t>十六、高精度晶闸管直流调速器行业供应链管理</w:t>
        </w:r>
        <w:r>
          <w:tab/>
        </w:r>
        <w:r>
          <w:fldChar w:fldCharType="begin"/>
        </w:r>
        <w:r>
          <w:instrText xml:space="preserve"> PAGEREF _Toc21816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_Toc29255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val="en-US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_Toc5443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_Toc7304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val="en-US"/>
          </w:rPr>
          <w:t>(四)、物流和配送</w:t>
        </w:r>
        <w:r>
          <w:tab/>
        </w:r>
        <w:r>
          <w:fldChar w:fldCharType="begin"/>
        </w:r>
        <w:r>
          <w:instrText xml:space="preserve"> PAGEREF _Toc23041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val="en-US"/>
          </w:rPr>
          <w:t>(五)、信息技术支持</w:t>
        </w:r>
        <w:r>
          <w:tab/>
        </w:r>
        <w:r>
          <w:fldChar w:fldCharType="begin"/>
        </w:r>
        <w:r>
          <w:instrText xml:space="preserve"> PAGEREF _Toc31727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val="en-US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_Toc19077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val="en-US"/>
          </w:rPr>
          <w:t>十七、法律法规及合规性</w:t>
        </w:r>
        <w:r>
          <w:tab/>
        </w:r>
        <w:r>
          <w:fldChar w:fldCharType="begin"/>
        </w:r>
        <w:r>
          <w:instrText xml:space="preserve"> PAGEREF _Toc14158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_Toc17988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3" w:history="1">
        <w:r>
          <w:rPr>
            <w:rFonts w:ascii="仿宋" w:eastAsia="仿宋" w:hAnsi="仿宋" w:cs="仿宋" w:hint="eastAsia"/>
            <w:lang w:val="en-US"/>
          </w:rPr>
          <w:t>(二)、高精度晶闸管直流调速器项目合规性评估</w:t>
        </w:r>
        <w:r>
          <w:tab/>
        </w:r>
        <w:r>
          <w:fldChar w:fldCharType="begin"/>
        </w:r>
        <w:r>
          <w:instrText xml:space="preserve"> PAGEREF _Toc15523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_Toc17967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val="en-US"/>
          </w:rPr>
          <w:t>十八、投资风险分析</w:t>
        </w:r>
        <w:r>
          <w:tab/>
        </w:r>
        <w:r>
          <w:fldChar w:fldCharType="begin"/>
        </w:r>
        <w:r>
          <w:instrText xml:space="preserve"> PAGEREF _Toc8259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_Toc14282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_Toc8734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_Toc10715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val="en-US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_Toc29225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8097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_Toc8097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val="en-US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_Toc21826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val="en-US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_Toc18102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val="en-US"/>
          </w:rPr>
          <w:t>(四)、社会影响评估</w:t>
        </w:r>
        <w:r>
          <w:tab/>
        </w:r>
        <w:r>
          <w:fldChar w:fldCharType="begin"/>
        </w:r>
        <w:r>
          <w:instrText xml:space="preserve"> PAGEREF _Toc5637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val="en-US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_Toc27910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1" w:history="1">
        <w:r>
          <w:rPr>
            <w:rFonts w:ascii="仿宋" w:eastAsia="仿宋" w:hAnsi="仿宋" w:cs="仿宋" w:hint="eastAsia"/>
            <w:lang w:val="en-US"/>
          </w:rPr>
          <w:t>(六)、社会责任履行</w:t>
        </w:r>
        <w:r>
          <w:tab/>
        </w:r>
        <w:r>
          <w:fldChar w:fldCharType="begin"/>
        </w:r>
        <w:r>
          <w:instrText xml:space="preserve"> PAGEREF _Toc18791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val="en-US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_Toc16262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val="en-US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_Toc27927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val="en-US"/>
          </w:rPr>
          <w:t>二十、高精度晶闸管直流调速器项目实施安排</w:t>
        </w:r>
        <w:r>
          <w:tab/>
        </w:r>
        <w:r>
          <w:fldChar w:fldCharType="begin"/>
        </w:r>
        <w:r>
          <w:instrText xml:space="preserve"> PAGEREF _Toc24457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_Toc22003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_Toc3051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_Toc22287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_Toc17515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_Toc3626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val="en-US"/>
          </w:rPr>
          <w:t>(六)、高精度晶闸管直流调速器项目实施保障</w:t>
        </w:r>
        <w:r>
          <w:tab/>
        </w:r>
        <w:r>
          <w:fldChar w:fldCharType="begin"/>
        </w:r>
        <w:r>
          <w:instrText xml:space="preserve"> PAGEREF _Toc16612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https://d.book118.com/848006106072006043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高精度晶闸管直流调速器项目规划设计方案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高精度晶闸管直流调速器项目规划设计方案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高精度晶闸管直流调速器项目规划设计方案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高精度晶闸管直流调速器项目规划设计方案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高精度晶闸管直流调速器项目规划设计方案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34526A"/>
    <w:rsid w:val="0F3452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48006106072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2024-02-21T10:05:00Z</dcterms:created>
  <dcterms:modified xsi:type="dcterms:W3CDTF">2024-02-21T10:05:31Z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