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精神病类药物行业相关公司设立可行性研究报告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(一)、精神病类药物项目选址原则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(五)、精神病类药物项目选址综合评价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四、精神病类药物项目概况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(二)、精神病类药物项目提出的理由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(三)、精神病类药物项目选址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(六)、精神病类药物项目投资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eastAsia="zh-CN"/>
          </w:rPr>
          <w:t>(七)、精神病类药物项目进度规划</w:t>
        </w:r>
        <w:r>
          <w:tab/>
        </w:r>
        <w:r>
          <w:fldChar w:fldCharType="begin"/>
        </w:r>
        <w:r>
          <w:instrText xml:space="preserve"> PAGEREF _Toc28551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(九)、精神病类药物项目综合评价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(七)、精神病类药物项目建设必要性分析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(一)、精神病类药物项目背景分析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(二)、精神病类药物项目建设必要性分析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七、精神病类药物项目经济效益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_Toc17958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(三)、精神病类药物项目盈利能力分析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_Toc26161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十、精神病类药物项目风险分析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(一)、精神病类药物项目风险分析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(二)、精神病类药物项目风险对策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(一)、社会责任精神病类药物项目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(二)、合作精神病类药物项目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_Toc28207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_Toc30877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_Toc10615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_Toc31951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68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612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一、精神病类药物行业分析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精神病类药物行业规模及增长性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https://d.book118.com/848011067142006031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精神病类药物行业相关公司设立可行性研究报告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精神病类药物行业相关公司设立可行性研究报告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精神病类药物行业相关公司设立可行性研究报告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精神病类药物行业相关公司设立可行性研究报告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精神病类药物行业相关公司设立可行性研究报告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11067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2024-01-22T14:10:00Z</dcterms:created>
  <dcterms:modified xsi:type="dcterms:W3CDTF">2024-01-22T14:10:48Z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1D23C830855A4CE5BA331FF4E2A5703B_11</vt:lpwstr>
  </property>
  <property fmtid="{D5CDD505-2E9C-101B-9397-08002B2CF9AE}" pid="3" name="KSOProductBuildVer">
    <vt:lpwstr>2052-12.1.0.16120</vt:lpwstr>
  </property>
</Properties>
</file>