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overflowPunct w:val="0"/>
        <w:spacing w:line="560" w:lineRule="exact"/>
        <w:jc w:val="center"/>
        <w:rPr>
          <w:rFonts w:eastAsia="方正小标宋简体" w:cs="宋体"/>
          <w:color w:val="000000" w:themeColor="text1"/>
          <w:kern w:val="0"/>
          <w:sz w:val="44"/>
          <w:szCs w:val="32"/>
          <w14:textFill>
            <w14:solidFill>
              <w14:schemeClr w14:val="tx1"/>
            </w14:solidFill>
          </w14:textFill>
        </w:rPr>
      </w:pPr>
      <w:r>
        <w:rPr>
          <w:rFonts w:eastAsia="方正小标宋简体" w:cs="宋体" w:hint="eastAsia"/>
          <w:color w:val="000000" w:themeColor="text1"/>
          <w:kern w:val="0"/>
          <w:sz w:val="44"/>
          <w:szCs w:val="32"/>
          <w14:textFill>
            <w14:solidFill>
              <w14:schemeClr w14:val="tx1"/>
            </w14:solidFill>
          </w14:textFill>
        </w:rPr>
        <w:t>天津大学202</w:t>
      </w:r>
      <w:r>
        <w:rPr>
          <w:rFonts w:eastAsia="方正小标宋简体" w:cs="宋体" w:hint="eastAsia"/>
          <w:color w:val="000000" w:themeColor="text1"/>
          <w:kern w:val="0"/>
          <w:sz w:val="44"/>
          <w:szCs w:val="32"/>
          <w:lang w:val="en-US" w:eastAsia="zh-CN"/>
          <w14:textFill>
            <w14:solidFill>
              <w14:schemeClr w14:val="tx1"/>
            </w14:solidFill>
          </w14:textFill>
        </w:rPr>
        <w:t>2</w:t>
      </w:r>
      <w:r>
        <w:rPr>
          <w:rFonts w:eastAsia="方正小标宋简体" w:cs="宋体" w:hint="eastAsia"/>
          <w:color w:val="000000" w:themeColor="text1"/>
          <w:kern w:val="0"/>
          <w:sz w:val="44"/>
          <w:szCs w:val="32"/>
          <w14:textFill>
            <w14:solidFill>
              <w14:schemeClr w14:val="tx1"/>
            </w14:solidFill>
          </w14:textFill>
        </w:rPr>
        <w:t>-202</w:t>
      </w:r>
      <w:r>
        <w:rPr>
          <w:rFonts w:eastAsia="方正小标宋简体" w:cs="宋体" w:hint="eastAsia"/>
          <w:color w:val="000000" w:themeColor="text1"/>
          <w:kern w:val="0"/>
          <w:sz w:val="44"/>
          <w:szCs w:val="32"/>
          <w:lang w:val="en-US" w:eastAsia="zh-CN"/>
          <w14:textFill>
            <w14:solidFill>
              <w14:schemeClr w14:val="tx1"/>
            </w14:solidFill>
          </w14:textFill>
        </w:rPr>
        <w:t>3</w:t>
      </w:r>
      <w:r>
        <w:rPr>
          <w:rFonts w:eastAsia="方正小标宋简体" w:cs="宋体" w:hint="eastAsia"/>
          <w:color w:val="000000" w:themeColor="text1"/>
          <w:kern w:val="0"/>
          <w:sz w:val="44"/>
          <w:szCs w:val="32"/>
          <w14:textFill>
            <w14:solidFill>
              <w14:schemeClr w14:val="tx1"/>
            </w14:solidFill>
          </w14:textFill>
        </w:rPr>
        <w:t>学年度</w:t>
      </w:r>
    </w:p>
    <w:p>
      <w:pPr>
        <w:overflowPunct w:val="0"/>
        <w:spacing w:line="560" w:lineRule="exact"/>
        <w:jc w:val="center"/>
        <w:rPr>
          <w:rFonts w:eastAsia="方正小标宋简体" w:cs="宋体"/>
          <w:color w:val="000000" w:themeColor="text1"/>
          <w:kern w:val="0"/>
          <w:sz w:val="44"/>
          <w:szCs w:val="32"/>
          <w14:textFill>
            <w14:solidFill>
              <w14:schemeClr w14:val="tx1"/>
            </w14:solidFill>
          </w14:textFill>
        </w:rPr>
      </w:pPr>
      <w:r>
        <w:rPr>
          <w:rFonts w:eastAsia="方正小标宋简体" w:cs="宋体" w:hint="eastAsia"/>
          <w:color w:val="000000" w:themeColor="text1"/>
          <w:kern w:val="0"/>
          <w:sz w:val="44"/>
          <w:szCs w:val="32"/>
          <w14:textFill>
            <w14:solidFill>
              <w14:schemeClr w14:val="tx1"/>
            </w14:solidFill>
          </w14:textFill>
        </w:rPr>
        <w:t>信息公开工作年度报告</w:t>
      </w:r>
    </w:p>
    <w:p>
      <w:pPr>
        <w:overflowPunct w:val="0"/>
        <w:spacing w:line="560" w:lineRule="exact"/>
        <w:jc w:val="center"/>
        <w:rPr>
          <w:rFonts w:eastAsia="华文中宋" w:cs="宋体"/>
          <w:color w:val="000000" w:themeColor="text1"/>
          <w:kern w:val="0"/>
          <w:sz w:val="28"/>
          <w14:textFill>
            <w14:solidFill>
              <w14:schemeClr w14:val="tx1"/>
            </w14:solidFill>
          </w14:textFill>
        </w:rPr>
      </w:pPr>
    </w:p>
    <w:p>
      <w:pPr>
        <w:overflowPunct w:val="0"/>
        <w:spacing w:line="560" w:lineRule="exact"/>
        <w:ind w:firstLine="640" w:firstLineChars="200"/>
        <w:rPr>
          <w:rFonts w:eastAsia="仿宋_GB2312" w:cs="宋体"/>
          <w:kern w:val="0"/>
          <w:sz w:val="32"/>
          <w:szCs w:val="32"/>
        </w:rPr>
      </w:pPr>
      <w:r>
        <w:rPr>
          <w:rFonts w:eastAsia="仿宋_GB2312" w:cs="宋体" w:hint="eastAsia"/>
          <w:color w:val="000000" w:themeColor="text1"/>
          <w:kern w:val="0"/>
          <w:sz w:val="32"/>
          <w:szCs w:val="32"/>
          <w14:textFill>
            <w14:solidFill>
              <w14:schemeClr w14:val="tx1"/>
            </w14:solidFill>
          </w14:textFill>
        </w:rPr>
        <w:t>本年度工作报告根据《中华人民共和国政府信息公开条例》（以下简称《条例》）、《高等学校信息公开办法》（以下简称《办法》）和《教育部关于公布</w:t>
      </w:r>
      <w:r>
        <w:rPr>
          <w:rFonts w:eastAsia="仿宋_GB2312" w:hint="eastAsia"/>
          <w:color w:val="000000" w:themeColor="text1"/>
          <w:sz w:val="32"/>
          <w:szCs w:val="32"/>
          <w:shd w:val="clear" w:color="auto" w:fill="FFFFFF"/>
          <w14:textFill>
            <w14:solidFill>
              <w14:schemeClr w14:val="tx1"/>
            </w14:solidFill>
          </w14:textFill>
        </w:rPr>
        <w:t>〈</w:t>
      </w:r>
      <w:r>
        <w:rPr>
          <w:rFonts w:eastAsia="仿宋_GB2312" w:cs="宋体" w:hint="eastAsia"/>
          <w:color w:val="000000" w:themeColor="text1"/>
          <w:kern w:val="0"/>
          <w:sz w:val="32"/>
          <w:szCs w:val="32"/>
          <w14:textFill>
            <w14:solidFill>
              <w14:schemeClr w14:val="tx1"/>
            </w14:solidFill>
          </w14:textFill>
        </w:rPr>
        <w:t>高等学校信息公开事项清单</w:t>
      </w:r>
      <w:r>
        <w:rPr>
          <w:rFonts w:eastAsia="仿宋_GB2312" w:hint="eastAsia"/>
          <w:color w:val="000000" w:themeColor="text1"/>
          <w:sz w:val="32"/>
          <w:szCs w:val="32"/>
          <w:shd w:val="clear" w:color="auto" w:fill="FFFFFF"/>
          <w14:textFill>
            <w14:solidFill>
              <w14:schemeClr w14:val="tx1"/>
            </w14:solidFill>
          </w14:textFill>
        </w:rPr>
        <w:t>〉</w:t>
      </w:r>
      <w:r>
        <w:rPr>
          <w:rFonts w:eastAsia="仿宋_GB2312" w:cs="宋体" w:hint="eastAsia"/>
          <w:color w:val="000000" w:themeColor="text1"/>
          <w:kern w:val="0"/>
          <w:sz w:val="32"/>
          <w:szCs w:val="32"/>
          <w14:textFill>
            <w14:solidFill>
              <w14:schemeClr w14:val="tx1"/>
            </w14:solidFill>
          </w14:textFill>
        </w:rPr>
        <w:t>的通知》（教办函〔2014〕23号，以下简称《清单》）要求，深入贯彻落实《中共中央办公厅 国务院办公厅关于全面推进政务公开工作的意见》和《教育部办公厅关于全面推进政务公开工作的实施意见》（教办厅〔2017〕3号）文件精神，按照《教育部办公厅关于做好202</w:t>
      </w:r>
      <w:r>
        <w:rPr>
          <w:rFonts w:eastAsia="仿宋_GB2312" w:cs="宋体" w:hint="eastAsia"/>
          <w:color w:val="000000" w:themeColor="text1"/>
          <w:kern w:val="0"/>
          <w:sz w:val="32"/>
          <w:szCs w:val="32"/>
          <w:lang w:val="en-US" w:eastAsia="zh-CN"/>
          <w14:textFill>
            <w14:solidFill>
              <w14:schemeClr w14:val="tx1"/>
            </w14:solidFill>
          </w14:textFill>
        </w:rPr>
        <w:t>3</w:t>
      </w:r>
      <w:r>
        <w:rPr>
          <w:rFonts w:eastAsia="仿宋_GB2312" w:cs="宋体" w:hint="eastAsia"/>
          <w:color w:val="000000" w:themeColor="text1"/>
          <w:kern w:val="0"/>
          <w:sz w:val="32"/>
          <w:szCs w:val="32"/>
          <w14:textFill>
            <w14:solidFill>
              <w14:schemeClr w14:val="tx1"/>
            </w14:solidFill>
          </w14:textFill>
        </w:rPr>
        <w:t>年高校信息公开年度报告工作的通知》要求，由天津大学信息公开办公室编制。全文内容包括概述，主动公开学校信息情况，依申请公开和</w:t>
      </w:r>
      <w:r>
        <w:rPr>
          <w:rFonts w:eastAsia="仿宋_GB2312" w:cs="宋体"/>
          <w:color w:val="000000" w:themeColor="text1"/>
          <w:kern w:val="0"/>
          <w:sz w:val="32"/>
          <w:szCs w:val="32"/>
          <w14:textFill>
            <w14:solidFill>
              <w14:schemeClr w14:val="tx1"/>
            </w14:solidFill>
          </w14:textFill>
        </w:rPr>
        <w:t>不予公开</w:t>
      </w:r>
      <w:r>
        <w:rPr>
          <w:rFonts w:eastAsia="仿宋_GB2312" w:cs="宋体" w:hint="eastAsia"/>
          <w:color w:val="000000" w:themeColor="text1"/>
          <w:kern w:val="0"/>
          <w:sz w:val="32"/>
          <w:szCs w:val="32"/>
          <w14:textFill>
            <w14:solidFill>
              <w14:schemeClr w14:val="tx1"/>
            </w14:solidFill>
          </w14:textFill>
        </w:rPr>
        <w:t>学校信息情况，对信息公开的评议情况，因学校信息公开工作受到举报、复议、诉讼的情况，信息公开工作的主要经验、问题和改进措施，其他需要报告的事项和清单事项公开情况。报告中统计数据时间为</w:t>
      </w:r>
      <w:r>
        <w:rPr>
          <w:rFonts w:eastAsia="仿宋_GB2312" w:cs="宋体" w:hint="eastAsia"/>
          <w:kern w:val="0"/>
          <w:sz w:val="32"/>
          <w:szCs w:val="32"/>
        </w:rPr>
        <w:t>202</w:t>
      </w:r>
      <w:r>
        <w:rPr>
          <w:rFonts w:eastAsia="仿宋_GB2312" w:cs="宋体" w:hint="eastAsia"/>
          <w:kern w:val="0"/>
          <w:sz w:val="32"/>
          <w:szCs w:val="32"/>
          <w:lang w:val="en-US" w:eastAsia="zh-CN"/>
        </w:rPr>
        <w:t>2</w:t>
      </w:r>
      <w:r>
        <w:rPr>
          <w:rFonts w:eastAsia="仿宋_GB2312" w:cs="宋体" w:hint="eastAsia"/>
          <w:kern w:val="0"/>
          <w:sz w:val="32"/>
          <w:szCs w:val="32"/>
        </w:rPr>
        <w:t>年9月1日至202</w:t>
      </w:r>
      <w:r>
        <w:rPr>
          <w:rFonts w:eastAsia="仿宋_GB2312" w:cs="宋体" w:hint="eastAsia"/>
          <w:kern w:val="0"/>
          <w:sz w:val="32"/>
          <w:szCs w:val="32"/>
          <w:lang w:val="en-US" w:eastAsia="zh-CN"/>
        </w:rPr>
        <w:t>3</w:t>
      </w:r>
      <w:r>
        <w:rPr>
          <w:rFonts w:eastAsia="仿宋_GB2312" w:cs="宋体" w:hint="eastAsia"/>
          <w:kern w:val="0"/>
          <w:sz w:val="32"/>
          <w:szCs w:val="32"/>
        </w:rPr>
        <w:t>年8月31日。</w:t>
      </w:r>
      <w:r>
        <w:rPr>
          <w:rFonts w:eastAsia="仿宋_GB2312" w:cs="宋体" w:hint="eastAsia"/>
          <w:color w:val="000000" w:themeColor="text1"/>
          <w:kern w:val="0"/>
          <w:sz w:val="32"/>
          <w:szCs w:val="32"/>
          <w14:textFill>
            <w14:solidFill>
              <w14:schemeClr w14:val="tx1"/>
            </w14:solidFill>
          </w14:textFill>
        </w:rPr>
        <w:t>本报告电子版可从天津大学信息公开网站（http://xxgkw.tju.edu.cn/）下载。</w:t>
      </w:r>
    </w:p>
    <w:p>
      <w:pPr>
        <w:overflowPunct w:val="0"/>
        <w:spacing w:before="156" w:beforeLines="50" w:after="156" w:afterLines="50" w:line="560" w:lineRule="exact"/>
        <w:ind w:firstLine="640" w:firstLineChars="200"/>
        <w:rPr>
          <w:rFonts w:eastAsia="黑体" w:cs="宋体"/>
          <w:color w:val="000000" w:themeColor="text1"/>
          <w:kern w:val="0"/>
          <w:sz w:val="32"/>
          <w:szCs w:val="32"/>
          <w14:textFill>
            <w14:solidFill>
              <w14:schemeClr w14:val="tx1"/>
            </w14:solidFill>
          </w14:textFill>
        </w:rPr>
      </w:pPr>
      <w:r>
        <w:rPr>
          <w:rFonts w:eastAsia="黑体" w:cs="宋体" w:hint="eastAsia"/>
          <w:color w:val="000000" w:themeColor="text1"/>
          <w:kern w:val="0"/>
          <w:sz w:val="32"/>
          <w:szCs w:val="32"/>
          <w14:textFill>
            <w14:solidFill>
              <w14:schemeClr w14:val="tx1"/>
            </w14:solidFill>
          </w14:textFill>
        </w:rPr>
        <w:t>一、概述</w:t>
      </w:r>
    </w:p>
    <w:p>
      <w:pPr>
        <w:overflowPunct w:val="0"/>
        <w:spacing w:line="560" w:lineRule="exact"/>
        <w:ind w:firstLine="640" w:firstLineChars="200"/>
        <w:rPr>
          <w:rFonts w:eastAsia="仿宋_GB2312" w:cs="宋体"/>
          <w:color w:val="000000" w:themeColor="text1"/>
          <w:kern w:val="0"/>
          <w:sz w:val="32"/>
          <w:szCs w:val="32"/>
          <w14:textFill>
            <w14:solidFill>
              <w14:schemeClr w14:val="tx1"/>
            </w14:solidFill>
          </w14:textFill>
        </w:rPr>
        <w:sectPr>
          <w:footerReference w:type="default" r:id="rId4"/>
          <w:pgSz w:w="11906" w:h="16838"/>
          <w:pgMar w:top="2098" w:right="1474" w:bottom="1984" w:left="1588" w:header="851" w:footer="992" w:gutter="0"/>
          <w:cols w:num="1" w:space="425"/>
          <w:docGrid w:type="lines" w:linePitch="312" w:charSpace="0"/>
        </w:sectPr>
      </w:pPr>
      <w:r>
        <w:rPr>
          <w:rFonts w:eastAsia="仿宋_GB2312" w:cs="宋体" w:hint="eastAsia"/>
          <w:color w:val="000000" w:themeColor="text1"/>
          <w:kern w:val="0"/>
          <w:sz w:val="32"/>
          <w:szCs w:val="32"/>
          <w14:textFill>
            <w14:solidFill>
              <w14:schemeClr w14:val="tx1"/>
            </w14:solidFill>
          </w14:textFill>
        </w:rPr>
        <w:t>202</w:t>
      </w:r>
      <w:r>
        <w:rPr>
          <w:rFonts w:eastAsia="仿宋_GB2312" w:cs="宋体" w:hint="eastAsia"/>
          <w:color w:val="000000" w:themeColor="text1"/>
          <w:kern w:val="0"/>
          <w:sz w:val="32"/>
          <w:szCs w:val="32"/>
          <w:lang w:val="en-US" w:eastAsia="zh-CN"/>
          <w14:textFill>
            <w14:solidFill>
              <w14:schemeClr w14:val="tx1"/>
            </w14:solidFill>
          </w14:textFill>
        </w:rPr>
        <w:t>2</w:t>
      </w:r>
      <w:r>
        <w:rPr>
          <w:rFonts w:eastAsia="仿宋_GB2312" w:cs="宋体" w:hint="eastAsia"/>
          <w:color w:val="000000" w:themeColor="text1"/>
          <w:kern w:val="0"/>
          <w:sz w:val="32"/>
          <w:szCs w:val="32"/>
          <w14:textFill>
            <w14:solidFill>
              <w14:schemeClr w14:val="tx1"/>
            </w14:solidFill>
          </w14:textFill>
        </w:rPr>
        <w:t>-202</w:t>
      </w:r>
      <w:r>
        <w:rPr>
          <w:rFonts w:eastAsia="仿宋_GB2312" w:cs="宋体" w:hint="eastAsia"/>
          <w:color w:val="000000" w:themeColor="text1"/>
          <w:kern w:val="0"/>
          <w:sz w:val="32"/>
          <w:szCs w:val="32"/>
          <w:lang w:val="en-US" w:eastAsia="zh-CN"/>
          <w14:textFill>
            <w14:solidFill>
              <w14:schemeClr w14:val="tx1"/>
            </w14:solidFill>
          </w14:textFill>
        </w:rPr>
        <w:t>3</w:t>
      </w:r>
      <w:r>
        <w:rPr>
          <w:rFonts w:eastAsia="仿宋_GB2312" w:cs="宋体" w:hint="eastAsia"/>
          <w:color w:val="000000" w:themeColor="text1"/>
          <w:kern w:val="0"/>
          <w:sz w:val="32"/>
          <w:szCs w:val="32"/>
          <w14:textFill>
            <w14:solidFill>
              <w14:schemeClr w14:val="tx1"/>
            </w14:solidFill>
          </w14:textFill>
        </w:rPr>
        <w:t>学年度，天津大学</w:t>
      </w:r>
      <w:r>
        <w:rPr>
          <w:rFonts w:eastAsia="仿宋_GB2312" w:cs="仿宋_GB2312" w:hint="eastAsia"/>
          <w:sz w:val="32"/>
          <w:szCs w:val="32"/>
        </w:rPr>
        <w:t>坚持以习近平新时代中国特色社会主义思想为指导，全面贯彻党的</w:t>
      </w:r>
      <w:r>
        <w:rPr>
          <w:rFonts w:eastAsia="仿宋_GB2312" w:cs="仿宋_GB2312" w:hint="eastAsia"/>
          <w:sz w:val="32"/>
          <w:szCs w:val="32"/>
          <w:lang w:val="en-US" w:eastAsia="zh-CN"/>
        </w:rPr>
        <w:t>二十大精神</w:t>
      </w:r>
      <w:r>
        <w:rPr>
          <w:rFonts w:eastAsia="仿宋_GB2312" w:cs="仿宋_GB2312" w:hint="eastAsia"/>
          <w:sz w:val="32"/>
          <w:szCs w:val="32"/>
        </w:rPr>
        <w:t>，</w:t>
      </w:r>
      <w:r>
        <w:rPr>
          <w:rFonts w:eastAsia="仿宋_GB2312" w:cs="仿宋_GB2312" w:hint="eastAsia"/>
          <w:color w:val="auto"/>
          <w:sz w:val="32"/>
          <w:szCs w:val="32"/>
        </w:rPr>
        <w:t>以开展学习贯彻习近平新时代中国特色社会主义思想主题教育为契机</w:t>
      </w:r>
      <w:r>
        <w:rPr>
          <w:rFonts w:eastAsia="仿宋_GB2312" w:cs="仿宋_GB2312" w:hint="eastAsia"/>
          <w:color w:val="auto"/>
          <w:sz w:val="32"/>
          <w:szCs w:val="32"/>
          <w:lang w:eastAsia="zh-CN"/>
        </w:rPr>
        <w:t>，</w:t>
      </w:r>
      <w:r>
        <w:rPr>
          <w:rFonts w:eastAsia="仿宋_GB2312" w:cs="仿宋_GB2312" w:hint="eastAsia"/>
          <w:sz w:val="32"/>
          <w:szCs w:val="32"/>
          <w:lang w:val="en-US" w:eastAsia="zh-CN"/>
        </w:rPr>
        <w:t>按</w:t>
      </w:r>
    </w:p>
    <w:p>
      <w:pPr>
        <w:overflowPunct w:val="0"/>
        <w:spacing w:line="560" w:lineRule="exact"/>
        <w:ind w:firstLine="640" w:firstLineChars="200"/>
        <w:rPr>
          <w:rFonts w:eastAsia="仿宋_GB2312" w:cs="宋体"/>
          <w:color w:val="000000" w:themeColor="text1"/>
          <w:kern w:val="0"/>
          <w:sz w:val="32"/>
          <w:szCs w:val="32"/>
          <w14:textFill>
            <w14:solidFill>
              <w14:schemeClr w14:val="tx1"/>
            </w14:solidFill>
          </w14:textFill>
        </w:rPr>
      </w:pPr>
      <w:r>
        <w:rPr>
          <w:rFonts w:eastAsia="仿宋_GB2312" w:cs="仿宋_GB2312" w:hint="eastAsia"/>
          <w:sz w:val="32"/>
          <w:szCs w:val="32"/>
        </w:rPr>
        <w:t>照党中央、国务院关于政务公开工作的决策部署和教育部推进教育公开的总体安排，</w:t>
      </w:r>
      <w:r>
        <w:rPr>
          <w:rFonts w:eastAsia="仿宋_GB2312" w:cs="宋体" w:hint="eastAsia"/>
          <w:color w:val="000000" w:themeColor="text1"/>
          <w:kern w:val="0"/>
          <w:sz w:val="32"/>
          <w:szCs w:val="32"/>
          <w14:textFill>
            <w14:solidFill>
              <w14:schemeClr w14:val="tx1"/>
            </w14:solidFill>
          </w14:textFill>
        </w:rPr>
        <w:t>继续坚持“以</w:t>
      </w:r>
      <w:r>
        <w:rPr>
          <w:rFonts w:eastAsia="仿宋_GB2312" w:cs="宋体"/>
          <w:color w:val="000000" w:themeColor="text1"/>
          <w:kern w:val="0"/>
          <w:sz w:val="32"/>
          <w:szCs w:val="32"/>
          <w14:textFill>
            <w14:solidFill>
              <w14:schemeClr w14:val="tx1"/>
            </w14:solidFill>
          </w14:textFill>
        </w:rPr>
        <w:t>公开为常态、不公开为例外</w:t>
      </w:r>
      <w:r>
        <w:rPr>
          <w:rFonts w:eastAsia="仿宋_GB2312" w:cs="宋体" w:hint="eastAsia"/>
          <w:color w:val="000000" w:themeColor="text1"/>
          <w:kern w:val="0"/>
          <w:sz w:val="32"/>
          <w:szCs w:val="32"/>
          <w14:textFill>
            <w14:solidFill>
              <w14:schemeClr w14:val="tx1"/>
            </w14:solidFill>
          </w14:textFill>
        </w:rPr>
        <w:t>”的</w:t>
      </w:r>
      <w:r>
        <w:rPr>
          <w:rFonts w:eastAsia="仿宋_GB2312" w:cs="宋体"/>
          <w:color w:val="000000" w:themeColor="text1"/>
          <w:kern w:val="0"/>
          <w:sz w:val="32"/>
          <w:szCs w:val="32"/>
          <w14:textFill>
            <w14:solidFill>
              <w14:schemeClr w14:val="tx1"/>
            </w14:solidFill>
          </w14:textFill>
        </w:rPr>
        <w:t>原则，</w:t>
      </w:r>
      <w:r>
        <w:rPr>
          <w:rFonts w:eastAsia="仿宋_GB2312" w:cs="宋体" w:hint="eastAsia"/>
          <w:color w:val="000000" w:themeColor="text1"/>
          <w:kern w:val="0"/>
          <w:sz w:val="32"/>
          <w:szCs w:val="32"/>
          <w14:textFill>
            <w14:solidFill>
              <w14:schemeClr w14:val="tx1"/>
            </w14:solidFill>
          </w14:textFill>
        </w:rPr>
        <w:t>紧密</w:t>
      </w:r>
      <w:r>
        <w:rPr>
          <w:rFonts w:eastAsia="仿宋_GB2312" w:cs="宋体"/>
          <w:color w:val="000000" w:themeColor="text1"/>
          <w:kern w:val="0"/>
          <w:sz w:val="32"/>
          <w:szCs w:val="32"/>
          <w14:textFill>
            <w14:solidFill>
              <w14:schemeClr w14:val="tx1"/>
            </w14:solidFill>
          </w14:textFill>
        </w:rPr>
        <w:t>围绕学校中心工作，</w:t>
      </w:r>
      <w:r>
        <w:rPr>
          <w:rFonts w:eastAsia="仿宋_GB2312" w:cs="宋体" w:hint="eastAsia"/>
          <w:color w:val="000000" w:themeColor="text1"/>
          <w:kern w:val="0"/>
          <w:sz w:val="32"/>
          <w:szCs w:val="32"/>
          <w14:textFill>
            <w14:solidFill>
              <w14:schemeClr w14:val="tx1"/>
            </w14:solidFill>
          </w14:textFill>
        </w:rPr>
        <w:t>扎实推进学校信息公开工作，切实增强公开实效，努力保障广大师生员工</w:t>
      </w:r>
      <w:r>
        <w:rPr>
          <w:rFonts w:eastAsia="仿宋_GB2312" w:cs="宋体"/>
          <w:color w:val="000000" w:themeColor="text1"/>
          <w:kern w:val="0"/>
          <w:sz w:val="32"/>
          <w:szCs w:val="32"/>
          <w14:textFill>
            <w14:solidFill>
              <w14:schemeClr w14:val="tx1"/>
            </w14:solidFill>
          </w14:textFill>
        </w:rPr>
        <w:t>、校友</w:t>
      </w:r>
      <w:r>
        <w:rPr>
          <w:rFonts w:eastAsia="仿宋_GB2312" w:cs="宋体" w:hint="eastAsia"/>
          <w:color w:val="000000" w:themeColor="text1"/>
          <w:kern w:val="0"/>
          <w:sz w:val="32"/>
          <w:szCs w:val="32"/>
          <w14:textFill>
            <w14:solidFill>
              <w14:schemeClr w14:val="tx1"/>
            </w14:solidFill>
          </w14:textFill>
        </w:rPr>
        <w:t>和社会各界依法获取学校信息，促进依法治校，推动《条例》《办法》《清单》在学校全面、正确、有效地贯彻实施。</w:t>
      </w:r>
    </w:p>
    <w:p>
      <w:pPr>
        <w:overflowPunct w:val="0"/>
        <w:spacing w:line="560" w:lineRule="exact"/>
        <w:ind w:firstLine="640" w:firstLineChars="200"/>
        <w:rPr>
          <w:rFonts w:eastAsia="仿宋_GB2312"/>
          <w:color w:val="000000" w:themeColor="text1"/>
          <w:sz w:val="32"/>
          <w:szCs w:val="32"/>
          <w14:textFill>
            <w14:solidFill>
              <w14:schemeClr w14:val="tx1"/>
            </w14:solidFill>
          </w14:textFill>
        </w:rPr>
      </w:pPr>
      <w:r>
        <w:rPr>
          <w:rFonts w:eastAsia="仿宋_GB2312" w:cs="宋体" w:hint="eastAsia"/>
          <w:b/>
          <w:color w:val="000000" w:themeColor="text1"/>
          <w:kern w:val="0"/>
          <w:sz w:val="32"/>
          <w:szCs w:val="32"/>
          <w14:textFill>
            <w14:solidFill>
              <w14:schemeClr w14:val="tx1"/>
            </w14:solidFill>
          </w14:textFill>
        </w:rPr>
        <w:t>1.加强</w:t>
      </w:r>
      <w:r>
        <w:rPr>
          <w:rFonts w:eastAsia="仿宋_GB2312" w:cs="宋体"/>
          <w:b/>
          <w:color w:val="000000" w:themeColor="text1"/>
          <w:kern w:val="0"/>
          <w:sz w:val="32"/>
          <w:szCs w:val="32"/>
          <w14:textFill>
            <w14:solidFill>
              <w14:schemeClr w14:val="tx1"/>
            </w14:solidFill>
          </w14:textFill>
        </w:rPr>
        <w:t>信息公开工作</w:t>
      </w:r>
      <w:r>
        <w:rPr>
          <w:rFonts w:eastAsia="仿宋_GB2312" w:cs="宋体" w:hint="eastAsia"/>
          <w:b/>
          <w:color w:val="000000" w:themeColor="text1"/>
          <w:kern w:val="0"/>
          <w:sz w:val="32"/>
          <w:szCs w:val="32"/>
          <w14:textFill>
            <w14:solidFill>
              <w14:schemeClr w14:val="tx1"/>
            </w14:solidFill>
          </w14:textFill>
        </w:rPr>
        <w:t>体系建设。</w:t>
      </w:r>
      <w:r>
        <w:rPr>
          <w:rFonts w:eastAsia="仿宋_GB2312" w:hint="eastAsia"/>
          <w:color w:val="000000" w:themeColor="text1"/>
          <w:sz w:val="32"/>
          <w:szCs w:val="32"/>
          <w14:textFill>
            <w14:solidFill>
              <w14:schemeClr w14:val="tx1"/>
            </w14:solidFill>
          </w14:textFill>
        </w:rPr>
        <w:t>学校始终高度重视信息公开组织领导，2010年发布</w:t>
      </w:r>
      <w:r>
        <w:rPr>
          <w:rFonts w:eastAsia="仿宋_GB2312" w:hint="eastAsia"/>
          <w:sz w:val="32"/>
          <w:szCs w:val="32"/>
        </w:rPr>
        <w:t>《关于成立天津大学信息公开工作领导小组的通知》（天大校发〔2010〕17号），明确</w:t>
      </w:r>
      <w:r>
        <w:rPr>
          <w:rFonts w:eastAsia="仿宋_GB2312" w:hint="eastAsia"/>
          <w:color w:val="000000" w:themeColor="text1"/>
          <w:sz w:val="32"/>
          <w:szCs w:val="32"/>
          <w14:textFill>
            <w14:solidFill>
              <w14:schemeClr w14:val="tx1"/>
            </w14:solidFill>
          </w14:textFill>
        </w:rPr>
        <w:t>信息公开工作在学校信息公开工作领导小组统一领导下，由信息公开工作办公室负责信息公开日常工作。</w:t>
      </w:r>
      <w:r>
        <w:rPr>
          <w:rFonts w:ascii="仿宋_GB2312" w:eastAsia="仿宋_GB2312" w:hint="eastAsia"/>
          <w:sz w:val="32"/>
          <w:szCs w:val="36"/>
        </w:rPr>
        <w:t>将“</w:t>
      </w:r>
      <w:r>
        <w:rPr>
          <w:rFonts w:ascii="仿宋_GB2312" w:eastAsia="仿宋_GB2312" w:hint="eastAsia"/>
          <w:sz w:val="32"/>
          <w:szCs w:val="32"/>
        </w:rPr>
        <w:t>坚持民主管理，建立民主协商机制，支持和保障师生员工参与学校决策、执行和监督，依靠师生员工推动事业发展”写入大学章程；制定了一系列工作制度和公开目录</w:t>
      </w:r>
      <w:r>
        <w:rPr>
          <w:rFonts w:ascii="仿宋_GB2312" w:eastAsia="仿宋_GB2312" w:hint="eastAsia"/>
          <w:sz w:val="32"/>
          <w:szCs w:val="32"/>
          <w:lang w:eastAsia="zh-CN"/>
        </w:rPr>
        <w:t>（</w:t>
      </w:r>
      <w:r>
        <w:rPr>
          <w:rFonts w:eastAsia="仿宋_GB2312" w:hint="eastAsia"/>
          <w:sz w:val="32"/>
          <w:szCs w:val="32"/>
        </w:rPr>
        <w:t>《天津大学信息公开办法（试行）》（天大校发〔2010〕</w:t>
      </w:r>
      <w:r>
        <w:rPr>
          <w:rFonts w:eastAsia="仿宋_GB2312" w:hint="eastAsia"/>
          <w:color w:val="000000" w:themeColor="text1"/>
          <w:sz w:val="32"/>
          <w:szCs w:val="32"/>
          <w14:textFill>
            <w14:solidFill>
              <w14:schemeClr w14:val="tx1"/>
            </w14:solidFill>
          </w14:textFill>
        </w:rPr>
        <w:t>18号）《天津大学信息公开指南》《天津大学信息公开目录》</w:t>
      </w:r>
      <w:r>
        <w:rPr>
          <w:rFonts w:ascii="仿宋_GB2312" w:eastAsia="仿宋_GB2312" w:hint="eastAsia"/>
          <w:sz w:val="32"/>
          <w:szCs w:val="32"/>
          <w:lang w:eastAsia="zh-CN"/>
        </w:rPr>
        <w:t>）</w:t>
      </w:r>
      <w:r>
        <w:rPr>
          <w:rFonts w:ascii="仿宋_GB2312" w:eastAsia="仿宋_GB2312" w:hint="eastAsia"/>
          <w:sz w:val="32"/>
          <w:szCs w:val="32"/>
        </w:rPr>
        <w:t>，既保证公开事项的全面覆盖，更突出社会和师生普遍关注的重点、热点、焦点问题，确保公开有章可循，内容具体清楚</w:t>
      </w:r>
      <w:r>
        <w:rPr>
          <w:rFonts w:ascii="仿宋_GB2312" w:eastAsia="仿宋_GB2312" w:hint="eastAsia"/>
          <w:sz w:val="32"/>
          <w:szCs w:val="32"/>
          <w:lang w:eastAsia="zh-CN"/>
        </w:rPr>
        <w:t>。</w:t>
      </w:r>
      <w:r>
        <w:rPr>
          <w:rFonts w:eastAsia="仿宋_GB2312" w:hint="eastAsia"/>
          <w:color w:val="000000" w:themeColor="text1"/>
          <w:sz w:val="32"/>
          <w:szCs w:val="32"/>
          <w14:textFill>
            <w14:solidFill>
              <w14:schemeClr w14:val="tx1"/>
            </w14:solidFill>
          </w14:textFill>
        </w:rPr>
        <w:t>深入领会新时代高校信息公开工作的重要意义，严格落实关于推进高校信息公开的具体部署和公开要求，把信息公开作为建设法治校园的重要抓手，将推进信息公开与推进学校事业发展紧密结合起来。</w:t>
      </w:r>
    </w:p>
    <w:p>
      <w:pPr>
        <w:overflowPunct w:val="0"/>
        <w:spacing w:line="560" w:lineRule="exact"/>
        <w:ind w:firstLine="640" w:firstLineChars="200"/>
        <w:rPr>
          <w:rFonts w:eastAsia="仿宋_GB2312" w:cs="宋体"/>
          <w:color w:val="auto"/>
          <w:kern w:val="0"/>
          <w:sz w:val="32"/>
          <w:szCs w:val="32"/>
        </w:rPr>
        <w:sectPr>
          <w:footerReference w:type="default" r:id="rId5"/>
          <w:type w:val="nextPage"/>
          <w:pgSz w:w="11906" w:h="16838"/>
          <w:pgMar w:top="2098" w:right="1474" w:bottom="1984" w:left="1588" w:header="851" w:footer="992" w:gutter="0"/>
          <w:pgNumType w:start="2"/>
          <w:cols w:num="1" w:space="425"/>
          <w:titlePg w:val="0"/>
          <w:docGrid w:type="lines" w:linePitch="312" w:charSpace="0"/>
        </w:sectPr>
      </w:pPr>
      <w:r>
        <w:rPr>
          <w:rFonts w:eastAsia="仿宋_GB2312" w:hint="eastAsia"/>
          <w:b/>
          <w:color w:val="000000" w:themeColor="text1"/>
          <w:sz w:val="32"/>
          <w:szCs w:val="32"/>
          <w14:textFill>
            <w14:solidFill>
              <w14:schemeClr w14:val="tx1"/>
            </w14:solidFill>
          </w14:textFill>
        </w:rPr>
        <w:t>2.</w:t>
      </w:r>
      <w:r>
        <w:rPr>
          <w:rFonts w:eastAsia="仿宋_GB2312" w:cs="宋体" w:hint="eastAsia"/>
          <w:b/>
          <w:color w:val="000000" w:themeColor="text1"/>
          <w:kern w:val="0"/>
          <w:sz w:val="32"/>
          <w:szCs w:val="32"/>
          <w14:textFill>
            <w14:solidFill>
              <w14:schemeClr w14:val="tx1"/>
            </w14:solidFill>
          </w14:textFill>
        </w:rPr>
        <w:t>加强信息公开载体建设。</w:t>
      </w:r>
    </w:p>
    <w:p>
      <w:pPr>
        <w:overflowPunct w:val="0"/>
        <w:spacing w:line="560" w:lineRule="exact"/>
        <w:ind w:firstLine="640" w:firstLineChars="200"/>
        <w:rPr>
          <w:rFonts w:eastAsia="仿宋_GB2312" w:cs="宋体"/>
          <w:color w:val="auto"/>
          <w:kern w:val="0"/>
          <w:sz w:val="32"/>
          <w:szCs w:val="32"/>
        </w:rPr>
      </w:pPr>
      <w:r>
        <w:rPr>
          <w:rFonts w:eastAsia="仿宋_GB2312"/>
          <w:color w:val="000000" w:themeColor="text1"/>
          <w:sz w:val="32"/>
          <w:szCs w:val="32"/>
          <w14:textFill>
            <w14:solidFill>
              <w14:schemeClr w14:val="tx1"/>
            </w14:solidFill>
          </w14:textFill>
        </w:rPr>
        <w:t>信息公开网是学校信息公开工作的主要平台</w:t>
      </w:r>
      <w:r>
        <w:rPr>
          <w:rFonts w:eastAsia="仿宋_GB2312" w:hint="eastAsia"/>
          <w:color w:val="000000" w:themeColor="text1"/>
          <w:sz w:val="32"/>
          <w:szCs w:val="32"/>
          <w14:textFill>
            <w14:solidFill>
              <w14:schemeClr w14:val="tx1"/>
            </w14:solidFill>
          </w14:textFill>
        </w:rPr>
        <w:t>，学校</w:t>
      </w:r>
      <w:r>
        <w:rPr>
          <w:rFonts w:ascii="仿宋_GB2312" w:eastAsia="仿宋_GB2312" w:hAnsi="仿宋_GB2312" w:cs="仿宋_GB2312" w:hint="eastAsia"/>
          <w:bCs/>
          <w:snapToGrid w:val="0"/>
          <w:kern w:val="0"/>
          <w:sz w:val="32"/>
          <w:szCs w:val="32"/>
        </w:rPr>
        <w:t>统筹党务公开、校务公开、信息公开载体</w:t>
      </w:r>
      <w:r>
        <w:rPr>
          <w:rFonts w:ascii="仿宋_GB2312" w:eastAsia="仿宋_GB2312" w:hAnsi="仿宋_GB2312" w:cs="仿宋_GB2312" w:hint="eastAsia"/>
          <w:bCs/>
          <w:snapToGrid w:val="0"/>
          <w:kern w:val="0"/>
          <w:sz w:val="32"/>
          <w:szCs w:val="32"/>
          <w:lang w:eastAsia="zh-CN"/>
        </w:rPr>
        <w:t>，</w:t>
      </w:r>
      <w:r>
        <w:rPr>
          <w:rFonts w:eastAsia="仿宋_GB2312" w:hint="eastAsia"/>
          <w:color w:val="000000" w:themeColor="text1"/>
          <w:sz w:val="32"/>
          <w:szCs w:val="32"/>
          <w14:textFill>
            <w14:solidFill>
              <w14:schemeClr w14:val="tx1"/>
            </w14:solidFill>
          </w14:textFill>
        </w:rPr>
        <w:t>持续完善</w:t>
      </w:r>
      <w:r>
        <w:rPr>
          <w:rFonts w:eastAsia="仿宋_GB2312" w:cs="宋体" w:hint="eastAsia"/>
          <w:color w:val="000000" w:themeColor="text1"/>
          <w:kern w:val="0"/>
          <w:sz w:val="32"/>
          <w:szCs w:val="32"/>
          <w14:textFill>
            <w14:solidFill>
              <w14:schemeClr w14:val="tx1"/>
            </w14:solidFill>
          </w14:textFill>
        </w:rPr>
        <w:t>“天津大学信息公开网”各项功能和内容，按照《清单</w:t>
      </w:r>
      <w:r>
        <w:rPr>
          <w:rFonts w:eastAsia="仿宋_GB2312" w:cs="宋体"/>
          <w:color w:val="000000" w:themeColor="text1"/>
          <w:kern w:val="0"/>
          <w:sz w:val="32"/>
          <w:szCs w:val="32"/>
          <w14:textFill>
            <w14:solidFill>
              <w14:schemeClr w14:val="tx1"/>
            </w14:solidFill>
          </w14:textFill>
        </w:rPr>
        <w:t>》</w:t>
      </w:r>
      <w:r>
        <w:rPr>
          <w:rFonts w:eastAsia="仿宋_GB2312" w:cs="宋体" w:hint="eastAsia"/>
          <w:color w:val="000000" w:themeColor="text1"/>
          <w:kern w:val="0"/>
          <w:sz w:val="32"/>
          <w:szCs w:val="32"/>
          <w14:textFill>
            <w14:solidFill>
              <w14:schemeClr w14:val="tx1"/>
            </w14:solidFill>
          </w14:textFill>
        </w:rPr>
        <w:t>要求</w:t>
      </w:r>
      <w:r>
        <w:rPr>
          <w:rFonts w:eastAsia="仿宋_GB2312" w:cs="宋体"/>
          <w:color w:val="000000" w:themeColor="text1"/>
          <w:kern w:val="0"/>
          <w:sz w:val="32"/>
          <w:szCs w:val="32"/>
          <w14:textFill>
            <w14:solidFill>
              <w14:schemeClr w14:val="tx1"/>
            </w14:solidFill>
          </w14:textFill>
        </w:rPr>
        <w:t>对学校《</w:t>
      </w:r>
      <w:r>
        <w:rPr>
          <w:rFonts w:eastAsia="仿宋_GB2312" w:cs="宋体" w:hint="eastAsia"/>
          <w:color w:val="000000" w:themeColor="text1"/>
          <w:kern w:val="0"/>
          <w:sz w:val="32"/>
          <w:szCs w:val="32"/>
          <w14:textFill>
            <w14:solidFill>
              <w14:schemeClr w14:val="tx1"/>
            </w14:solidFill>
          </w14:textFill>
        </w:rPr>
        <w:t>信息</w:t>
      </w:r>
      <w:r>
        <w:rPr>
          <w:rFonts w:eastAsia="仿宋_GB2312" w:cs="宋体"/>
          <w:color w:val="000000" w:themeColor="text1"/>
          <w:kern w:val="0"/>
          <w:sz w:val="32"/>
          <w:szCs w:val="32"/>
          <w14:textFill>
            <w14:solidFill>
              <w14:schemeClr w14:val="tx1"/>
            </w14:solidFill>
          </w14:textFill>
        </w:rPr>
        <w:t>公开目录》</w:t>
      </w:r>
      <w:r>
        <w:rPr>
          <w:rFonts w:eastAsia="仿宋_GB2312" w:cs="宋体" w:hint="eastAsia"/>
          <w:color w:val="000000" w:themeColor="text1"/>
          <w:kern w:val="0"/>
          <w:sz w:val="32"/>
          <w:szCs w:val="32"/>
          <w14:textFill>
            <w14:solidFill>
              <w14:schemeClr w14:val="tx1"/>
            </w14:solidFill>
          </w14:textFill>
        </w:rPr>
        <w:t>进行持续</w:t>
      </w:r>
      <w:r>
        <w:rPr>
          <w:rFonts w:eastAsia="仿宋_GB2312" w:cs="宋体"/>
          <w:color w:val="000000" w:themeColor="text1"/>
          <w:kern w:val="0"/>
          <w:sz w:val="32"/>
          <w:szCs w:val="32"/>
          <w14:textFill>
            <w14:solidFill>
              <w14:schemeClr w14:val="tx1"/>
            </w14:solidFill>
          </w14:textFill>
        </w:rPr>
        <w:t>调整和丰富。同时</w:t>
      </w:r>
      <w:r>
        <w:rPr>
          <w:rFonts w:eastAsia="仿宋_GB2312" w:cs="宋体" w:hint="eastAsia"/>
          <w:color w:val="000000" w:themeColor="text1"/>
          <w:kern w:val="0"/>
          <w:sz w:val="32"/>
          <w:szCs w:val="32"/>
          <w14:textFill>
            <w14:solidFill>
              <w14:schemeClr w14:val="tx1"/>
            </w14:solidFill>
          </w14:textFill>
        </w:rPr>
        <w:t>，学校</w:t>
      </w:r>
      <w:r>
        <w:rPr>
          <w:rFonts w:eastAsia="仿宋_GB2312" w:cs="宋体"/>
          <w:color w:val="000000" w:themeColor="text1"/>
          <w:kern w:val="0"/>
          <w:sz w:val="32"/>
          <w:szCs w:val="32"/>
          <w14:textFill>
            <w14:solidFill>
              <w14:schemeClr w14:val="tx1"/>
            </w14:solidFill>
          </w14:textFill>
        </w:rPr>
        <w:t>继续运用好</w:t>
      </w:r>
      <w:r>
        <w:rPr>
          <w:rFonts w:eastAsia="仿宋_GB2312" w:cs="宋体" w:hint="eastAsia"/>
          <w:color w:val="000000" w:themeColor="text1"/>
          <w:kern w:val="0"/>
          <w:sz w:val="32"/>
          <w:szCs w:val="32"/>
          <w14:textFill>
            <w14:solidFill>
              <w14:schemeClr w14:val="tx1"/>
            </w14:solidFill>
          </w14:textFill>
        </w:rPr>
        <w:t>校院网站</w:t>
      </w:r>
      <w:r>
        <w:rPr>
          <w:rFonts w:eastAsia="仿宋_GB2312" w:cs="宋体"/>
          <w:color w:val="000000" w:themeColor="text1"/>
          <w:kern w:val="0"/>
          <w:sz w:val="32"/>
          <w:szCs w:val="32"/>
          <w14:textFill>
            <w14:solidFill>
              <w14:schemeClr w14:val="tx1"/>
            </w14:solidFill>
          </w14:textFill>
        </w:rPr>
        <w:t>、</w:t>
      </w:r>
      <w:r>
        <w:rPr>
          <w:rFonts w:eastAsia="仿宋_GB2312" w:cs="宋体" w:hint="eastAsia"/>
          <w:color w:val="000000" w:themeColor="text1"/>
          <w:kern w:val="0"/>
          <w:sz w:val="32"/>
          <w:szCs w:val="32"/>
          <w14:textFill>
            <w14:solidFill>
              <w14:schemeClr w14:val="tx1"/>
            </w14:solidFill>
          </w14:textFill>
        </w:rPr>
        <w:t>综合服务平台、校报、广播、有线电视等传统载体，继续编制好《天津大学年鉴》《天津大学校务公报》等各类刊物出版物；综合利用会议、文件、宣传栏、简报等多种方式，及时主动地公开学校信息。特别</w:t>
      </w:r>
      <w:r>
        <w:rPr>
          <w:rFonts w:eastAsia="仿宋_GB2312" w:cs="宋体"/>
          <w:color w:val="000000" w:themeColor="text1"/>
          <w:kern w:val="0"/>
          <w:sz w:val="32"/>
          <w:szCs w:val="32"/>
          <w14:textFill>
            <w14:solidFill>
              <w14:schemeClr w14:val="tx1"/>
            </w14:solidFill>
          </w14:textFill>
        </w:rPr>
        <w:t>注重</w:t>
      </w:r>
      <w:r>
        <w:rPr>
          <w:rFonts w:eastAsia="仿宋_GB2312" w:cs="宋体" w:hint="eastAsia"/>
          <w:color w:val="000000" w:themeColor="text1"/>
          <w:kern w:val="0"/>
          <w:sz w:val="32"/>
          <w:szCs w:val="32"/>
          <w14:textFill>
            <w14:solidFill>
              <w14:schemeClr w14:val="tx1"/>
            </w14:solidFill>
          </w14:textFill>
        </w:rPr>
        <w:t>发挥</w:t>
      </w:r>
      <w:r>
        <w:rPr>
          <w:rFonts w:eastAsia="仿宋_GB2312" w:cs="宋体"/>
          <w:color w:val="000000" w:themeColor="text1"/>
          <w:kern w:val="0"/>
          <w:sz w:val="32"/>
          <w:szCs w:val="32"/>
          <w14:textFill>
            <w14:solidFill>
              <w14:schemeClr w14:val="tx1"/>
            </w14:solidFill>
          </w14:textFill>
        </w:rPr>
        <w:t>新媒体作用，继续建设好</w:t>
      </w:r>
      <w:r>
        <w:rPr>
          <w:rFonts w:eastAsia="仿宋_GB2312" w:cs="宋体" w:hint="eastAsia"/>
          <w:color w:val="000000" w:themeColor="text1"/>
          <w:kern w:val="0"/>
          <w:sz w:val="32"/>
          <w:szCs w:val="32"/>
          <w14:textFill>
            <w14:solidFill>
              <w14:schemeClr w14:val="tx1"/>
            </w14:solidFill>
          </w14:textFill>
        </w:rPr>
        <w:t>微博、</w:t>
      </w:r>
      <w:r>
        <w:rPr>
          <w:rFonts w:eastAsia="仿宋_GB2312" w:cs="宋体"/>
          <w:color w:val="000000" w:themeColor="text1"/>
          <w:kern w:val="0"/>
          <w:sz w:val="32"/>
          <w:szCs w:val="32"/>
          <w14:textFill>
            <w14:solidFill>
              <w14:schemeClr w14:val="tx1"/>
            </w14:solidFill>
          </w14:textFill>
        </w:rPr>
        <w:t>微信</w:t>
      </w:r>
      <w:r>
        <w:rPr>
          <w:rFonts w:eastAsia="仿宋_GB2312" w:cs="宋体" w:hint="eastAsia"/>
          <w:color w:val="000000" w:themeColor="text1"/>
          <w:kern w:val="0"/>
          <w:sz w:val="32"/>
          <w:szCs w:val="32"/>
          <w14:textFill>
            <w14:solidFill>
              <w14:schemeClr w14:val="tx1"/>
            </w14:solidFill>
          </w14:textFill>
        </w:rPr>
        <w:t>等</w:t>
      </w:r>
      <w:r>
        <w:rPr>
          <w:rFonts w:eastAsia="仿宋_GB2312" w:cs="宋体"/>
          <w:color w:val="000000" w:themeColor="text1"/>
          <w:kern w:val="0"/>
          <w:sz w:val="32"/>
          <w:szCs w:val="32"/>
          <w14:textFill>
            <w14:solidFill>
              <w14:schemeClr w14:val="tx1"/>
            </w14:solidFill>
          </w14:textFill>
        </w:rPr>
        <w:t>移动平台</w:t>
      </w:r>
      <w:r>
        <w:rPr>
          <w:rFonts w:eastAsia="仿宋_GB2312" w:cs="宋体" w:hint="eastAsia"/>
          <w:color w:val="000000" w:themeColor="text1"/>
          <w:kern w:val="0"/>
          <w:sz w:val="32"/>
          <w:szCs w:val="32"/>
          <w14:textFill>
            <w14:solidFill>
              <w14:schemeClr w14:val="tx1"/>
            </w14:solidFill>
          </w14:textFill>
        </w:rPr>
        <w:t>，充分</w:t>
      </w:r>
      <w:r>
        <w:rPr>
          <w:rFonts w:eastAsia="仿宋_GB2312" w:cs="宋体"/>
          <w:color w:val="000000" w:themeColor="text1"/>
          <w:kern w:val="0"/>
          <w:sz w:val="32"/>
          <w:szCs w:val="32"/>
          <w14:textFill>
            <w14:solidFill>
              <w14:schemeClr w14:val="tx1"/>
            </w14:solidFill>
          </w14:textFill>
        </w:rPr>
        <w:t>运用图片、</w:t>
      </w:r>
      <w:r>
        <w:rPr>
          <w:rFonts w:eastAsia="仿宋_GB2312" w:cs="宋体" w:hint="eastAsia"/>
          <w:color w:val="000000" w:themeColor="text1"/>
          <w:kern w:val="0"/>
          <w:sz w:val="32"/>
          <w:szCs w:val="32"/>
          <w14:textFill>
            <w14:solidFill>
              <w14:schemeClr w14:val="tx1"/>
            </w14:solidFill>
          </w14:textFill>
        </w:rPr>
        <w:t>图表</w:t>
      </w:r>
      <w:r>
        <w:rPr>
          <w:rFonts w:eastAsia="仿宋_GB2312" w:cs="宋体"/>
          <w:color w:val="000000" w:themeColor="text1"/>
          <w:kern w:val="0"/>
          <w:sz w:val="32"/>
          <w:szCs w:val="32"/>
          <w14:textFill>
            <w14:solidFill>
              <w14:schemeClr w14:val="tx1"/>
            </w14:solidFill>
          </w14:textFill>
        </w:rPr>
        <w:t>、视频等便于大众接受的解读方式，切实增强公开实效。</w:t>
      </w:r>
      <w:r>
        <w:rPr>
          <w:rFonts w:eastAsia="仿宋_GB2312" w:cs="宋体" w:hint="eastAsia"/>
          <w:b w:val="0"/>
          <w:bCs/>
          <w:color w:val="auto"/>
          <w:kern w:val="0"/>
          <w:sz w:val="32"/>
          <w:szCs w:val="32"/>
          <w:lang w:val="en-US" w:eastAsia="zh-CN"/>
        </w:rPr>
        <w:t>在主题教育期间，在天大新闻网、《天津大学报》上开设专版专栏，及时报道主题教育进展成效，推广好经验好做法。编发学校主题教育简报40期，学校启动推进主题教育和推动高质量发展等做法成效被中央主题教育简报选登，相关经验做法受到新华社、《人民日报》、《光明日报》、中央电视台等中央重点媒体报道20余次。</w:t>
      </w:r>
      <w:bookmarkStart w:id="0" w:name="_Toc142401042"/>
      <w:r>
        <w:rPr>
          <w:rFonts w:eastAsia="仿宋_GB2312" w:cs="宋体" w:hint="eastAsia"/>
          <w:b w:val="0"/>
          <w:bCs/>
          <w:color w:val="auto"/>
          <w:kern w:val="0"/>
          <w:sz w:val="32"/>
          <w:szCs w:val="32"/>
          <w:lang w:val="en-US" w:eastAsia="zh-CN"/>
        </w:rPr>
        <w:t>各院级党组织通过网站等平台主动做好宣传报道，营造了良好氛围。</w:t>
      </w:r>
      <w:bookmarkEnd w:id="0"/>
    </w:p>
    <w:p>
      <w:pPr>
        <w:overflowPunct w:val="0"/>
        <w:spacing w:line="560" w:lineRule="exact"/>
        <w:ind w:firstLine="640" w:firstLineChars="200"/>
        <w:rPr>
          <w:rFonts w:eastAsia="仿宋_GB2312" w:hint="eastAsia"/>
          <w:color w:val="auto"/>
          <w:sz w:val="32"/>
          <w:szCs w:val="32"/>
        </w:rPr>
        <w:sectPr>
          <w:footerReference w:type="default" r:id="rId6"/>
          <w:type w:val="nextPage"/>
          <w:pgSz w:w="11906" w:h="16838"/>
          <w:pgMar w:top="2098" w:right="1474" w:bottom="1984" w:left="1588" w:header="851" w:footer="992" w:gutter="0"/>
          <w:pgNumType w:start="3"/>
          <w:cols w:num="1" w:space="425"/>
          <w:titlePg w:val="0"/>
          <w:docGrid w:type="lines" w:linePitch="312" w:charSpace="0"/>
        </w:sectPr>
      </w:pPr>
      <w:r>
        <w:rPr>
          <w:rFonts w:eastAsia="仿宋_GB2312" w:cs="宋体" w:hint="eastAsia"/>
          <w:b/>
          <w:color w:val="auto"/>
          <w:kern w:val="0"/>
          <w:sz w:val="32"/>
          <w:szCs w:val="32"/>
          <w:lang w:val="en-US" w:eastAsia="zh-CN"/>
        </w:rPr>
        <w:t>3.推进“一网通办”建设数字化校园</w:t>
      </w:r>
      <w:r>
        <w:rPr>
          <w:rFonts w:eastAsia="仿宋_GB2312" w:cs="宋体" w:hint="eastAsia"/>
          <w:b/>
          <w:color w:val="auto"/>
          <w:kern w:val="0"/>
          <w:sz w:val="32"/>
          <w:szCs w:val="32"/>
        </w:rPr>
        <w:t>。</w:t>
      </w:r>
      <w:r>
        <w:rPr>
          <w:rFonts w:eastAsia="仿宋_GB2312" w:cs="宋体" w:hint="eastAsia"/>
          <w:b w:val="0"/>
          <w:bCs/>
          <w:color w:val="auto"/>
          <w:kern w:val="0"/>
          <w:sz w:val="32"/>
          <w:szCs w:val="32"/>
        </w:rPr>
        <w:t>开发</w:t>
      </w:r>
      <w:r>
        <w:rPr>
          <w:rFonts w:eastAsia="仿宋_GB2312" w:cs="宋体" w:hint="eastAsia"/>
          <w:b w:val="0"/>
          <w:bCs/>
          <w:color w:val="auto"/>
          <w:kern w:val="0"/>
          <w:sz w:val="32"/>
          <w:szCs w:val="32"/>
          <w:lang w:val="en-US" w:eastAsia="zh-CN"/>
        </w:rPr>
        <w:t>并上线</w:t>
      </w:r>
      <w:r>
        <w:rPr>
          <w:rFonts w:eastAsia="仿宋_GB2312" w:cs="宋体" w:hint="eastAsia"/>
          <w:b w:val="0"/>
          <w:bCs/>
          <w:color w:val="auto"/>
          <w:kern w:val="0"/>
          <w:sz w:val="32"/>
          <w:szCs w:val="32"/>
        </w:rPr>
        <w:t>全校数字化应用集成的载体融合门户APP，推进“融合门户、一网通办”平台正式上线，替代原“办公网”面向全校师生提供服务。推出PC及移动APP，聚合了邮箱、图书、消费等师生状态数据，承载办公网消息、校历、日程、校发公文、会议室预定等校内办公、服务工具集，聚合展现全校新闻、通知类数据</w:t>
      </w:r>
      <w:r>
        <w:rPr>
          <w:rFonts w:eastAsia="仿宋_GB2312" w:cs="宋体" w:hint="eastAsia"/>
          <w:b w:val="0"/>
          <w:bCs/>
          <w:color w:val="auto"/>
          <w:kern w:val="0"/>
          <w:sz w:val="32"/>
          <w:szCs w:val="32"/>
          <w:lang w:eastAsia="zh-CN"/>
        </w:rPr>
        <w:t>，</w:t>
      </w:r>
      <w:r>
        <w:rPr>
          <w:rFonts w:eastAsia="仿宋_GB2312" w:cs="宋体" w:hint="eastAsia"/>
          <w:b w:val="0"/>
          <w:bCs/>
          <w:color w:val="auto"/>
          <w:kern w:val="0"/>
          <w:sz w:val="32"/>
          <w:szCs w:val="32"/>
          <w:lang w:val="en-US" w:eastAsia="zh-CN"/>
        </w:rPr>
        <w:t>向师生提供更便捷有效的信息公开服务。</w:t>
      </w:r>
    </w:p>
    <w:p>
      <w:pPr>
        <w:numPr>
          <w:ilvl w:val="0"/>
          <w:numId w:val="0"/>
        </w:numPr>
        <w:spacing w:line="560" w:lineRule="exact"/>
        <w:ind w:firstLine="640" w:firstLineChars="200"/>
        <w:jc w:val="left"/>
        <w:rPr>
          <w:rFonts w:eastAsia="仿宋_GB2312" w:hint="eastAsia"/>
          <w:color w:val="000000" w:themeColor="text1"/>
          <w:sz w:val="32"/>
          <w:szCs w:val="32"/>
          <w14:textFill>
            <w14:solidFill>
              <w14:schemeClr w14:val="tx1"/>
            </w14:solidFill>
          </w14:textFill>
        </w:rPr>
      </w:pPr>
      <w:r>
        <w:rPr>
          <w:rFonts w:eastAsia="仿宋_GB2312" w:hint="eastAsia"/>
          <w:b/>
          <w:bCs/>
          <w:color w:val="000000" w:themeColor="text1"/>
          <w:sz w:val="32"/>
          <w:szCs w:val="32"/>
          <w:lang w:val="en-US" w:eastAsia="zh-CN"/>
          <w14:textFill>
            <w14:solidFill>
              <w14:schemeClr w14:val="tx1"/>
            </w14:solidFill>
          </w14:textFill>
        </w:rPr>
        <w:t>4.</w:t>
      </w:r>
      <w:r>
        <w:rPr>
          <w:rFonts w:eastAsia="仿宋_GB2312" w:hint="eastAsia"/>
          <w:b/>
          <w:bCs/>
          <w:color w:val="000000" w:themeColor="text1"/>
          <w:sz w:val="32"/>
          <w:szCs w:val="32"/>
          <w14:textFill>
            <w14:solidFill>
              <w14:schemeClr w14:val="tx1"/>
            </w14:solidFill>
          </w14:textFill>
        </w:rPr>
        <w:t>畅通师生意见反馈渠道</w:t>
      </w:r>
      <w:r>
        <w:rPr>
          <w:rFonts w:eastAsia="仿宋_GB2312" w:hint="eastAsia"/>
          <w:b/>
          <w:bCs/>
          <w:color w:val="000000" w:themeColor="text1"/>
          <w:sz w:val="32"/>
          <w:szCs w:val="32"/>
          <w:lang w:eastAsia="zh-CN"/>
          <w14:textFill>
            <w14:solidFill>
              <w14:schemeClr w14:val="tx1"/>
            </w14:solidFill>
          </w14:textFill>
        </w:rPr>
        <w:t>。</w:t>
      </w:r>
      <w:r>
        <w:rPr>
          <w:rFonts w:eastAsia="仿宋_GB2312" w:hint="eastAsia"/>
          <w:sz w:val="32"/>
          <w:szCs w:val="32"/>
        </w:rPr>
        <w:t>开展好“我为师生办</w:t>
      </w:r>
      <w:r>
        <w:rPr>
          <w:rFonts w:eastAsia="仿宋_GB2312" w:hint="eastAsia"/>
          <w:color w:val="000000" w:themeColor="text1"/>
          <w:sz w:val="32"/>
          <w:szCs w:val="32"/>
          <w14:textFill>
            <w14:solidFill>
              <w14:schemeClr w14:val="tx1"/>
            </w14:solidFill>
          </w14:textFill>
        </w:rPr>
        <w:t>实事”实践活动，确定“</w:t>
      </w:r>
      <w:r>
        <w:rPr>
          <w:rFonts w:eastAsia="仿宋_GB2312" w:hint="eastAsia"/>
          <w:color w:val="000000" w:themeColor="text1"/>
          <w:sz w:val="32"/>
          <w:szCs w:val="32"/>
          <w:lang w:val="en-US" w:eastAsia="zh-CN"/>
          <w14:textFill>
            <w14:solidFill>
              <w14:schemeClr w14:val="tx1"/>
            </w14:solidFill>
          </w14:textFill>
        </w:rPr>
        <w:t>毕业生就业百日冲刺行动</w:t>
      </w:r>
      <w:r>
        <w:rPr>
          <w:rFonts w:eastAsia="仿宋_GB2312" w:hint="eastAsia"/>
          <w:color w:val="000000" w:themeColor="text1"/>
          <w:sz w:val="32"/>
          <w:szCs w:val="32"/>
          <w14:textFill>
            <w14:solidFill>
              <w14:schemeClr w14:val="tx1"/>
            </w14:solidFill>
          </w14:textFill>
        </w:rPr>
        <w:t>”“</w:t>
      </w:r>
      <w:r>
        <w:rPr>
          <w:rFonts w:eastAsia="仿宋_GB2312" w:hint="eastAsia"/>
          <w:color w:val="000000" w:themeColor="text1"/>
          <w:sz w:val="32"/>
          <w:szCs w:val="32"/>
          <w:lang w:val="en-US" w:eastAsia="zh-CN"/>
          <w14:textFill>
            <w14:solidFill>
              <w14:schemeClr w14:val="tx1"/>
            </w14:solidFill>
          </w14:textFill>
        </w:rPr>
        <w:t>加强教职工健康大讲堂课程建设</w:t>
      </w:r>
      <w:r>
        <w:rPr>
          <w:rFonts w:eastAsia="仿宋_GB2312" w:hint="eastAsia"/>
          <w:color w:val="000000" w:themeColor="text1"/>
          <w:sz w:val="32"/>
          <w:szCs w:val="32"/>
          <w14:textFill>
            <w14:solidFill>
              <w14:schemeClr w14:val="tx1"/>
            </w14:solidFill>
          </w14:textFill>
        </w:rPr>
        <w:t>”等“我为师生办实事”校级重点项目</w:t>
      </w:r>
      <w:r>
        <w:rPr>
          <w:rFonts w:eastAsia="仿宋_GB2312" w:hint="eastAsia"/>
          <w:color w:val="000000" w:themeColor="text1"/>
          <w:sz w:val="32"/>
          <w:szCs w:val="32"/>
          <w:lang w:val="en-US" w:eastAsia="zh-CN"/>
          <w14:textFill>
            <w14:solidFill>
              <w14:schemeClr w14:val="tx1"/>
            </w14:solidFill>
          </w14:textFill>
        </w:rPr>
        <w:t>14</w:t>
      </w:r>
      <w:r>
        <w:rPr>
          <w:rFonts w:eastAsia="仿宋_GB2312" w:hint="eastAsia"/>
          <w:color w:val="000000" w:themeColor="text1"/>
          <w:sz w:val="32"/>
          <w:szCs w:val="32"/>
          <w14:textFill>
            <w14:solidFill>
              <w14:schemeClr w14:val="tx1"/>
            </w14:solidFill>
          </w14:textFill>
        </w:rPr>
        <w:t>项，明确时间表和路线图。进一步发挥校院两级工会组织、学生会、研究生会作用，使广大师生参与到学校事业决策中，充分了解学校办学情况和发展规划。通过新媒体</w:t>
      </w:r>
      <w:r>
        <w:rPr>
          <w:rFonts w:eastAsia="仿宋_GB2312"/>
          <w:color w:val="000000" w:themeColor="text1"/>
          <w:sz w:val="32"/>
          <w:szCs w:val="32"/>
          <w14:textFill>
            <w14:solidFill>
              <w14:schemeClr w14:val="tx1"/>
            </w14:solidFill>
          </w14:textFill>
        </w:rPr>
        <w:t>平台、</w:t>
      </w:r>
      <w:r>
        <w:rPr>
          <w:rFonts w:eastAsia="仿宋_GB2312" w:hint="eastAsia"/>
          <w:color w:val="000000" w:themeColor="text1"/>
          <w:sz w:val="32"/>
          <w:szCs w:val="32"/>
          <w14:textFill>
            <w14:solidFill>
              <w14:schemeClr w14:val="tx1"/>
            </w14:solidFill>
          </w14:textFill>
        </w:rPr>
        <w:t>校领导学生</w:t>
      </w:r>
      <w:r>
        <w:rPr>
          <w:rFonts w:eastAsia="仿宋_GB2312"/>
          <w:color w:val="000000" w:themeColor="text1"/>
          <w:sz w:val="32"/>
          <w:szCs w:val="32"/>
          <w14:textFill>
            <w14:solidFill>
              <w14:schemeClr w14:val="tx1"/>
            </w14:solidFill>
          </w14:textFill>
        </w:rPr>
        <w:t>接待日、</w:t>
      </w:r>
      <w:r>
        <w:rPr>
          <w:rFonts w:eastAsia="仿宋_GB2312" w:hint="eastAsia"/>
          <w:color w:val="000000" w:themeColor="text1"/>
          <w:sz w:val="32"/>
          <w:szCs w:val="32"/>
          <w14:textFill>
            <w14:solidFill>
              <w14:schemeClr w14:val="tx1"/>
            </w14:solidFill>
          </w14:textFill>
        </w:rPr>
        <w:t>校领导与青年教师午餐会、校领导定期向离退休老同志汇报学校工作等途径</w:t>
      </w:r>
      <w:r>
        <w:rPr>
          <w:rFonts w:eastAsia="仿宋_GB2312"/>
          <w:color w:val="000000" w:themeColor="text1"/>
          <w:sz w:val="32"/>
          <w:szCs w:val="32"/>
          <w14:textFill>
            <w14:solidFill>
              <w14:schemeClr w14:val="tx1"/>
            </w14:solidFill>
          </w14:textFill>
        </w:rPr>
        <w:t>，</w:t>
      </w:r>
      <w:r>
        <w:rPr>
          <w:rFonts w:eastAsia="仿宋_GB2312" w:hint="eastAsia"/>
          <w:color w:val="000000" w:themeColor="text1"/>
          <w:sz w:val="32"/>
          <w:szCs w:val="32"/>
          <w14:textFill>
            <w14:solidFill>
              <w14:schemeClr w14:val="tx1"/>
            </w14:solidFill>
          </w14:textFill>
        </w:rPr>
        <w:t>使</w:t>
      </w:r>
      <w:r>
        <w:rPr>
          <w:rFonts w:eastAsia="仿宋_GB2312"/>
          <w:color w:val="000000" w:themeColor="text1"/>
          <w:sz w:val="32"/>
          <w:szCs w:val="32"/>
          <w14:textFill>
            <w14:solidFill>
              <w14:schemeClr w14:val="tx1"/>
            </w14:solidFill>
          </w14:textFill>
        </w:rPr>
        <w:t>信息公开</w:t>
      </w:r>
      <w:r>
        <w:rPr>
          <w:rFonts w:eastAsia="仿宋_GB2312" w:hint="eastAsia"/>
          <w:color w:val="000000" w:themeColor="text1"/>
          <w:sz w:val="32"/>
          <w:szCs w:val="32"/>
          <w14:textFill>
            <w14:solidFill>
              <w14:schemeClr w14:val="tx1"/>
            </w14:solidFill>
          </w14:textFill>
        </w:rPr>
        <w:t>工作更加接地气、聚人气</w:t>
      </w:r>
      <w:r>
        <w:rPr>
          <w:rFonts w:eastAsia="仿宋_GB2312"/>
          <w:color w:val="000000" w:themeColor="text1"/>
          <w:sz w:val="32"/>
          <w:szCs w:val="32"/>
          <w14:textFill>
            <w14:solidFill>
              <w14:schemeClr w14:val="tx1"/>
            </w14:solidFill>
          </w14:textFill>
        </w:rPr>
        <w:t>，公开实效</w:t>
      </w:r>
      <w:r>
        <w:rPr>
          <w:rFonts w:eastAsia="仿宋_GB2312" w:hint="eastAsia"/>
          <w:color w:val="000000" w:themeColor="text1"/>
          <w:sz w:val="32"/>
          <w:szCs w:val="32"/>
          <w14:textFill>
            <w14:solidFill>
              <w14:schemeClr w14:val="tx1"/>
            </w14:solidFill>
          </w14:textFill>
        </w:rPr>
        <w:t>进一步增强，更好地为</w:t>
      </w:r>
      <w:r>
        <w:rPr>
          <w:rFonts w:eastAsia="仿宋_GB2312"/>
          <w:color w:val="000000" w:themeColor="text1"/>
          <w:sz w:val="32"/>
          <w:szCs w:val="32"/>
          <w14:textFill>
            <w14:solidFill>
              <w14:schemeClr w14:val="tx1"/>
            </w14:solidFill>
          </w14:textFill>
        </w:rPr>
        <w:t>学校各项事业发展服务。</w:t>
      </w:r>
      <w:r>
        <w:rPr>
          <w:rFonts w:eastAsia="仿宋_GB2312" w:hint="eastAsia"/>
          <w:color w:val="000000" w:themeColor="text1"/>
          <w:sz w:val="32"/>
          <w:szCs w:val="32"/>
          <w:lang w:val="en-US" w:eastAsia="zh-CN"/>
          <w14:textFill>
            <w14:solidFill>
              <w14:schemeClr w14:val="tx1"/>
            </w14:solidFill>
          </w14:textFill>
        </w:rPr>
        <w:t>持续</w:t>
      </w:r>
      <w:r>
        <w:rPr>
          <w:rFonts w:eastAsia="仿宋_GB2312" w:hint="eastAsia"/>
          <w:color w:val="000000" w:themeColor="text1"/>
          <w:sz w:val="32"/>
          <w:szCs w:val="32"/>
          <w14:textFill>
            <w14:solidFill>
              <w14:schemeClr w14:val="tx1"/>
            </w14:solidFill>
          </w14:textFill>
        </w:rPr>
        <w:t>畅通线上服务监督交流反馈渠道</w:t>
      </w:r>
      <w:r>
        <w:rPr>
          <w:rFonts w:eastAsia="仿宋_GB2312" w:hint="eastAsia"/>
          <w:color w:val="000000" w:themeColor="text1"/>
          <w:sz w:val="32"/>
          <w:szCs w:val="32"/>
          <w:lang w:eastAsia="zh-CN"/>
          <w14:textFill>
            <w14:solidFill>
              <w14:schemeClr w14:val="tx1"/>
            </w14:solidFill>
          </w14:textFill>
        </w:rPr>
        <w:t>，</w:t>
      </w:r>
      <w:r>
        <w:rPr>
          <w:rFonts w:eastAsia="仿宋_GB2312" w:hint="eastAsia"/>
          <w:color w:val="000000" w:themeColor="text1"/>
          <w:sz w:val="32"/>
          <w:szCs w:val="32"/>
          <w:lang w:val="en-US" w:eastAsia="zh-CN"/>
          <w14:textFill>
            <w14:solidFill>
              <w14:schemeClr w14:val="tx1"/>
            </w14:solidFill>
          </w14:textFill>
        </w:rPr>
        <w:t>进一步发挥</w:t>
      </w:r>
      <w:r>
        <w:rPr>
          <w:rFonts w:eastAsia="仿宋_GB2312" w:hint="eastAsia"/>
          <w:color w:val="000000" w:themeColor="text1"/>
          <w:sz w:val="32"/>
          <w:szCs w:val="32"/>
          <w:lang w:eastAsia="zh-CN"/>
          <w14:textFill>
            <w14:solidFill>
              <w14:schemeClr w14:val="tx1"/>
            </w14:solidFill>
          </w14:textFill>
        </w:rPr>
        <w:t>校内求实论坛（微北洋）校务专区版块，对学生提出的问题进行整理、分类，并及时流转给有关单位，提醒、收集、汇总各单位答复并及时反馈至学生，听取学生评价，每月汇总形成台账，形成学情专报；</w:t>
      </w:r>
      <w:r>
        <w:rPr>
          <w:rFonts w:eastAsia="仿宋_GB2312" w:hint="eastAsia"/>
          <w:color w:val="000000" w:themeColor="text1"/>
          <w:sz w:val="32"/>
          <w:szCs w:val="32"/>
          <w:lang w:val="en-US" w:eastAsia="zh-CN"/>
          <w14:textFill>
            <w14:solidFill>
              <w14:schemeClr w14:val="tx1"/>
            </w14:solidFill>
          </w14:textFill>
        </w:rPr>
        <w:t>建好</w:t>
      </w:r>
      <w:r>
        <w:rPr>
          <w:rFonts w:eastAsia="仿宋_GB2312" w:hint="eastAsia"/>
          <w:color w:val="000000" w:themeColor="text1"/>
          <w:sz w:val="32"/>
          <w:szCs w:val="32"/>
          <w:lang w:eastAsia="zh-CN"/>
          <w14:textFill>
            <w14:solidFill>
              <w14:schemeClr w14:val="tx1"/>
            </w14:solidFill>
          </w14:textFill>
        </w:rPr>
        <w:t>校学生会公众号开设“棠小果”问答专栏，以青年人习惯的表达方式，就学生对教育教学、生活服务、成长成才等提出的意见建议，持续公布学校解决落实问题的举措，回应学生关切，同时及时发布学校重要信息。</w:t>
      </w:r>
    </w:p>
    <w:p>
      <w:pPr>
        <w:numPr>
          <w:ilvl w:val="0"/>
          <w:numId w:val="0"/>
        </w:numPr>
        <w:spacing w:line="560" w:lineRule="exact"/>
        <w:ind w:firstLine="640" w:firstLineChars="200"/>
        <w:jc w:val="left"/>
        <w:rPr>
          <w:rFonts w:eastAsia="仿宋_GB2312"/>
          <w:color w:val="auto"/>
          <w:sz w:val="32"/>
          <w:szCs w:val="32"/>
        </w:rPr>
        <w:sectPr>
          <w:footerReference w:type="default" r:id="rId7"/>
          <w:type w:val="nextPage"/>
          <w:pgSz w:w="11906" w:h="16838"/>
          <w:pgMar w:top="2098" w:right="1474" w:bottom="1984" w:left="1588" w:header="851" w:footer="992" w:gutter="0"/>
          <w:pgNumType w:start="4"/>
          <w:cols w:num="1" w:space="425"/>
          <w:titlePg w:val="0"/>
          <w:docGrid w:type="lines" w:linePitch="312" w:charSpace="0"/>
        </w:sectPr>
      </w:pPr>
      <w:r>
        <w:rPr>
          <w:rFonts w:eastAsia="仿宋_GB2312" w:hint="eastAsia"/>
          <w:b/>
          <w:bCs/>
          <w:color w:val="000000" w:themeColor="text1"/>
          <w:sz w:val="32"/>
          <w:szCs w:val="32"/>
          <w:lang w:val="en-US" w:eastAsia="zh-CN"/>
          <w14:textFill>
            <w14:solidFill>
              <w14:schemeClr w14:val="tx1"/>
            </w14:solidFill>
          </w14:textFill>
        </w:rPr>
        <w:t>5.</w:t>
      </w:r>
      <w:r>
        <w:rPr>
          <w:rFonts w:eastAsia="仿宋_GB2312" w:hint="eastAsia"/>
          <w:b/>
          <w:bCs/>
          <w:color w:val="000000" w:themeColor="text1"/>
          <w:sz w:val="32"/>
          <w:szCs w:val="32"/>
          <w14:textFill>
            <w14:solidFill>
              <w14:schemeClr w14:val="tx1"/>
            </w14:solidFill>
          </w14:textFill>
        </w:rPr>
        <w:t>进一步转变工作作风。</w:t>
      </w:r>
      <w:r>
        <w:rPr>
          <w:rFonts w:eastAsia="仿宋_GB2312" w:hint="eastAsia"/>
          <w:color w:val="000000" w:themeColor="text1"/>
          <w:sz w:val="32"/>
          <w:szCs w:val="32"/>
          <w14:textFill>
            <w14:solidFill>
              <w14:schemeClr w14:val="tx1"/>
            </w14:solidFill>
          </w14:textFill>
        </w:rPr>
        <w:t>学校</w:t>
      </w:r>
      <w:r>
        <w:rPr>
          <w:rFonts w:eastAsia="仿宋_GB2312"/>
          <w:color w:val="000000" w:themeColor="text1"/>
          <w:sz w:val="32"/>
          <w:szCs w:val="32"/>
          <w14:textFill>
            <w14:solidFill>
              <w14:schemeClr w14:val="tx1"/>
            </w14:solidFill>
          </w14:textFill>
        </w:rPr>
        <w:t>将信息公开工作作为密切与群众联系、转变工作作风的重要抓手</w:t>
      </w:r>
      <w:r>
        <w:rPr>
          <w:rFonts w:eastAsia="仿宋_GB2312" w:hint="eastAsia"/>
          <w:color w:val="000000" w:themeColor="text1"/>
          <w:sz w:val="32"/>
          <w:szCs w:val="32"/>
          <w14:textFill>
            <w14:solidFill>
              <w14:schemeClr w14:val="tx1"/>
            </w14:solidFill>
          </w14:textFill>
        </w:rPr>
        <w:t>，</w:t>
      </w:r>
      <w:r>
        <w:rPr>
          <w:rFonts w:eastAsia="仿宋_GB2312"/>
          <w:color w:val="000000" w:themeColor="text1"/>
          <w:sz w:val="32"/>
          <w:szCs w:val="32"/>
          <w14:textFill>
            <w14:solidFill>
              <w14:schemeClr w14:val="tx1"/>
            </w14:solidFill>
          </w14:textFill>
        </w:rPr>
        <w:t>作为民主管理</w:t>
      </w:r>
      <w:r>
        <w:rPr>
          <w:rFonts w:eastAsia="仿宋_GB2312" w:hint="eastAsia"/>
          <w:color w:val="000000" w:themeColor="text1"/>
          <w:sz w:val="32"/>
          <w:szCs w:val="32"/>
          <w14:textFill>
            <w14:solidFill>
              <w14:schemeClr w14:val="tx1"/>
            </w14:solidFill>
          </w14:textFill>
        </w:rPr>
        <w:t>、</w:t>
      </w:r>
      <w:r>
        <w:rPr>
          <w:rFonts w:eastAsia="仿宋_GB2312"/>
          <w:color w:val="000000" w:themeColor="text1"/>
          <w:sz w:val="32"/>
          <w:szCs w:val="32"/>
          <w14:textFill>
            <w14:solidFill>
              <w14:schemeClr w14:val="tx1"/>
            </w14:solidFill>
          </w14:textFill>
        </w:rPr>
        <w:t>依法治校</w:t>
      </w:r>
      <w:r>
        <w:rPr>
          <w:rFonts w:eastAsia="仿宋_GB2312" w:hint="eastAsia"/>
          <w:color w:val="000000" w:themeColor="text1"/>
          <w:sz w:val="32"/>
          <w:szCs w:val="32"/>
          <w14:textFill>
            <w14:solidFill>
              <w14:schemeClr w14:val="tx1"/>
            </w14:solidFill>
          </w14:textFill>
        </w:rPr>
        <w:t>、</w:t>
      </w:r>
      <w:r>
        <w:rPr>
          <w:rFonts w:eastAsia="仿宋_GB2312"/>
          <w:color w:val="000000" w:themeColor="text1"/>
          <w:sz w:val="32"/>
          <w:szCs w:val="32"/>
          <w14:textFill>
            <w14:solidFill>
              <w14:schemeClr w14:val="tx1"/>
            </w14:solidFill>
          </w14:textFill>
        </w:rPr>
        <w:t>推进内部控制建设的重要保障，</w:t>
      </w:r>
    </w:p>
    <w:p>
      <w:pPr>
        <w:numPr>
          <w:ilvl w:val="0"/>
          <w:numId w:val="0"/>
        </w:numPr>
        <w:spacing w:line="560" w:lineRule="exact"/>
        <w:ind w:firstLine="640" w:firstLineChars="200"/>
        <w:jc w:val="left"/>
        <w:rPr>
          <w:rFonts w:eastAsia="仿宋_GB2312"/>
          <w:color w:val="auto"/>
          <w:sz w:val="32"/>
          <w:szCs w:val="32"/>
        </w:rPr>
      </w:pPr>
      <w:r>
        <w:rPr>
          <w:rFonts w:eastAsia="仿宋_GB2312" w:hint="eastAsia"/>
          <w:color w:val="000000" w:themeColor="text1"/>
          <w:sz w:val="32"/>
          <w:szCs w:val="32"/>
          <w14:textFill>
            <w14:solidFill>
              <w14:schemeClr w14:val="tx1"/>
            </w14:solidFill>
          </w14:textFill>
        </w:rPr>
        <w:t>继续坚持服务意识到位、服务态度到位、服务质量到位的“三到位原则”，紧紧抓住“管理权限、办事依据、办事程序、办事标准、办事纪律、办事结果”六个公开的关键环节，继续坚持从被动公开向主动公开、从结果公开向过程公开的理念</w:t>
      </w:r>
      <w:r>
        <w:rPr>
          <w:rFonts w:eastAsia="仿宋_GB2312" w:hint="eastAsia"/>
          <w:color w:val="000000" w:themeColor="text1"/>
          <w:sz w:val="32"/>
          <w:szCs w:val="32"/>
          <w:lang w:val="en-US" w:eastAsia="zh-CN"/>
          <w14:textFill>
            <w14:solidFill>
              <w14:schemeClr w14:val="tx1"/>
            </w14:solidFill>
          </w14:textFill>
        </w:rPr>
        <w:t>做好信息公开工作</w:t>
      </w:r>
      <w:r>
        <w:rPr>
          <w:rFonts w:eastAsia="仿宋_GB2312" w:hint="eastAsia"/>
          <w:color w:val="auto"/>
          <w:sz w:val="32"/>
          <w:szCs w:val="32"/>
          <w:lang w:val="en-US" w:eastAsia="zh-CN"/>
        </w:rPr>
        <w:t>。印发《中共天津大学委员会关于贯彻落实〈中共中央政治局贯彻落实中央八项规定实施细则〉精神的实施办法》，明确要推动党务校务信息公开，注重党务公开、校务公开、信息公开衔接联动，依法依规积极稳妥推动党务公开，加强学校重大决策事项公开。</w:t>
      </w:r>
      <w:r>
        <w:rPr>
          <w:rFonts w:eastAsia="仿宋_GB2312" w:cs="宋体" w:hint="eastAsia"/>
          <w:b w:val="0"/>
          <w:bCs/>
          <w:color w:val="auto"/>
          <w:kern w:val="0"/>
          <w:sz w:val="32"/>
          <w:szCs w:val="32"/>
          <w:lang w:val="en-US" w:eastAsia="zh-CN"/>
        </w:rPr>
        <w:t>在主题教育期间，深入基层师生开展调查研究，通过收集师生对信息公开的需求、意见和建议，积极探索破题新思路，致力于打通信息公开服务“最后一公里”。</w:t>
      </w:r>
    </w:p>
    <w:p>
      <w:pPr>
        <w:overflowPunct w:val="0"/>
        <w:spacing w:before="156" w:beforeLines="50" w:after="156" w:afterLines="50" w:line="560" w:lineRule="exact"/>
        <w:ind w:firstLine="640" w:firstLineChars="200"/>
        <w:rPr>
          <w:rFonts w:eastAsia="黑体" w:cs="宋体"/>
          <w:color w:val="000000" w:themeColor="text1"/>
          <w:kern w:val="0"/>
          <w:sz w:val="32"/>
          <w:szCs w:val="32"/>
          <w14:textFill>
            <w14:solidFill>
              <w14:schemeClr w14:val="tx1"/>
            </w14:solidFill>
          </w14:textFill>
        </w:rPr>
      </w:pPr>
      <w:r>
        <w:rPr>
          <w:rFonts w:eastAsia="黑体" w:cs="宋体" w:hint="eastAsia"/>
          <w:color w:val="000000" w:themeColor="text1"/>
          <w:kern w:val="0"/>
          <w:sz w:val="32"/>
          <w:szCs w:val="32"/>
          <w14:textFill>
            <w14:solidFill>
              <w14:schemeClr w14:val="tx1"/>
            </w14:solidFill>
          </w14:textFill>
        </w:rPr>
        <w:t>二、主动公开学校信息情况</w:t>
      </w:r>
    </w:p>
    <w:p>
      <w:pPr>
        <w:keepNext w:val="0"/>
        <w:keepLines w:val="0"/>
        <w:pageBreakBefore w:val="0"/>
        <w:widowControl w:val="0"/>
        <w:kinsoku/>
        <w:wordWrap/>
        <w:overflowPunct w:val="0"/>
        <w:topLinePunct w:val="0"/>
        <w:autoSpaceDE/>
        <w:autoSpaceDN/>
        <w:bidi w:val="0"/>
        <w:adjustRightInd/>
        <w:snapToGrid/>
        <w:spacing w:line="520" w:lineRule="exact"/>
        <w:ind w:firstLine="640" w:firstLineChars="200"/>
        <w:textAlignment w:val="auto"/>
        <w:rPr>
          <w:rFonts w:eastAsia="仿宋_GB2312" w:cs="宋体"/>
          <w:color w:val="000000" w:themeColor="text1"/>
          <w:kern w:val="0"/>
          <w:sz w:val="32"/>
          <w:szCs w:val="32"/>
          <w14:textFill>
            <w14:solidFill>
              <w14:schemeClr w14:val="tx1"/>
            </w14:solidFill>
          </w14:textFill>
        </w:rPr>
      </w:pPr>
      <w:r>
        <w:rPr>
          <w:rFonts w:eastAsia="仿宋_GB2312" w:cs="宋体" w:hint="eastAsia"/>
          <w:color w:val="000000" w:themeColor="text1"/>
          <w:kern w:val="0"/>
          <w:sz w:val="32"/>
          <w:szCs w:val="32"/>
          <w14:textFill>
            <w14:solidFill>
              <w14:schemeClr w14:val="tx1"/>
            </w14:solidFill>
          </w14:textFill>
        </w:rPr>
        <w:t>202</w:t>
      </w:r>
      <w:r>
        <w:rPr>
          <w:rFonts w:eastAsia="仿宋_GB2312" w:cs="宋体" w:hint="eastAsia"/>
          <w:color w:val="000000" w:themeColor="text1"/>
          <w:kern w:val="0"/>
          <w:sz w:val="32"/>
          <w:szCs w:val="32"/>
          <w:lang w:val="en-US" w:eastAsia="zh-CN"/>
          <w14:textFill>
            <w14:solidFill>
              <w14:schemeClr w14:val="tx1"/>
            </w14:solidFill>
          </w14:textFill>
        </w:rPr>
        <w:t>2</w:t>
      </w:r>
      <w:r>
        <w:rPr>
          <w:rFonts w:eastAsia="仿宋_GB2312" w:cs="宋体" w:hint="eastAsia"/>
          <w:color w:val="000000" w:themeColor="text1"/>
          <w:kern w:val="0"/>
          <w:sz w:val="32"/>
          <w:szCs w:val="32"/>
          <w14:textFill>
            <w14:solidFill>
              <w14:schemeClr w14:val="tx1"/>
            </w14:solidFill>
          </w14:textFill>
        </w:rPr>
        <w:t>-202</w:t>
      </w:r>
      <w:r>
        <w:rPr>
          <w:rFonts w:eastAsia="仿宋_GB2312" w:cs="宋体" w:hint="eastAsia"/>
          <w:color w:val="000000" w:themeColor="text1"/>
          <w:kern w:val="0"/>
          <w:sz w:val="32"/>
          <w:szCs w:val="32"/>
          <w:lang w:val="en-US" w:eastAsia="zh-CN"/>
          <w14:textFill>
            <w14:solidFill>
              <w14:schemeClr w14:val="tx1"/>
            </w14:solidFill>
          </w14:textFill>
        </w:rPr>
        <w:t>3</w:t>
      </w:r>
      <w:r>
        <w:rPr>
          <w:rFonts w:eastAsia="仿宋_GB2312" w:cs="宋体" w:hint="eastAsia"/>
          <w:color w:val="000000" w:themeColor="text1"/>
          <w:kern w:val="0"/>
          <w:sz w:val="32"/>
          <w:szCs w:val="32"/>
          <w14:textFill>
            <w14:solidFill>
              <w14:schemeClr w14:val="tx1"/>
            </w14:solidFill>
          </w14:textFill>
        </w:rPr>
        <w:t>学年度，天津大学在</w:t>
      </w:r>
      <w:r>
        <w:rPr>
          <w:rFonts w:eastAsia="仿宋_GB2312" w:cs="宋体"/>
          <w:color w:val="000000" w:themeColor="text1"/>
          <w:kern w:val="0"/>
          <w:sz w:val="32"/>
          <w:szCs w:val="32"/>
          <w14:textFill>
            <w14:solidFill>
              <w14:schemeClr w14:val="tx1"/>
            </w14:solidFill>
          </w14:textFill>
        </w:rPr>
        <w:t>《</w:t>
      </w:r>
      <w:r>
        <w:rPr>
          <w:rFonts w:eastAsia="仿宋_GB2312" w:cs="宋体" w:hint="eastAsia"/>
          <w:color w:val="000000" w:themeColor="text1"/>
          <w:kern w:val="0"/>
          <w:sz w:val="32"/>
          <w:szCs w:val="32"/>
          <w14:textFill>
            <w14:solidFill>
              <w14:schemeClr w14:val="tx1"/>
            </w14:solidFill>
          </w14:textFill>
        </w:rPr>
        <w:t>清单</w:t>
      </w:r>
      <w:r>
        <w:rPr>
          <w:rFonts w:eastAsia="仿宋_GB2312" w:cs="宋体"/>
          <w:color w:val="000000" w:themeColor="text1"/>
          <w:kern w:val="0"/>
          <w:sz w:val="32"/>
          <w:szCs w:val="32"/>
          <w14:textFill>
            <w14:solidFill>
              <w14:schemeClr w14:val="tx1"/>
            </w14:solidFill>
          </w14:textFill>
        </w:rPr>
        <w:t>》</w:t>
      </w:r>
      <w:r>
        <w:rPr>
          <w:rFonts w:eastAsia="仿宋_GB2312" w:cs="宋体" w:hint="eastAsia"/>
          <w:color w:val="000000" w:themeColor="text1"/>
          <w:kern w:val="0"/>
          <w:sz w:val="32"/>
          <w:szCs w:val="32"/>
          <w14:textFill>
            <w14:solidFill>
              <w14:schemeClr w14:val="tx1"/>
            </w14:solidFill>
          </w14:textFill>
        </w:rPr>
        <w:t>要求</w:t>
      </w:r>
      <w:r>
        <w:rPr>
          <w:rFonts w:eastAsia="仿宋_GB2312" w:cs="宋体"/>
          <w:color w:val="000000" w:themeColor="text1"/>
          <w:kern w:val="0"/>
          <w:sz w:val="32"/>
          <w:szCs w:val="32"/>
          <w14:textFill>
            <w14:solidFill>
              <w14:schemeClr w14:val="tx1"/>
            </w14:solidFill>
          </w14:textFill>
        </w:rPr>
        <w:t>的基础上，</w:t>
      </w:r>
      <w:r>
        <w:rPr>
          <w:rFonts w:eastAsia="仿宋_GB2312" w:cs="宋体" w:hint="eastAsia"/>
          <w:color w:val="000000" w:themeColor="text1"/>
          <w:kern w:val="0"/>
          <w:sz w:val="32"/>
          <w:szCs w:val="32"/>
          <w14:textFill>
            <w14:solidFill>
              <w14:schemeClr w14:val="tx1"/>
            </w14:solidFill>
          </w14:textFill>
        </w:rPr>
        <w:t>主动</w:t>
      </w:r>
      <w:r>
        <w:rPr>
          <w:rFonts w:eastAsia="仿宋_GB2312" w:cs="宋体"/>
          <w:color w:val="000000" w:themeColor="text1"/>
          <w:kern w:val="0"/>
          <w:sz w:val="32"/>
          <w:szCs w:val="32"/>
          <w14:textFill>
            <w14:solidFill>
              <w14:schemeClr w14:val="tx1"/>
            </w14:solidFill>
          </w14:textFill>
        </w:rPr>
        <w:t>公开了包括</w:t>
      </w:r>
      <w:r>
        <w:rPr>
          <w:rFonts w:eastAsia="仿宋_GB2312" w:hint="eastAsia"/>
          <w:color w:val="000000" w:themeColor="text1"/>
          <w:sz w:val="32"/>
          <w:szCs w:val="32"/>
          <w14:textFill>
            <w14:solidFill>
              <w14:schemeClr w14:val="tx1"/>
            </w14:solidFill>
          </w14:textFill>
        </w:rPr>
        <w:t>学校概况、招生考试、教育教学、科学研究、学生管理、人才队伍建设、财务管理、资产管理、物资设备采购管理、基建与维修工程管理、国际合作与交流、突发事件、其他等在内</w:t>
      </w:r>
      <w:r>
        <w:rPr>
          <w:rFonts w:eastAsia="仿宋_GB2312"/>
          <w:color w:val="000000" w:themeColor="text1"/>
          <w:sz w:val="32"/>
          <w:szCs w:val="32"/>
          <w14:textFill>
            <w14:solidFill>
              <w14:schemeClr w14:val="tx1"/>
            </w14:solidFill>
          </w14:textFill>
        </w:rPr>
        <w:t>的</w:t>
      </w:r>
      <w:r>
        <w:rPr>
          <w:rFonts w:eastAsia="仿宋_GB2312" w:hint="eastAsia"/>
          <w:color w:val="000000" w:themeColor="text1"/>
          <w:sz w:val="32"/>
          <w:szCs w:val="32"/>
          <w14:textFill>
            <w14:solidFill>
              <w14:schemeClr w14:val="tx1"/>
            </w14:solidFill>
          </w14:textFill>
        </w:rPr>
        <w:t>13大类40大项信息，</w:t>
      </w:r>
      <w:r>
        <w:rPr>
          <w:rFonts w:eastAsia="仿宋_GB2312" w:hint="eastAsia"/>
          <w:sz w:val="32"/>
          <w:szCs w:val="32"/>
          <w:highlight w:val="none"/>
        </w:rPr>
        <w:t>以上</w:t>
      </w:r>
      <w:r>
        <w:rPr>
          <w:rFonts w:eastAsia="仿宋_GB2312" w:cs="宋体"/>
          <w:color w:val="000000" w:themeColor="text1"/>
          <w:kern w:val="0"/>
          <w:sz w:val="32"/>
          <w:szCs w:val="32"/>
          <w14:textFill>
            <w14:solidFill>
              <w14:schemeClr w14:val="tx1"/>
            </w14:solidFill>
          </w14:textFill>
        </w:rPr>
        <w:t>事项均可</w:t>
      </w:r>
      <w:r>
        <w:rPr>
          <w:rFonts w:eastAsia="仿宋_GB2312" w:cs="宋体" w:hint="eastAsia"/>
          <w:color w:val="000000" w:themeColor="text1"/>
          <w:kern w:val="0"/>
          <w:sz w:val="32"/>
          <w:szCs w:val="32"/>
          <w14:textFill>
            <w14:solidFill>
              <w14:schemeClr w14:val="tx1"/>
            </w14:solidFill>
          </w14:textFill>
        </w:rPr>
        <w:t>通过</w:t>
      </w:r>
      <w:r>
        <w:rPr>
          <w:rFonts w:eastAsia="仿宋_GB2312" w:cs="宋体"/>
          <w:color w:val="000000" w:themeColor="text1"/>
          <w:kern w:val="0"/>
          <w:sz w:val="32"/>
          <w:szCs w:val="32"/>
          <w14:textFill>
            <w14:solidFill>
              <w14:schemeClr w14:val="tx1"/>
            </w14:solidFill>
          </w14:textFill>
        </w:rPr>
        <w:t>《</w:t>
      </w:r>
      <w:r>
        <w:rPr>
          <w:rFonts w:eastAsia="仿宋_GB2312" w:cs="宋体" w:hint="eastAsia"/>
          <w:color w:val="000000" w:themeColor="text1"/>
          <w:kern w:val="0"/>
          <w:sz w:val="32"/>
          <w:szCs w:val="32"/>
          <w14:textFill>
            <w14:solidFill>
              <w14:schemeClr w14:val="tx1"/>
            </w14:solidFill>
          </w14:textFill>
        </w:rPr>
        <w:t>天津大学</w:t>
      </w:r>
      <w:r>
        <w:rPr>
          <w:rFonts w:eastAsia="仿宋_GB2312" w:cs="宋体"/>
          <w:color w:val="000000" w:themeColor="text1"/>
          <w:kern w:val="0"/>
          <w:sz w:val="32"/>
          <w:szCs w:val="32"/>
          <w14:textFill>
            <w14:solidFill>
              <w14:schemeClr w14:val="tx1"/>
            </w14:solidFill>
          </w14:textFill>
        </w:rPr>
        <w:t>信息公开目录》</w:t>
      </w:r>
      <w:r>
        <w:rPr>
          <w:rFonts w:eastAsia="仿宋_GB2312" w:cs="宋体" w:hint="eastAsia"/>
          <w:color w:val="000000" w:themeColor="text1"/>
          <w:kern w:val="0"/>
          <w:sz w:val="32"/>
          <w:szCs w:val="32"/>
          <w14:textFill>
            <w14:solidFill>
              <w14:schemeClr w14:val="tx1"/>
            </w14:solidFill>
          </w14:textFill>
        </w:rPr>
        <w:t>获取（详见附件）。</w:t>
      </w:r>
    </w:p>
    <w:p>
      <w:pPr>
        <w:keepNext w:val="0"/>
        <w:keepLines w:val="0"/>
        <w:pageBreakBefore w:val="0"/>
        <w:widowControl w:val="0"/>
        <w:kinsoku/>
        <w:wordWrap/>
        <w:overflowPunct w:val="0"/>
        <w:topLinePunct w:val="0"/>
        <w:autoSpaceDE/>
        <w:autoSpaceDN/>
        <w:bidi w:val="0"/>
        <w:adjustRightInd/>
        <w:snapToGrid/>
        <w:spacing w:line="520" w:lineRule="exact"/>
        <w:ind w:firstLine="640" w:firstLineChars="200"/>
        <w:textAlignment w:val="auto"/>
        <w:rPr>
          <w:rFonts w:eastAsia="仿宋_GB2312" w:hint="eastAsia"/>
          <w:color w:val="auto"/>
          <w:sz w:val="32"/>
          <w:szCs w:val="32"/>
        </w:rPr>
        <w:sectPr>
          <w:footerReference w:type="default" r:id="rId8"/>
          <w:type w:val="nextPage"/>
          <w:pgSz w:w="11906" w:h="16838"/>
          <w:pgMar w:top="2098" w:right="1474" w:bottom="1984" w:left="1588" w:header="851" w:footer="992" w:gutter="0"/>
          <w:pgNumType w:start="5"/>
          <w:cols w:num="1" w:space="425"/>
          <w:titlePg w:val="0"/>
          <w:docGrid w:type="lines" w:linePitch="312" w:charSpace="0"/>
        </w:sectPr>
      </w:pPr>
      <w:r>
        <w:rPr>
          <w:rFonts w:eastAsia="仿宋_GB2312" w:hint="eastAsia"/>
          <w:color w:val="auto"/>
          <w:sz w:val="32"/>
          <w:szCs w:val="32"/>
        </w:rPr>
        <w:t>本年度，</w:t>
      </w:r>
      <w:r>
        <w:rPr>
          <w:rFonts w:eastAsia="仿宋_GB2312" w:hint="eastAsia"/>
          <w:color w:val="auto"/>
          <w:sz w:val="32"/>
          <w:szCs w:val="32"/>
          <w:highlight w:val="none"/>
        </w:rPr>
        <w:t>学校刊发《天津大学校务公报》</w:t>
      </w:r>
      <w:r>
        <w:rPr>
          <w:rFonts w:eastAsia="仿宋_GB2312" w:hint="eastAsia"/>
          <w:color w:val="auto"/>
          <w:sz w:val="32"/>
          <w:szCs w:val="32"/>
          <w:highlight w:val="none"/>
          <w:lang w:val="en-US" w:eastAsia="zh-CN"/>
        </w:rPr>
        <w:t>7</w:t>
      </w:r>
      <w:r>
        <w:rPr>
          <w:rFonts w:eastAsia="仿宋_GB2312" w:hint="eastAsia"/>
          <w:color w:val="auto"/>
          <w:sz w:val="32"/>
          <w:szCs w:val="32"/>
          <w:highlight w:val="none"/>
        </w:rPr>
        <w:t>期</w:t>
      </w:r>
      <w:r>
        <w:rPr>
          <w:rFonts w:eastAsia="仿宋_GB2312" w:hint="eastAsia"/>
          <w:color w:val="auto"/>
          <w:sz w:val="32"/>
          <w:szCs w:val="32"/>
        </w:rPr>
        <w:t>，内容</w:t>
      </w:r>
      <w:r>
        <w:rPr>
          <w:rFonts w:eastAsia="仿宋_GB2312"/>
          <w:color w:val="auto"/>
          <w:sz w:val="32"/>
          <w:szCs w:val="32"/>
        </w:rPr>
        <w:t>涵盖</w:t>
      </w:r>
      <w:r>
        <w:rPr>
          <w:rFonts w:eastAsia="仿宋_GB2312" w:hint="eastAsia"/>
          <w:color w:val="auto"/>
          <w:sz w:val="32"/>
          <w:szCs w:val="32"/>
        </w:rPr>
        <w:t>学校规章制度、</w:t>
      </w:r>
      <w:r>
        <w:rPr>
          <w:rFonts w:eastAsia="仿宋_GB2312"/>
          <w:color w:val="auto"/>
          <w:sz w:val="32"/>
          <w:szCs w:val="32"/>
        </w:rPr>
        <w:t>学校大事记</w:t>
      </w:r>
      <w:r>
        <w:rPr>
          <w:rFonts w:eastAsia="仿宋_GB2312" w:hint="eastAsia"/>
          <w:color w:val="auto"/>
          <w:sz w:val="32"/>
          <w:szCs w:val="32"/>
        </w:rPr>
        <w:t>、就业专刊</w:t>
      </w:r>
      <w:r>
        <w:rPr>
          <w:rFonts w:eastAsia="仿宋_GB2312" w:hint="eastAsia"/>
          <w:color w:val="auto"/>
          <w:sz w:val="32"/>
          <w:szCs w:val="32"/>
          <w:lang w:eastAsia="zh-CN"/>
        </w:rPr>
        <w:t>、</w:t>
      </w:r>
      <w:r>
        <w:rPr>
          <w:rFonts w:eastAsia="仿宋_GB2312" w:hint="eastAsia"/>
          <w:color w:val="auto"/>
          <w:sz w:val="32"/>
          <w:szCs w:val="32"/>
          <w:lang w:val="en-US" w:eastAsia="zh-CN"/>
        </w:rPr>
        <w:t>开学典礼专刊、毕业典礼专刊</w:t>
      </w:r>
      <w:r>
        <w:rPr>
          <w:rFonts w:eastAsia="仿宋_GB2312"/>
          <w:color w:val="auto"/>
          <w:sz w:val="32"/>
          <w:szCs w:val="32"/>
        </w:rPr>
        <w:t>等</w:t>
      </w:r>
      <w:r>
        <w:rPr>
          <w:rFonts w:eastAsia="仿宋_GB2312" w:hint="eastAsia"/>
          <w:color w:val="auto"/>
          <w:sz w:val="32"/>
          <w:szCs w:val="32"/>
        </w:rPr>
        <w:t>。</w:t>
      </w:r>
      <w:r>
        <w:rPr>
          <w:rFonts w:eastAsia="仿宋_GB2312" w:cs="宋体" w:hint="eastAsia"/>
          <w:color w:val="auto"/>
          <w:kern w:val="0"/>
          <w:sz w:val="32"/>
          <w:szCs w:val="32"/>
        </w:rPr>
        <w:t>制作《天津大学202</w:t>
      </w:r>
      <w:r>
        <w:rPr>
          <w:rFonts w:eastAsia="仿宋_GB2312" w:cs="宋体" w:hint="eastAsia"/>
          <w:color w:val="auto"/>
          <w:kern w:val="0"/>
          <w:sz w:val="32"/>
          <w:szCs w:val="32"/>
          <w:lang w:val="en-US" w:eastAsia="zh-CN"/>
        </w:rPr>
        <w:t>2</w:t>
      </w:r>
      <w:r>
        <w:rPr>
          <w:rFonts w:eastAsia="仿宋_GB2312" w:cs="宋体" w:hint="eastAsia"/>
          <w:color w:val="auto"/>
          <w:kern w:val="0"/>
          <w:sz w:val="32"/>
          <w:szCs w:val="32"/>
        </w:rPr>
        <w:t>年事业发展情况》（PPT版），</w:t>
      </w:r>
      <w:r>
        <w:rPr>
          <w:rFonts w:eastAsia="仿宋_GB2312" w:hint="eastAsia"/>
          <w:color w:val="auto"/>
          <w:sz w:val="32"/>
          <w:szCs w:val="32"/>
        </w:rPr>
        <w:t>对</w:t>
      </w:r>
      <w:r>
        <w:rPr>
          <w:rFonts w:eastAsia="仿宋_GB2312"/>
          <w:color w:val="auto"/>
          <w:sz w:val="32"/>
          <w:szCs w:val="32"/>
        </w:rPr>
        <w:t>学校整体工作进行图文并茂的详实介绍</w:t>
      </w:r>
      <w:r>
        <w:rPr>
          <w:rFonts w:eastAsia="仿宋_GB2312" w:hint="eastAsia"/>
          <w:color w:val="auto"/>
          <w:sz w:val="32"/>
          <w:szCs w:val="32"/>
        </w:rPr>
        <w:t>，</w:t>
      </w:r>
      <w:r>
        <w:rPr>
          <w:rFonts w:eastAsia="仿宋_GB2312"/>
          <w:color w:val="auto"/>
          <w:sz w:val="32"/>
          <w:szCs w:val="32"/>
        </w:rPr>
        <w:t>并加强对数据信息的统计发布</w:t>
      </w:r>
      <w:r>
        <w:rPr>
          <w:rFonts w:eastAsia="仿宋_GB2312" w:hint="eastAsia"/>
          <w:color w:val="auto"/>
          <w:sz w:val="32"/>
          <w:szCs w:val="32"/>
        </w:rPr>
        <w:t>。不断加强</w:t>
      </w:r>
      <w:r>
        <w:rPr>
          <w:rFonts w:eastAsia="仿宋_GB2312"/>
          <w:color w:val="auto"/>
          <w:sz w:val="32"/>
          <w:szCs w:val="32"/>
        </w:rPr>
        <w:t>天津大学新闻网</w:t>
      </w:r>
      <w:r>
        <w:rPr>
          <w:rFonts w:eastAsia="仿宋_GB2312" w:hint="eastAsia"/>
          <w:color w:val="auto"/>
          <w:sz w:val="32"/>
          <w:szCs w:val="32"/>
        </w:rPr>
        <w:t>建设，</w:t>
      </w:r>
      <w:r>
        <w:rPr>
          <w:rFonts w:eastAsia="仿宋_GB2312"/>
          <w:color w:val="auto"/>
          <w:sz w:val="32"/>
          <w:szCs w:val="32"/>
        </w:rPr>
        <w:t>增强依托新闻平台及时发布学校信息力度</w:t>
      </w:r>
      <w:r>
        <w:rPr>
          <w:rFonts w:eastAsia="仿宋_GB2312" w:hint="eastAsia"/>
          <w:color w:val="auto"/>
          <w:sz w:val="32"/>
          <w:szCs w:val="32"/>
        </w:rPr>
        <w:t>。继续</w:t>
      </w:r>
      <w:r>
        <w:rPr>
          <w:rFonts w:eastAsia="仿宋_GB2312"/>
          <w:color w:val="auto"/>
          <w:sz w:val="32"/>
          <w:szCs w:val="32"/>
        </w:rPr>
        <w:t>强化校长信箱作用，坚持</w:t>
      </w:r>
      <w:r>
        <w:rPr>
          <w:rFonts w:eastAsia="仿宋_GB2312" w:hint="eastAsia"/>
          <w:color w:val="auto"/>
          <w:sz w:val="32"/>
          <w:szCs w:val="32"/>
        </w:rPr>
        <w:t>和</w:t>
      </w:r>
      <w:r>
        <w:rPr>
          <w:rFonts w:eastAsia="仿宋_GB2312"/>
          <w:color w:val="auto"/>
          <w:sz w:val="32"/>
          <w:szCs w:val="32"/>
        </w:rPr>
        <w:t>完善</w:t>
      </w:r>
      <w:r>
        <w:rPr>
          <w:rFonts w:eastAsia="仿宋_GB2312" w:hint="eastAsia"/>
          <w:color w:val="auto"/>
          <w:sz w:val="32"/>
          <w:szCs w:val="32"/>
        </w:rPr>
        <w:t>校长信箱现场开箱制度，累计答复来信</w:t>
      </w:r>
      <w:r>
        <w:rPr>
          <w:rFonts w:eastAsia="仿宋_GB2312" w:hint="eastAsia"/>
          <w:color w:val="auto"/>
          <w:sz w:val="32"/>
          <w:szCs w:val="32"/>
          <w:lang w:val="en-US" w:eastAsia="zh-CN"/>
        </w:rPr>
        <w:t>329</w:t>
      </w:r>
      <w:r>
        <w:rPr>
          <w:rFonts w:eastAsia="仿宋_GB2312" w:hint="eastAsia"/>
          <w:color w:val="auto"/>
          <w:sz w:val="32"/>
          <w:szCs w:val="32"/>
        </w:rPr>
        <w:t>封。</w:t>
      </w:r>
    </w:p>
    <w:p>
      <w:pPr>
        <w:keepNext w:val="0"/>
        <w:keepLines w:val="0"/>
        <w:pageBreakBefore w:val="0"/>
        <w:widowControl w:val="0"/>
        <w:kinsoku/>
        <w:wordWrap/>
        <w:overflowPunct w:val="0"/>
        <w:topLinePunct w:val="0"/>
        <w:autoSpaceDE/>
        <w:autoSpaceDN/>
        <w:bidi w:val="0"/>
        <w:adjustRightInd/>
        <w:snapToGrid/>
        <w:spacing w:line="520" w:lineRule="exact"/>
        <w:ind w:firstLine="640" w:firstLineChars="200"/>
        <w:textAlignment w:val="auto"/>
        <w:rPr>
          <w:rFonts w:eastAsia="仿宋_GB2312" w:hint="eastAsia"/>
          <w:color w:val="auto"/>
          <w:sz w:val="32"/>
          <w:szCs w:val="32"/>
        </w:rPr>
      </w:pPr>
    </w:p>
    <w:p>
      <w:pPr>
        <w:keepNext w:val="0"/>
        <w:keepLines w:val="0"/>
        <w:pageBreakBefore w:val="0"/>
        <w:widowControl w:val="0"/>
        <w:kinsoku/>
        <w:wordWrap/>
        <w:overflowPunct w:val="0"/>
        <w:topLinePunct w:val="0"/>
        <w:autoSpaceDE/>
        <w:autoSpaceDN/>
        <w:bidi w:val="0"/>
        <w:adjustRightInd/>
        <w:snapToGrid/>
        <w:spacing w:line="520" w:lineRule="exact"/>
        <w:jc w:val="center"/>
        <w:textAlignment w:val="auto"/>
        <w:rPr>
          <w:rFonts w:eastAsia="仿宋_GB2312" w:hint="eastAsia"/>
          <w:sz w:val="28"/>
          <w:szCs w:val="28"/>
        </w:rPr>
      </w:pPr>
      <w:r>
        <w:rPr>
          <w:rFonts w:hint="eastAsia"/>
          <w:lang w:eastAsia="zh-CN"/>
        </w:rPr>
        <w:drawing>
          <wp:anchor distT="0" distB="0" distL="114300" distR="114300" simplePos="0" relativeHeight="251658240" behindDoc="0" locked="0" layoutInCell="1" allowOverlap="1">
            <wp:simplePos x="0" y="0"/>
            <wp:positionH relativeFrom="column">
              <wp:posOffset>823595</wp:posOffset>
            </wp:positionH>
            <wp:positionV relativeFrom="page">
              <wp:posOffset>1464945</wp:posOffset>
            </wp:positionV>
            <wp:extent cx="3896360" cy="3310255"/>
            <wp:effectExtent l="9525" t="9525" r="18415" b="13970"/>
            <wp:wrapTopAndBottom/>
            <wp:docPr id="2" name="图片 2" descr="1698221910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98221910592"/>
                    <pic:cNvPicPr>
                      <a:picLocks noChangeAspect="1"/>
                    </pic:cNvPicPr>
                  </pic:nvPicPr>
                  <pic:blipFill>
                    <a:blip xmlns:r="http://schemas.openxmlformats.org/officeDocument/2006/relationships" r:embed="rId9"/>
                    <a:stretch>
                      <a:fillRect/>
                    </a:stretch>
                  </pic:blipFill>
                  <pic:spPr>
                    <a:xfrm>
                      <a:off x="0" y="0"/>
                      <a:ext cx="3896360" cy="3310255"/>
                    </a:xfrm>
                    <a:prstGeom prst="rect">
                      <a:avLst/>
                    </a:prstGeom>
                    <a:ln>
                      <a:solidFill>
                        <a:schemeClr val="tx1"/>
                      </a:solidFill>
                    </a:ln>
                  </pic:spPr>
                </pic:pic>
              </a:graphicData>
            </a:graphic>
          </wp:anchor>
        </w:drawing>
      </w:r>
      <w:r>
        <w:rPr>
          <w:rFonts w:eastAsia="仿宋_GB2312" w:hint="eastAsia"/>
          <w:sz w:val="28"/>
          <w:szCs w:val="28"/>
        </w:rPr>
        <w:t>天津大学校务公报</w:t>
      </w:r>
    </w:p>
    <w:p>
      <w:pPr>
        <w:overflowPunct w:val="0"/>
        <w:spacing w:line="560" w:lineRule="exact"/>
        <w:ind w:firstLine="640" w:firstLineChars="200"/>
        <w:rPr>
          <w:rFonts w:eastAsia="仿宋_GB2312" w:hint="eastAsia"/>
          <w:sz w:val="32"/>
          <w:szCs w:val="32"/>
          <w:highlight w:val="none"/>
        </w:rPr>
        <w:sectPr>
          <w:footerReference w:type="default" r:id="rId10"/>
          <w:type w:val="nextPage"/>
          <w:pgSz w:w="11906" w:h="16838"/>
          <w:pgMar w:top="2098" w:right="1474" w:bottom="1984" w:left="1588" w:header="851" w:footer="992" w:gutter="0"/>
          <w:pgNumType w:start="6"/>
          <w:cols w:num="1" w:space="425"/>
          <w:titlePg w:val="0"/>
          <w:docGrid w:type="lines" w:linePitch="312" w:charSpace="0"/>
        </w:sectPr>
      </w:pPr>
      <w:r>
        <w:rPr>
          <w:rFonts w:eastAsia="仿宋_GB2312" w:hint="eastAsia"/>
          <w:sz w:val="32"/>
          <w:szCs w:val="32"/>
          <w:highlight w:val="none"/>
        </w:rPr>
        <w:t>天津大学新闻网发布学校各类新闻2506条，全国各级各类新闻媒体报道天津大学新闻合计1210条。天津大学官方微信累计发布微信图文448条，阅读量人数9505502人，阅读人次12463046，图文被转发479941次。天津大学英文官网累计发布新闻359篇，英文网站累计访问量1184568，访客数（来访IP数）67828；天津大学多语种网站累计访问量133601，在国际英文媒体累计发表新闻80篇。天津大学官方抖音号累计发布短视频303条，播放量3362.6万次，分享34854次，评论数58898次，点赞数50.8万次；视频号发表视频短视频165条，播放3544307次，分享次数75546次，评论数3629次，点赞数56882次。</w:t>
      </w:r>
    </w:p>
    <w:p>
      <w:pPr>
        <w:overflowPunct w:val="0"/>
        <w:spacing w:line="560" w:lineRule="exact"/>
        <w:ind w:firstLine="640" w:firstLineChars="200"/>
        <w:rPr>
          <w:rFonts w:eastAsia="仿宋_GB2312"/>
          <w:b/>
          <w:sz w:val="32"/>
          <w:szCs w:val="32"/>
        </w:rPr>
      </w:pPr>
      <w:r>
        <w:rPr>
          <w:rFonts w:eastAsia="仿宋_GB2312" w:hint="eastAsia"/>
          <w:b/>
          <w:sz w:val="32"/>
          <w:szCs w:val="32"/>
        </w:rPr>
        <w:t>1.招生考试信息公开情况。</w:t>
      </w:r>
    </w:p>
    <w:p>
      <w:pPr>
        <w:overflowPunct w:val="0"/>
        <w:spacing w:line="560" w:lineRule="exact"/>
        <w:ind w:firstLine="640" w:firstLineChars="200"/>
        <w:jc w:val="left"/>
        <w:rPr>
          <w:rFonts w:eastAsia="仿宋_GB2312" w:hint="eastAsia"/>
          <w:sz w:val="32"/>
          <w:szCs w:val="32"/>
          <w:highlight w:val="none"/>
        </w:rPr>
        <w:sectPr>
          <w:footerReference w:type="default" r:id="rId11"/>
          <w:type w:val="nextPage"/>
          <w:pgSz w:w="11906" w:h="16838"/>
          <w:pgMar w:top="2098" w:right="1474" w:bottom="1984" w:left="1588" w:header="851" w:footer="992" w:gutter="0"/>
          <w:pgNumType w:start="7"/>
          <w:cols w:num="1" w:space="425"/>
          <w:titlePg w:val="0"/>
          <w:docGrid w:type="lines" w:linePitch="312" w:charSpace="0"/>
        </w:sectPr>
      </w:pPr>
      <w:r>
        <w:rPr>
          <w:rFonts w:eastAsia="仿宋_GB2312" w:hint="eastAsia"/>
          <w:sz w:val="32"/>
          <w:szCs w:val="32"/>
          <w:highlight w:val="none"/>
          <w:lang w:eastAsia="zh-CN"/>
        </w:rPr>
        <w:t>学校始终高度重视招生信息公开工作，深入贯彻实施教育部“阳光招生”工程，严格落实教育部高考招生六不准、十严禁、十公开、三十“不得”要求，各个环节均做到公开、公正、透明，充分接受监督。学校通过学校主页、学校官方微博微信、招生办公室官方网站和微信公众号平台，以及主流社会媒体和教育部阳光高考信息平台及时发布学校招生章程及各类型招生简章，公布招生计划，并按时发布保送生、强基计划、高校专项、高水平运动队等特殊类型招生测试合格名单，全面发布分批次、分科类录取人数和录取最低分数。学校设有招生咨询热线和网上招生咨询论坛，举办校园开放日专门发布招生政策，现场解答考生及家长咨询。学校招生工作坚持主动接受社会各界监督，主动邀请媒体采访、了解我校招生考试工作。此外，学校坚持每年汇总年度招生录取信息，招生计划录取分数等信息均向考生及家长公开，招生咨询过程阳光透明。</w:t>
      </w:r>
    </w:p>
    <w:p>
      <w:pPr>
        <w:keepNext w:val="0"/>
        <w:keepLines w:val="0"/>
        <w:pageBreakBefore w:val="0"/>
        <w:widowControl w:val="0"/>
        <w:kinsoku/>
        <w:wordWrap/>
        <w:overflowPunct w:val="0"/>
        <w:topLinePunct w:val="0"/>
        <w:autoSpaceDE/>
        <w:autoSpaceDN/>
        <w:bidi w:val="0"/>
        <w:adjustRightInd/>
        <w:snapToGrid/>
        <w:spacing w:line="560" w:lineRule="exact"/>
        <w:ind w:firstLine="0" w:firstLineChars="0"/>
        <w:jc w:val="center"/>
        <w:textAlignment w:val="auto"/>
        <w:rPr>
          <w:rFonts w:eastAsia="仿宋_GB2312"/>
          <w:color w:val="000000" w:themeColor="text1"/>
          <w:sz w:val="28"/>
          <w:szCs w:val="28"/>
          <w14:textFill>
            <w14:solidFill>
              <w14:schemeClr w14:val="tx1"/>
            </w14:solidFill>
          </w14:textFill>
        </w:rPr>
      </w:pPr>
      <w:r>
        <w:rPr>
          <w:rFonts w:eastAsia="仿宋_GB2312" w:hint="eastAsia"/>
          <w:sz w:val="32"/>
          <w:szCs w:val="32"/>
          <w:highlight w:val="none"/>
          <w:lang w:eastAsia="zh-CN"/>
        </w:rPr>
        <w:drawing>
          <wp:anchor distT="0" distB="0" distL="114300" distR="114300" simplePos="0" relativeHeight="251660288" behindDoc="0" locked="0" layoutInCell="1" allowOverlap="1">
            <wp:simplePos x="0" y="0"/>
            <wp:positionH relativeFrom="column">
              <wp:posOffset>-31750</wp:posOffset>
            </wp:positionH>
            <wp:positionV relativeFrom="paragraph">
              <wp:posOffset>22225</wp:posOffset>
            </wp:positionV>
            <wp:extent cx="5607685" cy="2556510"/>
            <wp:effectExtent l="9525" t="9525" r="12065" b="15240"/>
            <wp:wrapTopAndBottom/>
            <wp:docPr id="1" name="图片 1" descr="169813554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98135541171"/>
                    <pic:cNvPicPr>
                      <a:picLocks noChangeAspect="1"/>
                    </pic:cNvPicPr>
                  </pic:nvPicPr>
                  <pic:blipFill>
                    <a:blip xmlns:r="http://schemas.openxmlformats.org/officeDocument/2006/relationships" r:embed="rId12"/>
                    <a:stretch>
                      <a:fillRect/>
                    </a:stretch>
                  </pic:blipFill>
                  <pic:spPr>
                    <a:xfrm>
                      <a:off x="0" y="0"/>
                      <a:ext cx="5607685" cy="2556510"/>
                    </a:xfrm>
                    <a:prstGeom prst="rect">
                      <a:avLst/>
                    </a:prstGeom>
                    <a:ln>
                      <a:solidFill>
                        <a:schemeClr val="tx1"/>
                      </a:solidFill>
                    </a:ln>
                  </pic:spPr>
                </pic:pic>
              </a:graphicData>
            </a:graphic>
          </wp:anchor>
        </w:drawing>
      </w:r>
      <w:r>
        <w:rPr>
          <w:rFonts w:eastAsia="仿宋_GB2312" w:hint="eastAsia"/>
          <w:color w:val="000000" w:themeColor="text1"/>
          <w:sz w:val="28"/>
          <w:szCs w:val="28"/>
          <w14:textFill>
            <w14:solidFill>
              <w14:schemeClr w14:val="tx1"/>
            </w14:solidFill>
          </w14:textFill>
        </w:rPr>
        <w:t>天津大学本科生招生网</w:t>
      </w:r>
    </w:p>
    <w:p>
      <w:pPr>
        <w:overflowPunct w:val="0"/>
        <w:spacing w:line="560" w:lineRule="exact"/>
        <w:ind w:firstLine="640" w:firstLineChars="200"/>
        <w:rPr>
          <w:rFonts w:eastAsia="仿宋_GB2312"/>
          <w:b/>
          <w:color w:val="000000" w:themeColor="text1"/>
          <w:sz w:val="32"/>
          <w:szCs w:val="32"/>
          <w14:textFill>
            <w14:solidFill>
              <w14:schemeClr w14:val="tx1"/>
            </w14:solidFill>
          </w14:textFill>
        </w:rPr>
      </w:pPr>
      <w:r>
        <w:rPr>
          <w:rFonts w:eastAsia="仿宋_GB2312" w:hint="eastAsia"/>
          <w:b/>
          <w:color w:val="000000" w:themeColor="text1"/>
          <w:sz w:val="32"/>
          <w:szCs w:val="32"/>
          <w14:textFill>
            <w14:solidFill>
              <w14:schemeClr w14:val="tx1"/>
            </w14:solidFill>
          </w14:textFill>
        </w:rPr>
        <w:t>2.财务信息公开情况</w:t>
      </w:r>
    </w:p>
    <w:p>
      <w:pPr>
        <w:overflowPunct w:val="0"/>
        <w:spacing w:line="560" w:lineRule="exact"/>
        <w:ind w:firstLine="560" w:firstLineChars="200"/>
        <w:rPr>
          <w:rFonts w:eastAsia="仿宋_GB2312" w:hint="eastAsia"/>
          <w:sz w:val="32"/>
          <w:szCs w:val="32"/>
          <w:highlight w:val="none"/>
        </w:rPr>
        <w:sectPr>
          <w:footerReference w:type="default" r:id="rId13"/>
          <w:type w:val="nextPage"/>
          <w:pgSz w:w="11906" w:h="16838"/>
          <w:pgMar w:top="2098" w:right="1474" w:bottom="1984" w:left="1588" w:header="851" w:footer="992" w:gutter="0"/>
          <w:pgNumType w:start="8"/>
          <w:cols w:num="1" w:space="425"/>
          <w:titlePg w:val="0"/>
          <w:docGrid w:type="lines" w:linePitch="312" w:charSpace="0"/>
        </w:sectPr>
      </w:pPr>
      <w:r>
        <w:rPr>
          <w:rFonts w:eastAsia="仿宋_GB2312" w:cs="仿宋_GB2312" w:hint="eastAsia"/>
          <w:sz w:val="28"/>
          <w:szCs w:val="28"/>
          <w:lang w:eastAsia="zh-CN"/>
        </w:rPr>
        <w:drawing>
          <wp:anchor distT="0" distB="0" distL="114300" distR="114300" simplePos="0" relativeHeight="251659264" behindDoc="0" locked="0" layoutInCell="1" allowOverlap="1">
            <wp:simplePos x="0" y="0"/>
            <wp:positionH relativeFrom="column">
              <wp:posOffset>661670</wp:posOffset>
            </wp:positionH>
            <wp:positionV relativeFrom="paragraph">
              <wp:posOffset>4747895</wp:posOffset>
            </wp:positionV>
            <wp:extent cx="4220210" cy="2645410"/>
            <wp:effectExtent l="9525" t="9525" r="18415" b="12065"/>
            <wp:wrapTopAndBottom/>
            <wp:docPr id="3" name="图片 3" descr="1698389387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98389387454"/>
                    <pic:cNvPicPr>
                      <a:picLocks noChangeAspect="1"/>
                    </pic:cNvPicPr>
                  </pic:nvPicPr>
                  <pic:blipFill>
                    <a:blip xmlns:r="http://schemas.openxmlformats.org/officeDocument/2006/relationships" r:embed="rId14"/>
                    <a:stretch>
                      <a:fillRect/>
                    </a:stretch>
                  </pic:blipFill>
                  <pic:spPr>
                    <a:xfrm>
                      <a:off x="0" y="0"/>
                      <a:ext cx="4220210" cy="2645410"/>
                    </a:xfrm>
                    <a:prstGeom prst="rect">
                      <a:avLst/>
                    </a:prstGeom>
                    <a:ln>
                      <a:solidFill>
                        <a:schemeClr val="tx1"/>
                      </a:solidFill>
                    </a:ln>
                  </pic:spPr>
                </pic:pic>
              </a:graphicData>
            </a:graphic>
          </wp:anchor>
        </w:drawing>
      </w:r>
      <w:r>
        <w:rPr>
          <w:rFonts w:eastAsia="仿宋_GB2312" w:hint="eastAsia"/>
          <w:color w:val="000000" w:themeColor="text1"/>
          <w:sz w:val="32"/>
          <w:szCs w:val="32"/>
          <w14:textFill>
            <w14:solidFill>
              <w14:schemeClr w14:val="tx1"/>
            </w14:solidFill>
          </w14:textFill>
        </w:rPr>
        <w:t>学校坚持教育收费项目及标准信息公开制度，在学校信息公开网站发布学校收费项目及标准。</w:t>
      </w:r>
      <w:r>
        <w:rPr>
          <w:rFonts w:eastAsia="仿宋_GB2312" w:hint="eastAsia"/>
          <w:color w:val="auto"/>
          <w:sz w:val="32"/>
          <w:szCs w:val="32"/>
        </w:rPr>
        <w:t>202</w:t>
      </w:r>
      <w:r>
        <w:rPr>
          <w:rFonts w:eastAsia="仿宋_GB2312" w:hint="eastAsia"/>
          <w:color w:val="auto"/>
          <w:sz w:val="32"/>
          <w:szCs w:val="32"/>
          <w:lang w:val="en-US" w:eastAsia="zh-CN"/>
        </w:rPr>
        <w:t>3</w:t>
      </w:r>
      <w:r>
        <w:rPr>
          <w:rFonts w:eastAsia="仿宋_GB2312" w:hint="eastAsia"/>
          <w:color w:val="auto"/>
          <w:sz w:val="32"/>
          <w:szCs w:val="32"/>
        </w:rPr>
        <w:t>年</w:t>
      </w:r>
      <w:r>
        <w:rPr>
          <w:rFonts w:eastAsia="仿宋_GB2312" w:hint="eastAsia"/>
          <w:color w:val="auto"/>
          <w:sz w:val="32"/>
          <w:szCs w:val="32"/>
          <w:lang w:val="en-US" w:eastAsia="zh-CN"/>
        </w:rPr>
        <w:t>4</w:t>
      </w:r>
      <w:r>
        <w:rPr>
          <w:rFonts w:eastAsia="仿宋_GB2312" w:hint="eastAsia"/>
          <w:color w:val="auto"/>
          <w:sz w:val="32"/>
          <w:szCs w:val="32"/>
        </w:rPr>
        <w:t>月，学校按照教育部的要求通过学校信息公开网主动公开了202</w:t>
      </w:r>
      <w:r>
        <w:rPr>
          <w:rFonts w:eastAsia="仿宋_GB2312" w:hint="eastAsia"/>
          <w:color w:val="auto"/>
          <w:sz w:val="32"/>
          <w:szCs w:val="32"/>
          <w:lang w:val="en-US" w:eastAsia="zh-CN"/>
        </w:rPr>
        <w:t>2</w:t>
      </w:r>
      <w:r>
        <w:rPr>
          <w:rFonts w:eastAsia="仿宋_GB2312" w:hint="eastAsia"/>
          <w:color w:val="auto"/>
          <w:sz w:val="32"/>
          <w:szCs w:val="32"/>
        </w:rPr>
        <w:t>年教育部批复的部门预算信息；202</w:t>
      </w:r>
      <w:r>
        <w:rPr>
          <w:rFonts w:eastAsia="仿宋_GB2312" w:hint="eastAsia"/>
          <w:color w:val="auto"/>
          <w:sz w:val="32"/>
          <w:szCs w:val="32"/>
          <w:lang w:val="en-US" w:eastAsia="zh-CN"/>
        </w:rPr>
        <w:t>3</w:t>
      </w:r>
      <w:r>
        <w:rPr>
          <w:rFonts w:eastAsia="仿宋_GB2312" w:hint="eastAsia"/>
          <w:color w:val="auto"/>
          <w:sz w:val="32"/>
          <w:szCs w:val="32"/>
        </w:rPr>
        <w:t>年</w:t>
      </w:r>
      <w:r>
        <w:rPr>
          <w:rFonts w:eastAsia="仿宋_GB2312" w:hint="eastAsia"/>
          <w:color w:val="auto"/>
          <w:sz w:val="32"/>
          <w:szCs w:val="32"/>
          <w:lang w:val="en-US" w:eastAsia="zh-CN"/>
        </w:rPr>
        <w:t>8</w:t>
      </w:r>
      <w:r>
        <w:rPr>
          <w:rFonts w:eastAsia="仿宋_GB2312" w:hint="eastAsia"/>
          <w:color w:val="auto"/>
          <w:sz w:val="32"/>
          <w:szCs w:val="32"/>
        </w:rPr>
        <w:t>月，主动公开了202</w:t>
      </w:r>
      <w:r>
        <w:rPr>
          <w:rFonts w:eastAsia="仿宋_GB2312" w:hint="eastAsia"/>
          <w:color w:val="auto"/>
          <w:sz w:val="32"/>
          <w:szCs w:val="32"/>
          <w:lang w:val="en-US" w:eastAsia="zh-CN"/>
        </w:rPr>
        <w:t>2</w:t>
      </w:r>
      <w:r>
        <w:rPr>
          <w:rFonts w:eastAsia="仿宋_GB2312" w:hint="eastAsia"/>
          <w:color w:val="auto"/>
          <w:sz w:val="32"/>
          <w:szCs w:val="32"/>
        </w:rPr>
        <w:t>年部门决算部分信息。</w:t>
      </w:r>
    </w:p>
    <w:p>
      <w:pPr>
        <w:overflowPunct w:val="0"/>
        <w:spacing w:line="560" w:lineRule="exact"/>
        <w:ind w:firstLine="640" w:firstLineChars="200"/>
        <w:rPr>
          <w:rFonts w:eastAsia="仿宋_GB2312" w:hint="eastAsia"/>
          <w:sz w:val="32"/>
          <w:szCs w:val="32"/>
          <w:highlight w:val="none"/>
        </w:rPr>
      </w:pPr>
      <w:r>
        <w:rPr>
          <w:rFonts w:eastAsia="仿宋_GB2312" w:hint="eastAsia"/>
          <w:sz w:val="32"/>
          <w:szCs w:val="32"/>
          <w:highlight w:val="none"/>
        </w:rPr>
        <w:t>学校进一步提升招标采购工作的透明度，加强天津大学招标信息网（http://zbb.tju.edu.cn/）的建设升级，将货物、工程、服务类招投标相关信息进行网上公示公开；建立天津大学合同签订公示制度，将经招标签订的合同于中国政府采购网进行公示；根据财政部相关规定，积极开展政府采购意向公开工作，在采购活动开始前30日通过中国政府采购网公开采购意向</w:t>
      </w:r>
      <w:r>
        <w:rPr>
          <w:rFonts w:eastAsia="仿宋_GB2312" w:hint="eastAsia"/>
          <w:sz w:val="32"/>
          <w:szCs w:val="32"/>
          <w:highlight w:val="none"/>
          <w:lang w:eastAsia="zh-CN"/>
        </w:rPr>
        <w:t>。天津大学北洋教育发展基金会也在其网站对各类捐赠收入、基金使用情况等进行及时发布，接受全社会监督，天津大学北洋教育发展基金会中基透明指数连续十一年获得满分。</w:t>
      </w:r>
    </w:p>
    <w:p>
      <w:pPr>
        <w:tabs>
          <w:tab w:val="left" w:pos="5495"/>
        </w:tabs>
        <w:bidi w:val="0"/>
        <w:jc w:val="center"/>
        <w:rPr>
          <w:rFonts w:eastAsia="仿宋_GB2312" w:cs="仿宋_GB2312"/>
          <w:sz w:val="28"/>
          <w:szCs w:val="28"/>
        </w:rPr>
      </w:pPr>
      <w:r>
        <w:rPr>
          <w:rFonts w:eastAsia="仿宋_GB2312" w:cs="仿宋_GB2312" w:hint="eastAsia"/>
          <w:sz w:val="28"/>
          <w:szCs w:val="28"/>
        </w:rPr>
        <w:t>天津大学招标信息网</w:t>
      </w:r>
    </w:p>
    <w:p>
      <w:pPr>
        <w:overflowPunct w:val="0"/>
        <w:spacing w:line="560" w:lineRule="exact"/>
        <w:ind w:firstLine="640" w:firstLineChars="200"/>
        <w:rPr>
          <w:rFonts w:eastAsia="仿宋_GB2312"/>
          <w:b/>
          <w:color w:val="000000" w:themeColor="text1"/>
          <w:sz w:val="32"/>
          <w:szCs w:val="32"/>
          <w14:textFill>
            <w14:solidFill>
              <w14:schemeClr w14:val="tx1"/>
            </w14:solidFill>
          </w14:textFill>
        </w:rPr>
      </w:pPr>
      <w:r>
        <w:rPr>
          <w:rFonts w:eastAsia="仿宋_GB2312" w:hint="eastAsia"/>
          <w:b/>
          <w:color w:val="000000" w:themeColor="text1"/>
          <w:sz w:val="32"/>
          <w:szCs w:val="32"/>
          <w14:textFill>
            <w14:solidFill>
              <w14:schemeClr w14:val="tx1"/>
            </w14:solidFill>
          </w14:textFill>
        </w:rPr>
        <w:t>3.干部人事信息公开情况</w:t>
      </w:r>
    </w:p>
    <w:p>
      <w:pPr>
        <w:overflowPunct w:val="0"/>
        <w:spacing w:line="560" w:lineRule="exact"/>
        <w:ind w:firstLine="640" w:firstLineChars="200"/>
        <w:rPr>
          <w:rFonts w:eastAsia="仿宋_GB2312" w:hint="eastAsia"/>
          <w:sz w:val="28"/>
          <w:szCs w:val="28"/>
        </w:rPr>
      </w:pPr>
      <w:r>
        <w:rPr>
          <w:rFonts w:eastAsia="仿宋_GB2312" w:hint="eastAsia"/>
          <w:sz w:val="32"/>
          <w:szCs w:val="36"/>
        </w:rPr>
        <w:t>在干部选拔任用过程中，采取民主推荐、决定前征求有关单位意见、决定后将拟提拔任用人选名单在办公网进行公示等形式，严格执行干部任前公示制度有关标准和要求，以公开为手段强化干部选拔任用的监督工作。在领导班子和干部考核中，校班子和班子成员在专题会议上作述职述廉报告，并接受师生代表民主测评。机关各部门主要负责人向全校各单位代表述职述廉，接受基层单位的评议和监督</w:t>
      </w:r>
      <w:r>
        <w:rPr>
          <w:rFonts w:eastAsia="仿宋_GB2312" w:hint="eastAsia"/>
          <w:color w:val="auto"/>
          <w:sz w:val="32"/>
          <w:szCs w:val="36"/>
        </w:rPr>
        <w:t>。</w:t>
      </w:r>
      <w:r>
        <w:rPr>
          <w:rFonts w:eastAsia="仿宋_GB2312" w:hint="eastAsia"/>
          <w:color w:val="auto"/>
          <w:sz w:val="32"/>
          <w:szCs w:val="36"/>
          <w:highlight w:val="none"/>
        </w:rPr>
        <w:t>在人事管理中，通过完善天津大学人力资源招聘网站，按照教学科研岗位、其它专业技术岗位、管理岗位、专职科研岗位、博士后、非固定编制等分类发布招聘信息，公开公示招聘工作全程，职称评聘中实行多级评审公示制度，全面公开人事相关制度。</w:t>
      </w:r>
      <w:r>
        <w:rPr>
          <w:rFonts w:eastAsia="仿宋_GB2312" w:hint="eastAsia"/>
          <w:sz w:val="28"/>
          <w:szCs w:val="28"/>
        </w:rPr>
        <w:br/>
      </w:r>
      <w:r>
        <w:rPr>
          <w:rFonts w:eastAsia="仿宋_GB2312"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 w:history="1">
        <w:r>
          <w:rPr>
            <w:rFonts w:ascii="SimSun" w:eastAsia="SimSun" w:hAnsi="SimSun" w:cs="SimSun"/>
            <w:b/>
            <w:bCs/>
            <w:color w:val="0000EE"/>
            <w:kern w:val="0"/>
            <w:sz w:val="30"/>
            <w:szCs w:val="30"/>
            <w:u w:val="single" w:color="0000EE"/>
          </w:rPr>
          <w:t>https://d.book118.com/848025073045006044</w:t>
        </w:r>
      </w:hyperlink>
    </w:p>
    <w:p>
      <w:pPr>
        <w:overflowPunct w:val="0"/>
        <w:spacing w:line="560" w:lineRule="exact"/>
        <w:ind w:firstLine="560" w:firstLineChars="200"/>
        <w:rPr>
          <w:rFonts w:eastAsia="仿宋_GB2312" w:hint="eastAsia"/>
          <w:sz w:val="28"/>
          <w:szCs w:val="28"/>
        </w:rPr>
      </w:pPr>
    </w:p>
    <w:sectPr>
      <w:footerReference w:type="default" r:id="rId16"/>
      <w:type w:val="nextPage"/>
      <w:pgSz w:w="11906" w:h="16838"/>
      <w:pgMar w:top="2098" w:right="1474" w:bottom="1984" w:left="1588" w:header="851" w:footer="992" w:gutter="0"/>
      <w:pgNumType w:start="9"/>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rPr>
        <w:rFonts w:hint="eastAsia"/>
      </w:rPr>
      <w:t>-</w:t>
    </w:r>
    <w:r>
      <w:fldChar w:fldCharType="begin"/>
    </w:r>
    <w:r>
      <w:instrText xml:space="preserve"> PAGE   \* MERGEFORMAT </w:instrText>
    </w:r>
    <w:r>
      <w:fldChar w:fldCharType="separate"/>
    </w:r>
    <w:r>
      <w:rPr>
        <w:lang w:val="zh-CN"/>
      </w:rPr>
      <w:t>1</w:t>
    </w:r>
    <w:r>
      <w:rPr>
        <w:lang w:val="zh-CN"/>
      </w:rPr>
      <w:fldChar w:fldCharType="end"/>
    </w:r>
    <w:r>
      <w:rPr>
        <w:rFonts w:hint="eastAsia"/>
      </w:rPr>
      <w:t>-</w:t>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rPr>
        <w:rFonts w:hint="eastAsia"/>
      </w:rPr>
      <w:t>-</w:t>
    </w:r>
    <w:r>
      <w:fldChar w:fldCharType="begin"/>
    </w:r>
    <w:r>
      <w:instrText xml:space="preserve"> PAGE   \* MERGEFORMAT </w:instrText>
    </w:r>
    <w:r>
      <w:fldChar w:fldCharType="separate"/>
    </w:r>
    <w:r>
      <w:rPr>
        <w:lang w:val="zh-CN"/>
      </w:rPr>
      <w:t>2</w:t>
    </w:r>
    <w:r>
      <w:rPr>
        <w:lang w:val="zh-CN"/>
      </w:rPr>
      <w:fldChar w:fldCharType="end"/>
    </w:r>
    <w:r>
      <w:rPr>
        <w:rFonts w:hint="eastAsia"/>
      </w:rPr>
      <w:t>-</w:t>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rPr>
        <w:rFonts w:hint="eastAsia"/>
      </w:rPr>
      <w:t>-</w:t>
    </w:r>
    <w:r>
      <w:fldChar w:fldCharType="begin"/>
    </w:r>
    <w:r>
      <w:instrText xml:space="preserve"> PAGE   \* MERGEFORMAT </w:instrText>
    </w:r>
    <w:r>
      <w:fldChar w:fldCharType="separate"/>
    </w:r>
    <w:r>
      <w:rPr>
        <w:lang w:val="zh-CN"/>
      </w:rPr>
      <w:t>4</w:t>
    </w:r>
    <w:r>
      <w:rPr>
        <w:lang w:val="zh-CN"/>
      </w:rPr>
      <w:fldChar w:fldCharType="end"/>
    </w:r>
    <w:r>
      <w:rPr>
        <w:rFonts w:hint="eastAsia"/>
      </w:rPr>
      <w:t>-</w:t>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rPr>
        <w:rFonts w:hint="eastAsia"/>
      </w:rPr>
      <w:t>-</w:t>
    </w:r>
    <w:r>
      <w:fldChar w:fldCharType="begin"/>
    </w:r>
    <w:r>
      <w:instrText xml:space="preserve"> PAGE   \* MERGEFORMAT </w:instrText>
    </w:r>
    <w:r>
      <w:fldChar w:fldCharType="separate"/>
    </w:r>
    <w:r>
      <w:rPr>
        <w:lang w:val="zh-CN"/>
      </w:rPr>
      <w:t>4</w:t>
    </w:r>
    <w:r>
      <w:rPr>
        <w:lang w:val="zh-CN"/>
      </w:rPr>
      <w:fldChar w:fldCharType="end"/>
    </w:r>
    <w:r>
      <w:rPr>
        <w:rFonts w:hint="eastAsia"/>
      </w:rPr>
      <w:t>-</w:t>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rPr>
        <w:rFonts w:hint="eastAsia"/>
      </w:rPr>
      <w:t>-</w:t>
    </w:r>
    <w:r>
      <w:fldChar w:fldCharType="begin"/>
    </w:r>
    <w:r>
      <w:instrText xml:space="preserve"> PAGE   \* MERGEFORMAT </w:instrText>
    </w:r>
    <w:r>
      <w:fldChar w:fldCharType="separate"/>
    </w:r>
    <w:r>
      <w:rPr>
        <w:lang w:val="zh-CN"/>
      </w:rPr>
      <w:t>6</w:t>
    </w:r>
    <w:r>
      <w:rPr>
        <w:lang w:val="zh-CN"/>
      </w:rPr>
      <w:fldChar w:fldCharType="end"/>
    </w:r>
    <w:r>
      <w:rPr>
        <w:rFonts w:hint="eastAsia"/>
      </w:rPr>
      <w:t>-</w:t>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rPr>
        <w:rFonts w:hint="eastAsia"/>
      </w:rPr>
      <w:t>-</w:t>
    </w:r>
    <w:r>
      <w:fldChar w:fldCharType="begin"/>
    </w:r>
    <w:r>
      <w:instrText xml:space="preserve"> PAGE   \* MERGEFORMAT </w:instrText>
    </w:r>
    <w:r>
      <w:fldChar w:fldCharType="separate"/>
    </w:r>
    <w:r>
      <w:rPr>
        <w:lang w:val="zh-CN"/>
      </w:rPr>
      <w:t>6</w:t>
    </w:r>
    <w:r>
      <w:rPr>
        <w:lang w:val="zh-CN"/>
      </w:rPr>
      <w:fldChar w:fldCharType="end"/>
    </w:r>
    <w:r>
      <w:rPr>
        <w:rFonts w:hint="eastAsia"/>
      </w:rPr>
      <w:t>-</w:t>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rPr>
        <w:rFonts w:hint="eastAsia"/>
      </w:rPr>
      <w:t>-</w:t>
    </w:r>
    <w:r>
      <w:fldChar w:fldCharType="begin"/>
    </w:r>
    <w:r>
      <w:instrText xml:space="preserve"> PAGE   \* MERGEFORMAT </w:instrText>
    </w:r>
    <w:r>
      <w:fldChar w:fldCharType="separate"/>
    </w:r>
    <w:r>
      <w:rPr>
        <w:lang w:val="zh-CN"/>
      </w:rPr>
      <w:t>7</w:t>
    </w:r>
    <w:r>
      <w:rPr>
        <w:lang w:val="zh-CN"/>
      </w:rPr>
      <w:fldChar w:fldCharType="end"/>
    </w:r>
    <w:r>
      <w:rPr>
        <w:rFonts w:hint="eastAsia"/>
      </w:rPr>
      <w:t>-</w:t>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rPr>
        <w:rFonts w:hint="eastAsia"/>
      </w:rPr>
      <w:t>-</w:t>
    </w:r>
    <w:r>
      <w:fldChar w:fldCharType="begin"/>
    </w:r>
    <w:r>
      <w:instrText xml:space="preserve"> PAGE   \* MERGEFORMAT </w:instrText>
    </w:r>
    <w:r>
      <w:fldChar w:fldCharType="separate"/>
    </w:r>
    <w:r>
      <w:rPr>
        <w:lang w:val="zh-CN"/>
      </w:rPr>
      <w:t>8</w:t>
    </w:r>
    <w:r>
      <w:rPr>
        <w:lang w:val="zh-CN"/>
      </w:rPr>
      <w:fldChar w:fldCharType="end"/>
    </w:r>
    <w:r>
      <w:rPr>
        <w:rFonts w:hint="eastAsia"/>
      </w:rPr>
      <w:t>-</w:t>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w:rPr>
        <w:rFonts w:hint="eastAsia"/>
      </w:rPr>
      <w:t>-</w:t>
    </w:r>
    <w:r>
      <w:fldChar w:fldCharType="begin"/>
    </w:r>
    <w:r>
      <w:instrText xml:space="preserve"> PAGE   \* MERGEFORMAT </w:instrText>
    </w:r>
    <w:r>
      <w:fldChar w:fldCharType="separate"/>
    </w:r>
    <w:r>
      <w:rPr>
        <w:lang w:val="zh-CN"/>
      </w:rPr>
      <w:t>9</w:t>
    </w:r>
    <w:r>
      <w:rPr>
        <w:lang w:val="zh-CN"/>
      </w:rPr>
      <w:fldChar w:fldCharType="end"/>
    </w:r>
    <w:r>
      <w:rPr>
        <w:rFonts w:hint="eastAsia"/>
      </w:rPr>
      <w:t>-</w:t>
    </w:r>
  </w:p>
  <w:p>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6380178"/>
    <w:multiLevelType w:val="singleLevel"/>
    <w:tmpl w:val="06380178"/>
    <w:lvl w:ilvl="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8AF"/>
    <w:rsid w:val="00015640"/>
    <w:rsid w:val="00051EB5"/>
    <w:rsid w:val="00051F32"/>
    <w:rsid w:val="0006480E"/>
    <w:rsid w:val="00064B11"/>
    <w:rsid w:val="0006541C"/>
    <w:rsid w:val="00072FC2"/>
    <w:rsid w:val="000772DA"/>
    <w:rsid w:val="000822E6"/>
    <w:rsid w:val="00086804"/>
    <w:rsid w:val="000A32E7"/>
    <w:rsid w:val="000B55C2"/>
    <w:rsid w:val="000C5234"/>
    <w:rsid w:val="000D71ED"/>
    <w:rsid w:val="000E7999"/>
    <w:rsid w:val="000F74BA"/>
    <w:rsid w:val="00114CBB"/>
    <w:rsid w:val="00125AAC"/>
    <w:rsid w:val="00136C05"/>
    <w:rsid w:val="00161099"/>
    <w:rsid w:val="00177ADF"/>
    <w:rsid w:val="001833D1"/>
    <w:rsid w:val="0018560F"/>
    <w:rsid w:val="0018731D"/>
    <w:rsid w:val="00193736"/>
    <w:rsid w:val="00194359"/>
    <w:rsid w:val="001A1EF3"/>
    <w:rsid w:val="001A7247"/>
    <w:rsid w:val="001B3E4A"/>
    <w:rsid w:val="001B4A57"/>
    <w:rsid w:val="001B6CF3"/>
    <w:rsid w:val="001C6C63"/>
    <w:rsid w:val="001E5CB6"/>
    <w:rsid w:val="001F6FC6"/>
    <w:rsid w:val="002056DA"/>
    <w:rsid w:val="00206B94"/>
    <w:rsid w:val="00221729"/>
    <w:rsid w:val="002255EB"/>
    <w:rsid w:val="002370CC"/>
    <w:rsid w:val="002458EB"/>
    <w:rsid w:val="0025144C"/>
    <w:rsid w:val="002535E8"/>
    <w:rsid w:val="00261BDD"/>
    <w:rsid w:val="00264168"/>
    <w:rsid w:val="002826FD"/>
    <w:rsid w:val="002C1234"/>
    <w:rsid w:val="002D0DDD"/>
    <w:rsid w:val="002F7595"/>
    <w:rsid w:val="00341F87"/>
    <w:rsid w:val="003645FA"/>
    <w:rsid w:val="00381EE6"/>
    <w:rsid w:val="0039397E"/>
    <w:rsid w:val="003A7662"/>
    <w:rsid w:val="003B3092"/>
    <w:rsid w:val="003C31AD"/>
    <w:rsid w:val="003C413F"/>
    <w:rsid w:val="003D7CFE"/>
    <w:rsid w:val="003E0DB1"/>
    <w:rsid w:val="00402F47"/>
    <w:rsid w:val="004219AB"/>
    <w:rsid w:val="00421EB9"/>
    <w:rsid w:val="0042510F"/>
    <w:rsid w:val="004400EE"/>
    <w:rsid w:val="004469D7"/>
    <w:rsid w:val="00457B41"/>
    <w:rsid w:val="00473F49"/>
    <w:rsid w:val="00475570"/>
    <w:rsid w:val="004864C3"/>
    <w:rsid w:val="0049441A"/>
    <w:rsid w:val="004A1E74"/>
    <w:rsid w:val="004C7E2B"/>
    <w:rsid w:val="004D1FB1"/>
    <w:rsid w:val="004D4BB3"/>
    <w:rsid w:val="004D5D7E"/>
    <w:rsid w:val="004D7AAC"/>
    <w:rsid w:val="004F783D"/>
    <w:rsid w:val="005205C2"/>
    <w:rsid w:val="00527CD4"/>
    <w:rsid w:val="00540F5B"/>
    <w:rsid w:val="00540F66"/>
    <w:rsid w:val="005471D4"/>
    <w:rsid w:val="005609E8"/>
    <w:rsid w:val="005642D2"/>
    <w:rsid w:val="0058495C"/>
    <w:rsid w:val="005962D2"/>
    <w:rsid w:val="00597F5B"/>
    <w:rsid w:val="005B08AF"/>
    <w:rsid w:val="005C50AC"/>
    <w:rsid w:val="005D2385"/>
    <w:rsid w:val="005D6731"/>
    <w:rsid w:val="005D7FB3"/>
    <w:rsid w:val="005E34F9"/>
    <w:rsid w:val="0061301C"/>
    <w:rsid w:val="0062068B"/>
    <w:rsid w:val="00646580"/>
    <w:rsid w:val="0065487F"/>
    <w:rsid w:val="00657E0C"/>
    <w:rsid w:val="00682A31"/>
    <w:rsid w:val="00682C63"/>
    <w:rsid w:val="006A12FA"/>
    <w:rsid w:val="006A5180"/>
    <w:rsid w:val="006B1FD5"/>
    <w:rsid w:val="006B551E"/>
    <w:rsid w:val="006C470F"/>
    <w:rsid w:val="00702C6C"/>
    <w:rsid w:val="00704796"/>
    <w:rsid w:val="00713580"/>
    <w:rsid w:val="007140EB"/>
    <w:rsid w:val="00717932"/>
    <w:rsid w:val="00722A43"/>
    <w:rsid w:val="00740C20"/>
    <w:rsid w:val="00745F61"/>
    <w:rsid w:val="00771D33"/>
    <w:rsid w:val="007774D6"/>
    <w:rsid w:val="00781719"/>
    <w:rsid w:val="00791267"/>
    <w:rsid w:val="00795B52"/>
    <w:rsid w:val="00796349"/>
    <w:rsid w:val="007B09F8"/>
    <w:rsid w:val="007B30E0"/>
    <w:rsid w:val="007D425E"/>
    <w:rsid w:val="007D7287"/>
    <w:rsid w:val="007E52F9"/>
    <w:rsid w:val="007F01EA"/>
    <w:rsid w:val="008019F5"/>
    <w:rsid w:val="00805530"/>
    <w:rsid w:val="00811CE4"/>
    <w:rsid w:val="0082179B"/>
    <w:rsid w:val="00822A1B"/>
    <w:rsid w:val="00834511"/>
    <w:rsid w:val="00835CE4"/>
    <w:rsid w:val="00853AD1"/>
    <w:rsid w:val="008634AD"/>
    <w:rsid w:val="0087017F"/>
    <w:rsid w:val="00875D93"/>
    <w:rsid w:val="00893BBD"/>
    <w:rsid w:val="008A573F"/>
    <w:rsid w:val="008C0998"/>
    <w:rsid w:val="008D452B"/>
    <w:rsid w:val="008D6B41"/>
    <w:rsid w:val="008E28B5"/>
    <w:rsid w:val="008E5737"/>
    <w:rsid w:val="008F2D31"/>
    <w:rsid w:val="00906919"/>
    <w:rsid w:val="0094552E"/>
    <w:rsid w:val="00952AFD"/>
    <w:rsid w:val="00952EE7"/>
    <w:rsid w:val="00955891"/>
    <w:rsid w:val="00960277"/>
    <w:rsid w:val="00964DE0"/>
    <w:rsid w:val="009663FD"/>
    <w:rsid w:val="00980A47"/>
    <w:rsid w:val="0098778D"/>
    <w:rsid w:val="00993684"/>
    <w:rsid w:val="009B3BAE"/>
    <w:rsid w:val="009C712A"/>
    <w:rsid w:val="00A03F61"/>
    <w:rsid w:val="00A04B12"/>
    <w:rsid w:val="00A26D20"/>
    <w:rsid w:val="00A3531C"/>
    <w:rsid w:val="00A844AD"/>
    <w:rsid w:val="00A941F9"/>
    <w:rsid w:val="00AA15A6"/>
    <w:rsid w:val="00AC0E3E"/>
    <w:rsid w:val="00AD0BC8"/>
    <w:rsid w:val="00AD7A0B"/>
    <w:rsid w:val="00AE74DE"/>
    <w:rsid w:val="00B03103"/>
    <w:rsid w:val="00B0452E"/>
    <w:rsid w:val="00B04A45"/>
    <w:rsid w:val="00B06588"/>
    <w:rsid w:val="00B2257C"/>
    <w:rsid w:val="00B5241F"/>
    <w:rsid w:val="00B66518"/>
    <w:rsid w:val="00B66B54"/>
    <w:rsid w:val="00B75397"/>
    <w:rsid w:val="00B8590A"/>
    <w:rsid w:val="00B90BD5"/>
    <w:rsid w:val="00BC69B4"/>
    <w:rsid w:val="00BD1829"/>
    <w:rsid w:val="00BD37B6"/>
    <w:rsid w:val="00BD632C"/>
    <w:rsid w:val="00BE4ADD"/>
    <w:rsid w:val="00BF3F19"/>
    <w:rsid w:val="00BF6CC8"/>
    <w:rsid w:val="00C13B97"/>
    <w:rsid w:val="00C14C42"/>
    <w:rsid w:val="00C156FB"/>
    <w:rsid w:val="00C25778"/>
    <w:rsid w:val="00C27116"/>
    <w:rsid w:val="00C3358D"/>
    <w:rsid w:val="00C34FF8"/>
    <w:rsid w:val="00C50222"/>
    <w:rsid w:val="00C9406B"/>
    <w:rsid w:val="00CB0BA5"/>
    <w:rsid w:val="00CB2E0A"/>
    <w:rsid w:val="00CB5317"/>
    <w:rsid w:val="00CC541C"/>
    <w:rsid w:val="00D2224C"/>
    <w:rsid w:val="00D229B1"/>
    <w:rsid w:val="00D242A0"/>
    <w:rsid w:val="00D33F54"/>
    <w:rsid w:val="00D47881"/>
    <w:rsid w:val="00D535B5"/>
    <w:rsid w:val="00D56BD9"/>
    <w:rsid w:val="00D60BC3"/>
    <w:rsid w:val="00D64D48"/>
    <w:rsid w:val="00D7034D"/>
    <w:rsid w:val="00DC46DA"/>
    <w:rsid w:val="00DC534C"/>
    <w:rsid w:val="00DD32B5"/>
    <w:rsid w:val="00DE1873"/>
    <w:rsid w:val="00DE2DA2"/>
    <w:rsid w:val="00DF2974"/>
    <w:rsid w:val="00DF7ED0"/>
    <w:rsid w:val="00E054F6"/>
    <w:rsid w:val="00E10CE8"/>
    <w:rsid w:val="00E10D19"/>
    <w:rsid w:val="00E438E5"/>
    <w:rsid w:val="00E4518D"/>
    <w:rsid w:val="00E50E5B"/>
    <w:rsid w:val="00E60703"/>
    <w:rsid w:val="00EA7623"/>
    <w:rsid w:val="00EB7CDA"/>
    <w:rsid w:val="00EC2233"/>
    <w:rsid w:val="00ED69E1"/>
    <w:rsid w:val="00EE1E84"/>
    <w:rsid w:val="00EE6BEA"/>
    <w:rsid w:val="00EF0F2F"/>
    <w:rsid w:val="00F060CD"/>
    <w:rsid w:val="00F0612F"/>
    <w:rsid w:val="00F21522"/>
    <w:rsid w:val="00F30EB1"/>
    <w:rsid w:val="00F40511"/>
    <w:rsid w:val="00F42FDC"/>
    <w:rsid w:val="00F44DD8"/>
    <w:rsid w:val="00F45AA9"/>
    <w:rsid w:val="00F474D3"/>
    <w:rsid w:val="00F62875"/>
    <w:rsid w:val="00F638EE"/>
    <w:rsid w:val="00F77ED5"/>
    <w:rsid w:val="00F820E8"/>
    <w:rsid w:val="00F8723F"/>
    <w:rsid w:val="00F93C28"/>
    <w:rsid w:val="00FA06E4"/>
    <w:rsid w:val="00FA20D5"/>
    <w:rsid w:val="00FA5D8C"/>
    <w:rsid w:val="00FB329E"/>
    <w:rsid w:val="00FB5C5E"/>
    <w:rsid w:val="00FD6AE0"/>
    <w:rsid w:val="00FE6C8A"/>
    <w:rsid w:val="0130344B"/>
    <w:rsid w:val="01B20506"/>
    <w:rsid w:val="01FF4655"/>
    <w:rsid w:val="037D6A2D"/>
    <w:rsid w:val="04B24662"/>
    <w:rsid w:val="0589794A"/>
    <w:rsid w:val="05992E89"/>
    <w:rsid w:val="06537153"/>
    <w:rsid w:val="08F635B6"/>
    <w:rsid w:val="0938695E"/>
    <w:rsid w:val="097042B7"/>
    <w:rsid w:val="0A5E4790"/>
    <w:rsid w:val="0A9A64D7"/>
    <w:rsid w:val="0ABD6584"/>
    <w:rsid w:val="0BB64319"/>
    <w:rsid w:val="0C007BCF"/>
    <w:rsid w:val="0C4D7E02"/>
    <w:rsid w:val="0D2365F5"/>
    <w:rsid w:val="0DA94B5F"/>
    <w:rsid w:val="0E29764E"/>
    <w:rsid w:val="0F467E6A"/>
    <w:rsid w:val="0FCD1B0D"/>
    <w:rsid w:val="10C2601D"/>
    <w:rsid w:val="10F34BB3"/>
    <w:rsid w:val="11400FA4"/>
    <w:rsid w:val="13C97F61"/>
    <w:rsid w:val="1451575C"/>
    <w:rsid w:val="1500617F"/>
    <w:rsid w:val="15010B19"/>
    <w:rsid w:val="15094142"/>
    <w:rsid w:val="15782477"/>
    <w:rsid w:val="157A736F"/>
    <w:rsid w:val="1614116C"/>
    <w:rsid w:val="1756524F"/>
    <w:rsid w:val="17A101EA"/>
    <w:rsid w:val="18D51165"/>
    <w:rsid w:val="18DB2233"/>
    <w:rsid w:val="19B17F86"/>
    <w:rsid w:val="1A8D0BEE"/>
    <w:rsid w:val="1B8D198D"/>
    <w:rsid w:val="1BDC127A"/>
    <w:rsid w:val="1D3516E1"/>
    <w:rsid w:val="1D93442A"/>
    <w:rsid w:val="1E1C553D"/>
    <w:rsid w:val="1E3A0CD8"/>
    <w:rsid w:val="20106ECE"/>
    <w:rsid w:val="2245448E"/>
    <w:rsid w:val="225B4AEB"/>
    <w:rsid w:val="24B830A5"/>
    <w:rsid w:val="26420BF8"/>
    <w:rsid w:val="279F7D2E"/>
    <w:rsid w:val="285E26CA"/>
    <w:rsid w:val="2941299A"/>
    <w:rsid w:val="29DC3ABD"/>
    <w:rsid w:val="2A5723D6"/>
    <w:rsid w:val="2AC06561"/>
    <w:rsid w:val="2B3E30FF"/>
    <w:rsid w:val="2B933843"/>
    <w:rsid w:val="2BC57178"/>
    <w:rsid w:val="2CC429DC"/>
    <w:rsid w:val="2D03260D"/>
    <w:rsid w:val="2DA81726"/>
    <w:rsid w:val="2EA760CF"/>
    <w:rsid w:val="2FBE6195"/>
    <w:rsid w:val="30BB4C20"/>
    <w:rsid w:val="32B0268A"/>
    <w:rsid w:val="356D74E0"/>
    <w:rsid w:val="35A16F3F"/>
    <w:rsid w:val="3AA60919"/>
    <w:rsid w:val="3ABF3F1F"/>
    <w:rsid w:val="3B36061C"/>
    <w:rsid w:val="3BFD7FA7"/>
    <w:rsid w:val="3E147FD8"/>
    <w:rsid w:val="40495B2F"/>
    <w:rsid w:val="41D857CD"/>
    <w:rsid w:val="426E6D96"/>
    <w:rsid w:val="431C7085"/>
    <w:rsid w:val="435707F2"/>
    <w:rsid w:val="45EB51A6"/>
    <w:rsid w:val="47832AD7"/>
    <w:rsid w:val="4A5F7040"/>
    <w:rsid w:val="4A641574"/>
    <w:rsid w:val="4A701094"/>
    <w:rsid w:val="4A9F1D15"/>
    <w:rsid w:val="4BB52C98"/>
    <w:rsid w:val="4BDB7C47"/>
    <w:rsid w:val="4C54739B"/>
    <w:rsid w:val="4E29369E"/>
    <w:rsid w:val="4EDB6331"/>
    <w:rsid w:val="4FBA3744"/>
    <w:rsid w:val="526130AB"/>
    <w:rsid w:val="53C0468C"/>
    <w:rsid w:val="54C75EB6"/>
    <w:rsid w:val="54CF3622"/>
    <w:rsid w:val="556C6B2A"/>
    <w:rsid w:val="55DB1B37"/>
    <w:rsid w:val="56DF3894"/>
    <w:rsid w:val="5730252F"/>
    <w:rsid w:val="57686574"/>
    <w:rsid w:val="58340941"/>
    <w:rsid w:val="597B518B"/>
    <w:rsid w:val="59C27F4E"/>
    <w:rsid w:val="5A084F5B"/>
    <w:rsid w:val="5A4827C6"/>
    <w:rsid w:val="5CB76820"/>
    <w:rsid w:val="5E6C48CD"/>
    <w:rsid w:val="5F915C0E"/>
    <w:rsid w:val="608D54A4"/>
    <w:rsid w:val="616474DD"/>
    <w:rsid w:val="61711C1C"/>
    <w:rsid w:val="619B3414"/>
    <w:rsid w:val="627314CB"/>
    <w:rsid w:val="63FE6DDA"/>
    <w:rsid w:val="64706B1F"/>
    <w:rsid w:val="65DC1963"/>
    <w:rsid w:val="665A401C"/>
    <w:rsid w:val="67496DE7"/>
    <w:rsid w:val="67813B3C"/>
    <w:rsid w:val="68F71216"/>
    <w:rsid w:val="6A9177AB"/>
    <w:rsid w:val="6C1377FF"/>
    <w:rsid w:val="6D816930"/>
    <w:rsid w:val="6E9510F6"/>
    <w:rsid w:val="6EEA33D9"/>
    <w:rsid w:val="706424B8"/>
    <w:rsid w:val="7138175C"/>
    <w:rsid w:val="71386F51"/>
    <w:rsid w:val="722F4D70"/>
    <w:rsid w:val="72D30A1D"/>
    <w:rsid w:val="73240CCB"/>
    <w:rsid w:val="73DE037F"/>
    <w:rsid w:val="754914D6"/>
    <w:rsid w:val="75867D6B"/>
    <w:rsid w:val="762F165B"/>
    <w:rsid w:val="76715724"/>
    <w:rsid w:val="773A3DCF"/>
    <w:rsid w:val="78814613"/>
    <w:rsid w:val="788A090B"/>
    <w:rsid w:val="7931579B"/>
    <w:rsid w:val="796A7BFE"/>
    <w:rsid w:val="79A01FC4"/>
    <w:rsid w:val="79D64FEE"/>
    <w:rsid w:val="7A29632C"/>
    <w:rsid w:val="7A3E4151"/>
    <w:rsid w:val="7A6871E6"/>
    <w:rsid w:val="7AAC457B"/>
    <w:rsid w:val="7AF52452"/>
    <w:rsid w:val="7B5D0A9D"/>
    <w:rsid w:val="7C481A8E"/>
    <w:rsid w:val="7CCE74A0"/>
    <w:rsid w:val="7DB643B4"/>
    <w:rsid w:val="7F48656A"/>
    <w:rsid w:val="7F5E422F"/>
  </w:rsids>
  <w:docVars>
    <w:docVar w:name="commondata" w:val="eyJoZGlkIjoiOGYwODkyMDA3YmE5MDczZjQ4ODc4MWE5NTM1NDY0ZWQifQ=="/>
  </w:docVar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qFormat="1"/>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qFormat="1"/>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semiHidden="0" w:qFormat="1"/>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semiHidden="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qFormat="1"/>
    <w:lsdException w:name="Table Grid" w:semiHidden="0" w:uiPriority="3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bidi="ar-SA"/>
    </w:rPr>
  </w:style>
  <w:style w:type="paragraph" w:styleId="Heading3">
    <w:name w:val="heading 3"/>
    <w:basedOn w:val="Normal"/>
    <w:next w:val="Normal"/>
    <w:link w:val="3"/>
    <w:uiPriority w:val="9"/>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link w:val="a2"/>
    <w:uiPriority w:val="99"/>
    <w:semiHidden/>
    <w:unhideWhenUsed/>
    <w:qFormat/>
    <w:pPr>
      <w:jc w:val="left"/>
    </w:pPr>
  </w:style>
  <w:style w:type="paragraph" w:styleId="BalloonText">
    <w:name w:val="Balloon Text"/>
    <w:basedOn w:val="Normal"/>
    <w:link w:val="a1"/>
    <w:uiPriority w:val="99"/>
    <w:semiHidden/>
    <w:unhideWhenUsed/>
    <w:qFormat/>
    <w:rPr>
      <w:sz w:val="18"/>
      <w:szCs w:val="18"/>
    </w:rPr>
  </w:style>
  <w:style w:type="paragraph" w:styleId="Footer">
    <w:name w:val="footer"/>
    <w:basedOn w:val="Normal"/>
    <w:link w:val="a0"/>
    <w:uiPriority w:val="99"/>
    <w:unhideWhenUsed/>
    <w:qFormat/>
    <w:pPr>
      <w:tabs>
        <w:tab w:val="center" w:pos="4153"/>
        <w:tab w:val="right" w:pos="8306"/>
      </w:tabs>
      <w:snapToGrid w:val="0"/>
      <w:jc w:val="left"/>
    </w:pPr>
    <w:rPr>
      <w:sz w:val="18"/>
      <w:szCs w:val="18"/>
    </w:rPr>
  </w:style>
  <w:style w:type="paragraph" w:styleId="Header">
    <w:name w:val="header"/>
    <w:basedOn w:val="Normal"/>
    <w:link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qFormat/>
    <w:pPr>
      <w:widowControl/>
      <w:spacing w:before="100" w:beforeAutospacing="1" w:after="100" w:afterAutospacing="1"/>
      <w:jc w:val="left"/>
    </w:pPr>
    <w:rPr>
      <w:rFonts w:ascii="宋体" w:hAnsi="宋体" w:cs="宋体"/>
      <w:kern w:val="0"/>
      <w:sz w:val="24"/>
    </w:rPr>
  </w:style>
  <w:style w:type="paragraph" w:styleId="CommentSubject">
    <w:name w:val="annotation subject"/>
    <w:basedOn w:val="CommentText"/>
    <w:next w:val="CommentText"/>
    <w:link w:val="a3"/>
    <w:uiPriority w:val="99"/>
    <w:semiHidden/>
    <w:unhideWhenUsed/>
    <w:qFormat/>
    <w:rPr>
      <w:b/>
      <w:bCs/>
    </w:rPr>
  </w:style>
  <w:style w:type="table" w:styleId="TableGrid">
    <w:name w:val="Table Grid"/>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rPr>
  </w:style>
  <w:style w:type="character" w:styleId="FollowedHyperlink">
    <w:name w:val="FollowedHyperlink"/>
    <w:basedOn w:val="DefaultParagraphFont"/>
    <w:uiPriority w:val="99"/>
    <w:unhideWhenUsed/>
    <w:qFormat/>
    <w:rPr>
      <w:color w:val="800080" w:themeColor="followedHyperlink"/>
      <w:u w:val="single"/>
      <w14:textFill>
        <w14:solidFill>
          <w14:schemeClr w14:val="folHlink"/>
        </w14:solidFill>
      </w14:textFill>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themeColor="hyperlink"/>
      <w:u w:val="single"/>
      <w14:textFill>
        <w14:solidFill>
          <w14:schemeClr w14:val="hlink"/>
        </w14:solidFill>
      </w14:textFill>
    </w:rPr>
  </w:style>
  <w:style w:type="character" w:styleId="CommentReference">
    <w:name w:val="annotation reference"/>
    <w:basedOn w:val="DefaultParagraphFont"/>
    <w:uiPriority w:val="99"/>
    <w:semiHidden/>
    <w:unhideWhenUsed/>
    <w:qFormat/>
    <w:rPr>
      <w:sz w:val="21"/>
      <w:szCs w:val="21"/>
    </w:rPr>
  </w:style>
  <w:style w:type="character" w:customStyle="1" w:styleId="3">
    <w:name w:val="标题 3 字符"/>
    <w:link w:val="Heading3"/>
    <w:uiPriority w:val="9"/>
    <w:qFormat/>
    <w:rPr>
      <w:rFonts w:ascii="Times New Roman" w:hAnsi="Times New Roman"/>
      <w:b/>
      <w:bCs/>
      <w:kern w:val="2"/>
      <w:sz w:val="32"/>
      <w:szCs w:val="32"/>
    </w:rPr>
  </w:style>
  <w:style w:type="character" w:customStyle="1" w:styleId="a">
    <w:name w:val="页眉 字符"/>
    <w:link w:val="Header"/>
    <w:uiPriority w:val="99"/>
    <w:qFormat/>
    <w:rPr>
      <w:sz w:val="18"/>
      <w:szCs w:val="18"/>
    </w:rPr>
  </w:style>
  <w:style w:type="character" w:customStyle="1" w:styleId="a0">
    <w:name w:val="页脚 字符"/>
    <w:link w:val="Footer"/>
    <w:uiPriority w:val="99"/>
    <w:qFormat/>
    <w:rPr>
      <w:sz w:val="18"/>
      <w:szCs w:val="18"/>
    </w:rPr>
  </w:style>
  <w:style w:type="character" w:customStyle="1" w:styleId="apple-converted-space">
    <w:name w:val="apple-converted-space"/>
    <w:basedOn w:val="DefaultParagraphFont"/>
    <w:qFormat/>
  </w:style>
  <w:style w:type="character" w:customStyle="1" w:styleId="a1">
    <w:name w:val="批注框文本 字符"/>
    <w:link w:val="BalloonText"/>
    <w:uiPriority w:val="99"/>
    <w:semiHidden/>
    <w:qFormat/>
    <w:rPr>
      <w:rFonts w:ascii="Times New Roman" w:hAnsi="Times New Roman"/>
      <w:kern w:val="2"/>
      <w:sz w:val="18"/>
      <w:szCs w:val="18"/>
    </w:rPr>
  </w:style>
  <w:style w:type="paragraph" w:styleId="ListParagraph">
    <w:name w:val="List Paragraph"/>
    <w:basedOn w:val="Normal"/>
    <w:uiPriority w:val="34"/>
    <w:qFormat/>
    <w:pPr>
      <w:ind w:firstLine="420" w:firstLineChars="200"/>
    </w:pPr>
    <w:rPr>
      <w:rFonts w:ascii="Calibri" w:hAnsi="Calibri"/>
      <w:szCs w:val="22"/>
    </w:rPr>
  </w:style>
  <w:style w:type="character" w:customStyle="1" w:styleId="a2">
    <w:name w:val="批注文字 字符"/>
    <w:basedOn w:val="DefaultParagraphFont"/>
    <w:link w:val="CommentText"/>
    <w:uiPriority w:val="99"/>
    <w:semiHidden/>
    <w:qFormat/>
    <w:rPr>
      <w:rFonts w:ascii="Times New Roman" w:hAnsi="Times New Roman"/>
      <w:kern w:val="2"/>
      <w:sz w:val="21"/>
      <w:szCs w:val="24"/>
    </w:rPr>
  </w:style>
  <w:style w:type="character" w:customStyle="1" w:styleId="a3">
    <w:name w:val="批注主题 字符"/>
    <w:basedOn w:val="a2"/>
    <w:link w:val="CommentSubject"/>
    <w:uiPriority w:val="99"/>
    <w:semiHidden/>
    <w:qFormat/>
    <w:rPr>
      <w:rFonts w:ascii="Times New Roman" w:hAnsi="Times New Roman"/>
      <w:b/>
      <w:bCs/>
      <w:kern w:val="2"/>
      <w:sz w:val="21"/>
      <w:szCs w:val="24"/>
    </w:rPr>
  </w:style>
  <w:style w:type="paragraph" w:customStyle="1" w:styleId="xl81">
    <w:name w:val="xl81"/>
    <w:basedOn w:val="style0"/>
    <w:qFormat/>
  </w:style>
  <w:style w:type="paragraph" w:customStyle="1" w:styleId="style0">
    <w:name w:val="style0"/>
    <w:basedOn w:val="Normal"/>
    <w:qFormat/>
    <w:pPr>
      <w:widowControl/>
      <w:spacing w:before="100" w:beforeAutospacing="1" w:after="100" w:afterAutospacing="1"/>
      <w:jc w:val="left"/>
    </w:pPr>
    <w:rPr>
      <w:rFonts w:ascii="宋体" w:hAnsi="宋体" w:cs="宋体"/>
      <w:kern w:val="0"/>
      <w:sz w:val="24"/>
    </w:rPr>
  </w:style>
  <w:style w:type="paragraph" w:customStyle="1" w:styleId="xl79">
    <w:name w:val="xl79"/>
    <w:basedOn w:val="style0"/>
    <w:qFormat/>
  </w:style>
  <w:style w:type="paragraph" w:customStyle="1" w:styleId="xl78">
    <w:name w:val="xl78"/>
    <w:basedOn w:val="style0"/>
    <w:qFormat/>
  </w:style>
  <w:style w:type="paragraph" w:customStyle="1" w:styleId="xl76">
    <w:name w:val="xl76"/>
    <w:basedOn w:val="style0"/>
    <w:qFormat/>
  </w:style>
  <w:style w:type="paragraph" w:customStyle="1" w:styleId="xl74">
    <w:name w:val="xl74"/>
    <w:basedOn w:val="style0"/>
    <w:qFormat/>
  </w:style>
  <w:style w:type="paragraph" w:customStyle="1" w:styleId="xl73">
    <w:name w:val="xl73"/>
    <w:basedOn w:val="style0"/>
    <w:qFormat/>
  </w:style>
  <w:style w:type="paragraph" w:customStyle="1" w:styleId="xl71">
    <w:name w:val="xl71"/>
    <w:basedOn w:val="style0"/>
    <w:qFormat/>
  </w:style>
  <w:style w:type="paragraph" w:customStyle="1" w:styleId="xl70">
    <w:name w:val="xl70"/>
    <w:basedOn w:val="style0"/>
    <w:qFormat/>
  </w:style>
  <w:style w:type="paragraph" w:customStyle="1" w:styleId="xl69">
    <w:name w:val="xl69"/>
    <w:basedOn w:val="style0"/>
    <w:qFormat/>
  </w:style>
  <w:style w:type="paragraph" w:customStyle="1" w:styleId="xl68">
    <w:name w:val="xl68"/>
    <w:basedOn w:val="style0"/>
    <w:qFormat/>
  </w:style>
  <w:style w:type="paragraph" w:customStyle="1" w:styleId="xl67">
    <w:name w:val="xl67"/>
    <w:basedOn w:val="style0"/>
    <w:qFormat/>
  </w:style>
  <w:style w:type="paragraph" w:customStyle="1" w:styleId="xl66">
    <w:name w:val="xl66"/>
    <w:basedOn w:val="style0"/>
    <w:qFormat/>
  </w:style>
  <w:style w:type="paragraph" w:customStyle="1" w:styleId="1">
    <w:name w:val="修订1"/>
    <w:hidden/>
    <w:uiPriority w:val="99"/>
    <w:semiHidden/>
    <w:qFormat/>
    <w:rPr>
      <w:rFonts w:ascii="Times New Roman" w:eastAsia="宋体" w:hAnsi="Times New Roman" w:cs="Times New Roman"/>
      <w:kern w:val="2"/>
      <w:sz w:val="21"/>
      <w:szCs w:val="24"/>
      <w:lang w:val="en-US" w:eastAsia="zh-CN" w:bidi="ar-SA"/>
    </w:rPr>
  </w:style>
  <w:style w:type="character" w:customStyle="1" w:styleId="UnresolvedMention">
    <w:name w:val="Unresolved Mention"/>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image" Target="media/image2.png" /><Relationship Id="rId13" Type="http://schemas.openxmlformats.org/officeDocument/2006/relationships/footer" Target="footer8.xml" /><Relationship Id="rId14" Type="http://schemas.openxmlformats.org/officeDocument/2006/relationships/image" Target="media/image3.png" /><Relationship Id="rId15" Type="http://schemas.openxmlformats.org/officeDocument/2006/relationships/hyperlink" Target="https://d.book118.com/848025073045006044" TargetMode="External" /><Relationship Id="rId16" Type="http://schemas.openxmlformats.org/officeDocument/2006/relationships/footer" Target="footer9.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image" Target="media/image1.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9</TotalTime>
  <Pages>11</Pages>
  <Words>2833</Words>
  <Characters>16154</Characters>
  <Application>Microsoft Office Word</Application>
  <DocSecurity>0</DocSecurity>
  <Lines>134</Lines>
  <Paragraphs>37</Paragraphs>
  <ScaleCrop>false</ScaleCrop>
  <Company>Microsoft</Company>
  <LinksUpToDate>false</LinksUpToDate>
  <CharactersWithSpaces>18950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刁强</dc:creator>
  <cp:lastModifiedBy>金梦露</cp:lastModifiedBy>
  <cp:revision>2</cp:revision>
  <cp:lastPrinted>2019-10-31T07:25:00Z</cp:lastPrinted>
  <dcterms:created xsi:type="dcterms:W3CDTF">2021-10-29T09:01:00Z</dcterms:created>
  <dcterms:modified xsi:type="dcterms:W3CDTF">2023-10-30T02:43:39Z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264E4B644CC3412FB6BFEEB24447D216_13</vt:lpwstr>
  </property>
  <property fmtid="{D5CDD505-2E9C-101B-9397-08002B2CF9AE}" pid="3" name="KSOProductBuildVer">
    <vt:lpwstr>2052-12.1.0.15712</vt:lpwstr>
  </property>
</Properties>
</file>