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2024年EVA球行业分析报告及未来五到十年行业发展趋势报告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104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_Toc25104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5046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_Toc25046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07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_Toc26307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21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_Toc24621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700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_Toc23700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05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_Toc27105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95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_Toc17695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912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_Toc18912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62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_Toc22623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22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_Toc30222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03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_Toc9003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87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_Toc9287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411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_Toc30411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0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_Toc28705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9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_Toc6696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5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_Toc24554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010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_Toc29010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07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_Toc19071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948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_Toc13948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882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_Toc27882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62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_Toc30625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05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_Toc13805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1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_Toc26211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099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_Toc16099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293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_Toc13293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54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_Toc25754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609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_Toc16609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454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_Toc18454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018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行业(2024-2029)发展趋势预测</w:t>
        </w:r>
        <w:r>
          <w:tab/>
        </w:r>
        <w:r>
          <w:fldChar w:fldCharType="begin"/>
        </w:r>
        <w:r>
          <w:instrText xml:space="preserve"> PAGEREF _Toc27018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5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行业当下面临的机会和挑战</w:t>
        </w:r>
        <w:r>
          <w:tab/>
        </w:r>
        <w:r>
          <w:fldChar w:fldCharType="begin"/>
        </w:r>
        <w:r>
          <w:instrText xml:space="preserve"> PAGEREF _Toc32352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8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行业经营理念快速转变的意义</w:t>
        </w:r>
        <w:r>
          <w:tab/>
        </w:r>
        <w:r>
          <w:fldChar w:fldCharType="begin"/>
        </w:r>
        <w:r>
          <w:instrText xml:space="preserve"> PAGEREF _Toc14587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32" w:history="1">
        <w:r>
          <w:rPr>
            <w:rFonts w:eastAsia="微软雅黑" w:hint="eastAsia"/>
            <w:snapToGrid/>
            <w:lang w:val="en-US" w:eastAsia="zh-CN"/>
          </w:rPr>
          <w:t>(三)、整合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行业的技术服务</w:t>
        </w:r>
        <w:r>
          <w:tab/>
        </w:r>
        <w:r>
          <w:fldChar w:fldCharType="begin"/>
        </w:r>
        <w:r>
          <w:instrText xml:space="preserve"> PAGEREF _Toc12232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018" w:history="1">
        <w:r>
          <w:rPr>
            <w:rFonts w:eastAsia="微软雅黑" w:hint="eastAsia"/>
            <w:snapToGrid/>
            <w:lang w:val="en-US" w:eastAsia="zh-CN"/>
          </w:rPr>
          <w:t>(四)、迅速转变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行业企业的增长动力</w:t>
        </w:r>
        <w:r>
          <w:tab/>
        </w:r>
        <w:r>
          <w:fldChar w:fldCharType="begin"/>
        </w:r>
        <w:r>
          <w:instrText xml:space="preserve"> PAGEREF _Toc25018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823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_Toc10823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439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_Toc4390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40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_Toc18405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5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_Toc6851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811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_Toc20811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960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_Toc8960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_Toc1513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7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_Toc27972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351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_Toc32351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86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_Toc20286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68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_Toc768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12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_Toc7112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689" w:history="1">
        <w:r>
          <w:rPr>
            <w:rFonts w:eastAsia="微软雅黑" w:hint="eastAsia"/>
            <w:snapToGrid/>
            <w:lang w:val="en-US" w:eastAsia="en-US"/>
          </w:rPr>
          <w:t>九、宏观经济对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_Toc32689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2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_Toc10725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8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_Toc18284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_Toc156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568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_Toc11568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1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_Toc14014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896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_Toc25896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934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_Toc19934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9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_Toc30796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4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_Toc18947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675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_Toc9675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079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_Toc5079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92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_Toc10492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27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_Toc24927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98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</w:instrText>
        </w:r>
        <w:r>
          <w:instrText xml:space="preserve"> _Toc20398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5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EVA球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_Toc395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654" w:history="1">
        <w:r>
          <w:rPr>
            <w:rFonts w:eastAsia="微软雅黑" w:hint="eastAsia"/>
            <w:snapToGrid/>
            <w:lang w:val="en-US" w:eastAsia="en-US"/>
          </w:rPr>
          <w:t>十二、未来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行业企业发展的战略保障措施</w:t>
        </w:r>
        <w:r>
          <w:tab/>
        </w:r>
        <w:r>
          <w:fldChar w:fldCharType="begin"/>
        </w:r>
        <w:r>
          <w:instrText xml:space="preserve"> PAGEREF _Toc27654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26" w:history="1">
        <w:r>
          <w:rPr>
            <w:rFonts w:eastAsia="微软雅黑" w:hint="eastAsia"/>
            <w:snapToGrid/>
            <w:lang w:val="en-US" w:eastAsia="zh-CN"/>
          </w:rPr>
          <w:t>(一)、根据公司发展阶段及时调整组织结构</w:t>
        </w:r>
        <w:r>
          <w:tab/>
        </w:r>
        <w:r>
          <w:fldChar w:fldCharType="begin"/>
        </w:r>
        <w:r>
          <w:instrText xml:space="preserve"> PAGEREF _Toc2326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01" w:history="1">
        <w:r>
          <w:rPr>
            <w:rFonts w:eastAsia="微软雅黑" w:hint="eastAsia"/>
            <w:snapToGrid/>
            <w:lang w:val="en-US" w:eastAsia="zh-CN"/>
          </w:rPr>
          <w:t>(二)、加强人才培养和引进</w:t>
        </w:r>
        <w:r>
          <w:tab/>
        </w:r>
        <w:r>
          <w:fldChar w:fldCharType="begin"/>
        </w:r>
        <w:r>
          <w:instrText xml:space="preserve"> PAGEREF _Toc18001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005" w:history="1">
        <w:r>
          <w:rPr>
            <w:rFonts w:eastAsia="微软雅黑" w:hint="eastAsia"/>
            <w:snapToGrid/>
            <w:lang w:val="en-US" w:eastAsia="zh-CN"/>
          </w:rPr>
          <w:t>1、制定总体人才引进计划</w:t>
        </w:r>
        <w:r>
          <w:tab/>
        </w:r>
        <w:r>
          <w:fldChar w:fldCharType="begin"/>
        </w:r>
        <w:r>
          <w:instrText xml:space="preserve"> PAGEREF _Toc5005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755" w:history="1">
        <w:r>
          <w:rPr>
            <w:rFonts w:eastAsia="微软雅黑" w:hint="eastAsia"/>
            <w:snapToGrid/>
            <w:lang w:val="en-US" w:eastAsia="zh-CN"/>
          </w:rPr>
          <w:t>2、渠道人才引进</w:t>
        </w:r>
        <w:r>
          <w:tab/>
        </w:r>
        <w:r>
          <w:fldChar w:fldCharType="begin"/>
        </w:r>
        <w:r>
          <w:instrText xml:space="preserve"> PAGEREF _Toc5755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575" w:history="1">
        <w:r>
          <w:rPr>
            <w:rFonts w:eastAsia="微软雅黑" w:hint="eastAsia"/>
            <w:snapToGrid/>
            <w:lang w:val="en-US" w:eastAsia="zh-CN"/>
          </w:rPr>
          <w:t>3、内部员工竞聘</w:t>
        </w:r>
        <w:r>
          <w:tab/>
        </w:r>
        <w:r>
          <w:fldChar w:fldCharType="begin"/>
        </w:r>
        <w:r>
          <w:instrText xml:space="preserve"> PAGEREF _Toc8575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5" w:history="1">
        <w:r>
          <w:rPr>
            <w:rFonts w:eastAsia="微软雅黑" w:hint="eastAsia"/>
            <w:snapToGrid/>
            <w:lang w:val="en-US" w:eastAsia="zh-CN"/>
          </w:rPr>
          <w:t>(三)、加速信息化建设步伐</w:t>
        </w:r>
        <w:r>
          <w:tab/>
        </w:r>
        <w:r>
          <w:fldChar w:fldCharType="begin"/>
        </w:r>
        <w:r>
          <w:instrText xml:space="preserve"> PAGEREF _Toc2555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496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_Toc9496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024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EVA球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_Toc17024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https://d.book118.com/848045017066006024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848045017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