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时间频率计量标准器具相关行业公司成立方案及可行性研究报告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8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_Toc24231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_Toc9540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_Toc10589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_Toc18482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_Toc4485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二、时间频率计量标准器具项目概况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_Toc27944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2" w:history="1">
        <w:r>
          <w:rPr>
            <w:rFonts w:ascii="仿宋" w:eastAsia="仿宋" w:hAnsi="仿宋" w:cs="仿宋" w:hint="eastAsia"/>
            <w:lang w:eastAsia="zh-CN"/>
          </w:rPr>
          <w:t>(二)、时间频率计量标准器具项目提出的理由</w:t>
        </w:r>
        <w:r>
          <w:tab/>
        </w:r>
        <w:r>
          <w:fldChar w:fldCharType="begin"/>
        </w:r>
        <w:r>
          <w:instrText xml:space="preserve"> PAGEREF _Toc28212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2" w:history="1">
        <w:r>
          <w:rPr>
            <w:rFonts w:ascii="仿宋" w:eastAsia="仿宋" w:hAnsi="仿宋" w:cs="仿宋" w:hint="eastAsia"/>
            <w:lang w:eastAsia="zh-CN"/>
          </w:rPr>
          <w:t>(三)、时间频率计量标准器具项目选址</w:t>
        </w:r>
        <w:r>
          <w:tab/>
        </w:r>
        <w:r>
          <w:fldChar w:fldCharType="begin"/>
        </w:r>
        <w:r>
          <w:instrText xml:space="preserve"> PAGEREF _Toc31382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3" w:history="1">
        <w:r>
          <w:rPr>
            <w:rFonts w:ascii="仿宋" w:eastAsia="仿宋" w:hAnsi="仿宋" w:cs="仿宋" w:hint="eastAsia"/>
            <w:lang w:eastAsia="zh-CN"/>
          </w:rPr>
          <w:t>(六)、时间频率计量标准器具项目投资</w:t>
        </w:r>
        <w:r>
          <w:tab/>
        </w:r>
        <w:r>
          <w:fldChar w:fldCharType="begin"/>
        </w:r>
        <w:r>
          <w:instrText xml:space="preserve"> PAGEREF _Toc8313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" w:history="1">
        <w:r>
          <w:rPr>
            <w:rFonts w:ascii="仿宋" w:eastAsia="仿宋" w:hAnsi="仿宋" w:cs="仿宋" w:hint="eastAsia"/>
            <w:lang w:eastAsia="zh-CN"/>
          </w:rPr>
          <w:t>(七)、时间频率计量标准器具项目进度规划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_Toc25162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(九)、时间频率计量标准器具项目综合评价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3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_Toc21723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_Toc14071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_Toc28331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_Toc17188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_Toc20977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_Toc17428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_Toc18317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_Toc3962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_Toc27236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_Toc15110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_Toc30895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_Toc30206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_Toc19552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_Toc19128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_Toc17893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_Toc22137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_Toc20236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_Toc4683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_Toc3229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1" w:history="1">
        <w:r>
          <w:rPr>
            <w:rFonts w:ascii="仿宋" w:eastAsia="仿宋" w:hAnsi="仿宋" w:cs="仿宋" w:hint="eastAsia"/>
            <w:lang w:eastAsia="zh-CN"/>
          </w:rPr>
          <w:t>(一)、时间频率计量标准器具项目背景分析</w:t>
        </w:r>
        <w:r>
          <w:tab/>
        </w:r>
        <w:r>
          <w:fldChar w:fldCharType="begin"/>
        </w:r>
        <w:r>
          <w:instrText xml:space="preserve"> PAGEREF _Toc12461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9" w:history="1">
        <w:r>
          <w:rPr>
            <w:rFonts w:ascii="仿宋" w:eastAsia="仿宋" w:hAnsi="仿宋" w:cs="仿宋" w:hint="eastAsia"/>
            <w:lang w:eastAsia="zh-CN"/>
          </w:rPr>
          <w:t>(二)、时间频率计量标准器具项目建设必要性分析</w:t>
        </w:r>
        <w:r>
          <w:tab/>
        </w:r>
        <w:r>
          <w:fldChar w:fldCharType="begin"/>
        </w:r>
        <w:r>
          <w:instrText xml:space="preserve"> PAGEREF _Toc11739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_Toc21221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_Toc17401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24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_Toc28247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_Toc23516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_Toc23837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_Toc28747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" w:history="1">
        <w:r>
          <w:rPr>
            <w:rFonts w:ascii="仿宋" w:eastAsia="仿宋" w:hAnsi="仿宋" w:cs="仿宋" w:hint="eastAsia"/>
            <w:lang w:eastAsia="zh-CN"/>
          </w:rPr>
          <w:t>(五)、时间频率计量标准器具项目总投资</w:t>
        </w:r>
        <w:r>
          <w:tab/>
        </w:r>
        <w:r>
          <w:fldChar w:fldCharType="begin"/>
        </w:r>
        <w:r>
          <w:instrText xml:space="preserve"> PAGEREF _Toc1643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_Toc31091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_Toc23575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_Toc11554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_Toc3696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_Toc17758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9" w:history="1">
        <w:r>
          <w:rPr>
            <w:rFonts w:ascii="仿宋" w:eastAsia="仿宋" w:hAnsi="仿宋" w:cs="仿宋" w:hint="eastAsia"/>
            <w:lang w:eastAsia="zh-CN"/>
          </w:rPr>
          <w:t>十、时间频率计量标准器具项目风险分析</w:t>
        </w:r>
        <w:r>
          <w:tab/>
        </w:r>
        <w:r>
          <w:fldChar w:fldCharType="begin"/>
        </w:r>
        <w:r>
          <w:instrText xml:space="preserve"> PAGEREF _Toc21459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3" w:history="1">
        <w:r>
          <w:rPr>
            <w:rFonts w:ascii="仿宋" w:eastAsia="仿宋" w:hAnsi="仿宋" w:cs="仿宋" w:hint="eastAsia"/>
            <w:lang w:eastAsia="zh-CN"/>
          </w:rPr>
          <w:t>(一)、时间频率计量标准器具项目风险分析</w:t>
        </w:r>
        <w:r>
          <w:tab/>
        </w:r>
        <w:r>
          <w:fldChar w:fldCharType="begin"/>
        </w:r>
        <w:r>
          <w:instrText xml:space="preserve"> PAGEREF _Toc23843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3" w:history="1">
        <w:r>
          <w:rPr>
            <w:rFonts w:ascii="仿宋" w:eastAsia="仿宋" w:hAnsi="仿宋" w:cs="仿宋" w:hint="eastAsia"/>
            <w:lang w:eastAsia="zh-CN"/>
          </w:rPr>
          <w:t>(二)、时间频率计量标准器具项目风险对策</w:t>
        </w:r>
        <w:r>
          <w:tab/>
        </w:r>
        <w:r>
          <w:fldChar w:fldCharType="begin"/>
        </w:r>
        <w:r>
          <w:instrText xml:space="preserve"> PAGEREF _Toc30683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4" w:history="1">
        <w:r>
          <w:rPr>
            <w:rFonts w:ascii="仿宋" w:eastAsia="仿宋" w:hAnsi="仿宋" w:cs="仿宋" w:hint="eastAsia"/>
            <w:lang w:eastAsia="zh-CN"/>
          </w:rPr>
          <w:t>十一、时间频率计量标准器具项目总结分析</w:t>
        </w:r>
        <w:r>
          <w:tab/>
        </w:r>
        <w:r>
          <w:fldChar w:fldCharType="begin"/>
        </w:r>
        <w:r>
          <w:instrText xml:space="preserve"> PAGEREF _Toc17834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_Toc18583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55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_Toc23455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_Toc9076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_Toc8782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_Toc11047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8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3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4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https://d.book118.com/848057016131006036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时间频率计量标准器具相关行业公司成立方案及可行性研究报告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时间频率计量标准器具相关行业公司成立方案及可行性研究报告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时间频率计量标准器具相关行业公司成立方案及可行性研究报告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时间频率计量标准器具相关行业公司成立方案及可行性研究报告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时间频率计量标准器具相关行业公司成立方案及可行性研究报告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8057016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2024-02-05T06:53:00Z</dcterms:created>
  <dcterms:modified xsi:type="dcterms:W3CDTF">2024-02-05T06:53:49Z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AEB684F615F94E1394092272C528BDA4_11</vt:lpwstr>
  </property>
  <property fmtid="{D5CDD505-2E9C-101B-9397-08002B2CF9AE}" pid="3" name="KSOProductBuildVer">
    <vt:lpwstr>2052-12.1.0.16250</vt:lpwstr>
  </property>
</Properties>
</file>