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2018-2023年皖北卫生职业学院高职单招（数学／语文／英语）历年常考试题库含答案解析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王维山水诗突出的艺术特点是（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A.旷达飘逸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B.慷慨雄壮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C.沉郁顿挫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D.诗中有画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下列四句中，宾语前置的一句是（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A.姜氏何厌之有？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B.公语之故，且告之悔。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C.姜氏欲之，焉辟害？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D.此四君者，皆以客之功。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巴金的散文集有（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A.《华盖集》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B.《朝花夕拾》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C.《龙·虎·狗》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D.《闲书》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苏轼、辛弃疾同为（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A.婉约派词人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B.豪放派词人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C.风雅派词人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D.北宋词人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《报刘一丈书》中“权者”暗指（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B.刘一丈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D.严嵩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被人称为“七绝圣手”的诗人是（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A.王之涣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C.王昌龄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下列句子中，“之”字可译作“到”“去”的是（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857800" cy="138127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7800" cy="138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苏轼的《前赤壁赋》主要描写了哪三种景物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A.明月、江水、秋花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B.江水、明月、清风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C.清风、黄花、梧桐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D.清风、明月、芦荻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李密的《陈情表》是一篇（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A.书信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《苦恼》中主人公的名字叫（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A.姚纳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B.拉京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C.万卡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D.别里科夫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欧·亨利是19世纪（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A.法国著名的小说家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B.英国著名的小说家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C.美国著名短篇小说家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D.德国著名的小说家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“听得道一声去也，松了金钏；遥望见十里长亭，减了玉肌”所用的修辞手法是（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333640" cy="1238380"/>
            <wp:effectExtent l="0" t="0" r="0" b="0"/>
            <wp:docPr id="14855563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556304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0" cy="123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下列各句中，同时采用了对偶、夸张的是（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A.恨相见得迟，怨归去得疾。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B.泪添九曲黄河溢，恨压三峰华岳低。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https://d.book118.com/848061073132006040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8061073132006040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