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油墨及类似产品项目计划设计方案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89" w:history="1">
        <w:r>
          <w:rPr>
            <w:rFonts w:ascii="仿宋" w:eastAsia="仿宋" w:hAnsi="仿宋" w:cs="仿宋" w:hint="eastAsia"/>
            <w:lang w:eastAsia="zh-CN"/>
          </w:rPr>
          <w:t>前言</w:t>
        </w:r>
        <w:r>
          <w:tab/>
        </w:r>
        <w:r>
          <w:fldChar w:fldCharType="begin"/>
        </w:r>
        <w:r>
          <w:instrText xml:space="preserve"> PAGEREF _Toc30789 \h </w:instrText>
        </w:r>
        <w:r>
          <w:fldChar w:fldCharType="separate"/>
        </w:r>
        <w:r>
          <w:t>3</w:t>
        </w:r>
        <w:r>
          <w:fldChar w:fldCharType="end"/>
        </w:r>
      </w:hyperlink>
    </w:p>
    <w:p>
      <w:pPr>
        <w:pStyle w:val="TOC1"/>
        <w:tabs>
          <w:tab w:val="right" w:leader="dot" w:pos="8306"/>
        </w:tabs>
      </w:pPr>
      <w:hyperlink w:anchor="_Toc30415" w:history="1">
        <w:r>
          <w:rPr>
            <w:rFonts w:ascii="仿宋" w:eastAsia="仿宋" w:hAnsi="仿宋" w:cs="仿宋" w:hint="eastAsia"/>
            <w:lang w:eastAsia="zh-CN"/>
          </w:rPr>
          <w:t>一、工艺说明</w:t>
        </w:r>
        <w:r>
          <w:tab/>
        </w:r>
        <w:r>
          <w:fldChar w:fldCharType="begin"/>
        </w:r>
        <w:r>
          <w:instrText xml:space="preserve"> PAGEREF _Toc30415 \h </w:instrText>
        </w:r>
        <w:r>
          <w:fldChar w:fldCharType="separate"/>
        </w:r>
        <w:r>
          <w:t>3</w:t>
        </w:r>
        <w:r>
          <w:fldChar w:fldCharType="end"/>
        </w:r>
      </w:hyperlink>
    </w:p>
    <w:p>
      <w:pPr>
        <w:pStyle w:val="TOC2"/>
        <w:tabs>
          <w:tab w:val="right" w:leader="dot" w:pos="8306"/>
        </w:tabs>
      </w:pPr>
      <w:hyperlink w:anchor="_Toc20981" w:history="1">
        <w:r>
          <w:rPr>
            <w:rFonts w:ascii="仿宋" w:eastAsia="仿宋" w:hAnsi="仿宋" w:cs="仿宋" w:hint="eastAsia"/>
            <w:lang w:eastAsia="zh-CN"/>
          </w:rPr>
          <w:t>(一)、技术管理特点</w:t>
        </w:r>
        <w:r>
          <w:tab/>
        </w:r>
        <w:r>
          <w:fldChar w:fldCharType="begin"/>
        </w:r>
        <w:r>
          <w:instrText xml:space="preserve"> PAGEREF _Toc20981 \h </w:instrText>
        </w:r>
        <w:r>
          <w:fldChar w:fldCharType="separate"/>
        </w:r>
        <w:r>
          <w:t>3</w:t>
        </w:r>
        <w:r>
          <w:fldChar w:fldCharType="end"/>
        </w:r>
      </w:hyperlink>
    </w:p>
    <w:p>
      <w:pPr>
        <w:pStyle w:val="TOC2"/>
        <w:tabs>
          <w:tab w:val="right" w:leader="dot" w:pos="8306"/>
        </w:tabs>
      </w:pPr>
      <w:hyperlink w:anchor="_Toc3489" w:history="1">
        <w:r>
          <w:rPr>
            <w:rFonts w:ascii="仿宋" w:eastAsia="仿宋" w:hAnsi="仿宋" w:cs="仿宋" w:hint="eastAsia"/>
            <w:lang w:eastAsia="zh-CN"/>
          </w:rPr>
          <w:t>(二)、油墨及类似产品项目工艺技术设计方案</w:t>
        </w:r>
        <w:r>
          <w:tab/>
        </w:r>
        <w:r>
          <w:fldChar w:fldCharType="begin"/>
        </w:r>
        <w:r>
          <w:instrText xml:space="preserve"> PAGEREF _Toc3489 \h </w:instrText>
        </w:r>
        <w:r>
          <w:fldChar w:fldCharType="separate"/>
        </w:r>
        <w:r>
          <w:t>4</w:t>
        </w:r>
        <w:r>
          <w:fldChar w:fldCharType="end"/>
        </w:r>
      </w:hyperlink>
    </w:p>
    <w:p>
      <w:pPr>
        <w:pStyle w:val="TOC2"/>
        <w:tabs>
          <w:tab w:val="right" w:leader="dot" w:pos="8306"/>
        </w:tabs>
      </w:pPr>
      <w:hyperlink w:anchor="_Toc16113" w:history="1">
        <w:r>
          <w:rPr>
            <w:rFonts w:ascii="仿宋" w:eastAsia="仿宋" w:hAnsi="仿宋" w:cs="仿宋" w:hint="eastAsia"/>
            <w:lang w:eastAsia="zh-CN"/>
          </w:rPr>
          <w:t>(三)、设备选型方案</w:t>
        </w:r>
        <w:r>
          <w:tab/>
        </w:r>
        <w:r>
          <w:fldChar w:fldCharType="begin"/>
        </w:r>
        <w:r>
          <w:instrText xml:space="preserve"> PAGEREF _Toc16113 \h </w:instrText>
        </w:r>
        <w:r>
          <w:fldChar w:fldCharType="separate"/>
        </w:r>
        <w:r>
          <w:t>5</w:t>
        </w:r>
        <w:r>
          <w:fldChar w:fldCharType="end"/>
        </w:r>
      </w:hyperlink>
    </w:p>
    <w:p>
      <w:pPr>
        <w:pStyle w:val="TOC1"/>
        <w:tabs>
          <w:tab w:val="right" w:leader="dot" w:pos="8306"/>
        </w:tabs>
      </w:pPr>
      <w:hyperlink w:anchor="_Toc23290" w:history="1">
        <w:r>
          <w:rPr>
            <w:rFonts w:ascii="仿宋" w:eastAsia="仿宋" w:hAnsi="仿宋" w:cs="仿宋" w:hint="eastAsia"/>
            <w:lang w:eastAsia="zh-CN"/>
          </w:rPr>
          <w:t>二、油墨及类似产品项目危机管理</w:t>
        </w:r>
        <w:r>
          <w:tab/>
        </w:r>
        <w:r>
          <w:fldChar w:fldCharType="begin"/>
        </w:r>
        <w:r>
          <w:instrText xml:space="preserve"> PAGEREF _Toc23290 \h </w:instrText>
        </w:r>
        <w:r>
          <w:fldChar w:fldCharType="separate"/>
        </w:r>
        <w:r>
          <w:t>7</w:t>
        </w:r>
        <w:r>
          <w:fldChar w:fldCharType="end"/>
        </w:r>
      </w:hyperlink>
    </w:p>
    <w:p>
      <w:pPr>
        <w:pStyle w:val="TOC2"/>
        <w:tabs>
          <w:tab w:val="right" w:leader="dot" w:pos="8306"/>
        </w:tabs>
      </w:pPr>
      <w:hyperlink w:anchor="_Toc8228" w:history="1">
        <w:r>
          <w:rPr>
            <w:rFonts w:ascii="仿宋" w:eastAsia="仿宋" w:hAnsi="仿宋" w:cs="仿宋" w:hint="eastAsia"/>
            <w:lang w:eastAsia="zh-CN"/>
          </w:rPr>
          <w:t>(一)、危机预警与识别</w:t>
        </w:r>
        <w:r>
          <w:tab/>
        </w:r>
        <w:r>
          <w:fldChar w:fldCharType="begin"/>
        </w:r>
        <w:r>
          <w:instrText xml:space="preserve"> PAGEREF _Toc8228 \h </w:instrText>
        </w:r>
        <w:r>
          <w:fldChar w:fldCharType="separate"/>
        </w:r>
        <w:r>
          <w:t>7</w:t>
        </w:r>
        <w:r>
          <w:fldChar w:fldCharType="end"/>
        </w:r>
      </w:hyperlink>
    </w:p>
    <w:p>
      <w:pPr>
        <w:pStyle w:val="TOC2"/>
        <w:tabs>
          <w:tab w:val="right" w:leader="dot" w:pos="8306"/>
        </w:tabs>
      </w:pPr>
      <w:hyperlink w:anchor="_Toc18756" w:history="1">
        <w:r>
          <w:rPr>
            <w:rFonts w:ascii="仿宋" w:eastAsia="仿宋" w:hAnsi="仿宋" w:cs="仿宋" w:hint="eastAsia"/>
            <w:lang w:eastAsia="zh-CN"/>
          </w:rPr>
          <w:t>(二)、危机应对与恢复</w:t>
        </w:r>
        <w:r>
          <w:tab/>
        </w:r>
        <w:r>
          <w:fldChar w:fldCharType="begin"/>
        </w:r>
        <w:r>
          <w:instrText xml:space="preserve"> PAGEREF _Toc18756 \h </w:instrText>
        </w:r>
        <w:r>
          <w:fldChar w:fldCharType="separate"/>
        </w:r>
        <w:r>
          <w:t>8</w:t>
        </w:r>
        <w:r>
          <w:fldChar w:fldCharType="end"/>
        </w:r>
      </w:hyperlink>
    </w:p>
    <w:p>
      <w:pPr>
        <w:pStyle w:val="TOC1"/>
        <w:tabs>
          <w:tab w:val="right" w:leader="dot" w:pos="8306"/>
        </w:tabs>
      </w:pPr>
      <w:hyperlink w:anchor="_Toc22206" w:history="1">
        <w:r>
          <w:rPr>
            <w:rFonts w:ascii="仿宋" w:eastAsia="仿宋" w:hAnsi="仿宋" w:cs="仿宋" w:hint="eastAsia"/>
            <w:lang w:eastAsia="zh-CN"/>
          </w:rPr>
          <w:t>三、油墨及类似产品项目概论</w:t>
        </w:r>
        <w:r>
          <w:tab/>
        </w:r>
        <w:r>
          <w:fldChar w:fldCharType="begin"/>
        </w:r>
        <w:r>
          <w:instrText xml:space="preserve"> PAGEREF _Toc22206 \h </w:instrText>
        </w:r>
        <w:r>
          <w:fldChar w:fldCharType="separate"/>
        </w:r>
        <w:r>
          <w:t>9</w:t>
        </w:r>
        <w:r>
          <w:fldChar w:fldCharType="end"/>
        </w:r>
      </w:hyperlink>
    </w:p>
    <w:p>
      <w:pPr>
        <w:pStyle w:val="TOC2"/>
        <w:tabs>
          <w:tab w:val="right" w:leader="dot" w:pos="8306"/>
        </w:tabs>
      </w:pPr>
      <w:hyperlink w:anchor="_Toc31667" w:history="1">
        <w:r>
          <w:rPr>
            <w:rFonts w:ascii="仿宋" w:eastAsia="仿宋" w:hAnsi="仿宋" w:cs="仿宋" w:hint="eastAsia"/>
            <w:lang w:eastAsia="zh-CN"/>
          </w:rPr>
          <w:t>(一)、油墨及类似产品项目概况</w:t>
        </w:r>
        <w:r>
          <w:tab/>
        </w:r>
        <w:r>
          <w:fldChar w:fldCharType="begin"/>
        </w:r>
        <w:r>
          <w:instrText xml:space="preserve"> PAGEREF _Toc31667 \h </w:instrText>
        </w:r>
        <w:r>
          <w:fldChar w:fldCharType="separate"/>
        </w:r>
        <w:r>
          <w:t>9</w:t>
        </w:r>
        <w:r>
          <w:fldChar w:fldCharType="end"/>
        </w:r>
      </w:hyperlink>
    </w:p>
    <w:p>
      <w:pPr>
        <w:pStyle w:val="TOC2"/>
        <w:tabs>
          <w:tab w:val="right" w:leader="dot" w:pos="8306"/>
        </w:tabs>
      </w:pPr>
      <w:hyperlink w:anchor="_Toc11480" w:history="1">
        <w:r>
          <w:rPr>
            <w:rFonts w:ascii="仿宋" w:eastAsia="仿宋" w:hAnsi="仿宋" w:cs="仿宋" w:hint="eastAsia"/>
            <w:lang w:eastAsia="zh-CN"/>
          </w:rPr>
          <w:t>(二)、油墨及类似产品项目目标</w:t>
        </w:r>
        <w:r>
          <w:tab/>
        </w:r>
        <w:r>
          <w:fldChar w:fldCharType="begin"/>
        </w:r>
        <w:r>
          <w:instrText xml:space="preserve"> PAGEREF _Toc11480 \h </w:instrText>
        </w:r>
        <w:r>
          <w:fldChar w:fldCharType="separate"/>
        </w:r>
        <w:r>
          <w:t>12</w:t>
        </w:r>
        <w:r>
          <w:fldChar w:fldCharType="end"/>
        </w:r>
      </w:hyperlink>
    </w:p>
    <w:p>
      <w:pPr>
        <w:pStyle w:val="TOC2"/>
        <w:tabs>
          <w:tab w:val="right" w:leader="dot" w:pos="8306"/>
        </w:tabs>
      </w:pPr>
      <w:hyperlink w:anchor="_Toc24782" w:history="1">
        <w:r>
          <w:rPr>
            <w:rFonts w:ascii="仿宋" w:eastAsia="仿宋" w:hAnsi="仿宋" w:cs="仿宋" w:hint="eastAsia"/>
            <w:lang w:eastAsia="zh-CN"/>
          </w:rPr>
          <w:t>(三)、油墨及类似产品项目提出的理由</w:t>
        </w:r>
        <w:r>
          <w:tab/>
        </w:r>
        <w:r>
          <w:fldChar w:fldCharType="begin"/>
        </w:r>
        <w:r>
          <w:instrText xml:space="preserve"> PAGEREF _Toc24782 \h </w:instrText>
        </w:r>
        <w:r>
          <w:fldChar w:fldCharType="separate"/>
        </w:r>
        <w:r>
          <w:t>13</w:t>
        </w:r>
        <w:r>
          <w:fldChar w:fldCharType="end"/>
        </w:r>
      </w:hyperlink>
    </w:p>
    <w:p>
      <w:pPr>
        <w:pStyle w:val="TOC2"/>
        <w:tabs>
          <w:tab w:val="right" w:leader="dot" w:pos="8306"/>
        </w:tabs>
      </w:pPr>
      <w:hyperlink w:anchor="_Toc14439" w:history="1">
        <w:r>
          <w:rPr>
            <w:rFonts w:ascii="仿宋" w:eastAsia="仿宋" w:hAnsi="仿宋" w:cs="仿宋" w:hint="eastAsia"/>
            <w:lang w:eastAsia="zh-CN"/>
          </w:rPr>
          <w:t>(四)、油墨及类似产品项目意义</w:t>
        </w:r>
        <w:r>
          <w:tab/>
        </w:r>
        <w:r>
          <w:fldChar w:fldCharType="begin"/>
        </w:r>
        <w:r>
          <w:instrText xml:space="preserve"> PAGEREF _Toc14439 \h </w:instrText>
        </w:r>
        <w:r>
          <w:fldChar w:fldCharType="separate"/>
        </w:r>
        <w:r>
          <w:t>14</w:t>
        </w:r>
        <w:r>
          <w:fldChar w:fldCharType="end"/>
        </w:r>
      </w:hyperlink>
    </w:p>
    <w:p>
      <w:pPr>
        <w:pStyle w:val="TOC2"/>
        <w:tabs>
          <w:tab w:val="right" w:leader="dot" w:pos="8306"/>
        </w:tabs>
      </w:pPr>
      <w:hyperlink w:anchor="_Toc14873" w:history="1">
        <w:r>
          <w:rPr>
            <w:rFonts w:ascii="仿宋" w:eastAsia="仿宋" w:hAnsi="仿宋" w:cs="仿宋" w:hint="eastAsia"/>
            <w:lang w:eastAsia="zh-CN"/>
          </w:rPr>
          <w:t>(五)、油墨及类似产品项目背景</w:t>
        </w:r>
        <w:r>
          <w:tab/>
        </w:r>
        <w:r>
          <w:fldChar w:fldCharType="begin"/>
        </w:r>
        <w:r>
          <w:instrText xml:space="preserve"> PAGEREF _Toc14873 \h </w:instrText>
        </w:r>
        <w:r>
          <w:fldChar w:fldCharType="separate"/>
        </w:r>
        <w:r>
          <w:t>15</w:t>
        </w:r>
        <w:r>
          <w:fldChar w:fldCharType="end"/>
        </w:r>
      </w:hyperlink>
    </w:p>
    <w:p>
      <w:pPr>
        <w:pStyle w:val="TOC1"/>
        <w:tabs>
          <w:tab w:val="right" w:leader="dot" w:pos="8306"/>
        </w:tabs>
      </w:pPr>
      <w:hyperlink w:anchor="_Toc12993" w:history="1">
        <w:r>
          <w:rPr>
            <w:rFonts w:ascii="仿宋" w:eastAsia="仿宋" w:hAnsi="仿宋" w:cs="仿宋" w:hint="eastAsia"/>
            <w:lang w:eastAsia="zh-CN"/>
          </w:rPr>
          <w:t>四、油墨及类似产品项目文档管理</w:t>
        </w:r>
        <w:r>
          <w:tab/>
        </w:r>
        <w:r>
          <w:fldChar w:fldCharType="begin"/>
        </w:r>
        <w:r>
          <w:instrText xml:space="preserve"> PAGEREF _Toc12993 \h </w:instrText>
        </w:r>
        <w:r>
          <w:fldChar w:fldCharType="separate"/>
        </w:r>
        <w:r>
          <w:t>16</w:t>
        </w:r>
        <w:r>
          <w:fldChar w:fldCharType="end"/>
        </w:r>
      </w:hyperlink>
    </w:p>
    <w:p>
      <w:pPr>
        <w:pStyle w:val="TOC2"/>
        <w:tabs>
          <w:tab w:val="right" w:leader="dot" w:pos="8306"/>
        </w:tabs>
      </w:pPr>
      <w:hyperlink w:anchor="_Toc18948" w:history="1">
        <w:r>
          <w:rPr>
            <w:rFonts w:ascii="仿宋" w:eastAsia="仿宋" w:hAnsi="仿宋" w:cs="仿宋" w:hint="eastAsia"/>
            <w:lang w:eastAsia="zh-CN"/>
          </w:rPr>
          <w:t>(一)、文档编制与审查</w:t>
        </w:r>
        <w:r>
          <w:tab/>
        </w:r>
        <w:r>
          <w:fldChar w:fldCharType="begin"/>
        </w:r>
        <w:r>
          <w:instrText xml:space="preserve"> PAGEREF _Toc18948 \h </w:instrText>
        </w:r>
        <w:r>
          <w:fldChar w:fldCharType="separate"/>
        </w:r>
        <w:r>
          <w:t>16</w:t>
        </w:r>
        <w:r>
          <w:fldChar w:fldCharType="end"/>
        </w:r>
      </w:hyperlink>
    </w:p>
    <w:p>
      <w:pPr>
        <w:pStyle w:val="TOC2"/>
        <w:tabs>
          <w:tab w:val="right" w:leader="dot" w:pos="8306"/>
        </w:tabs>
      </w:pPr>
      <w:hyperlink w:anchor="_Toc20789" w:history="1">
        <w:r>
          <w:rPr>
            <w:rFonts w:ascii="仿宋" w:eastAsia="仿宋" w:hAnsi="仿宋" w:cs="仿宋" w:hint="eastAsia"/>
            <w:lang w:eastAsia="zh-CN"/>
          </w:rPr>
          <w:t>(二)、文档发布与分发</w:t>
        </w:r>
        <w:r>
          <w:tab/>
        </w:r>
        <w:r>
          <w:fldChar w:fldCharType="begin"/>
        </w:r>
        <w:r>
          <w:instrText xml:space="preserve"> PAGEREF _Toc20789 \h </w:instrText>
        </w:r>
        <w:r>
          <w:fldChar w:fldCharType="separate"/>
        </w:r>
        <w:r>
          <w:t>18</w:t>
        </w:r>
        <w:r>
          <w:fldChar w:fldCharType="end"/>
        </w:r>
      </w:hyperlink>
    </w:p>
    <w:p>
      <w:pPr>
        <w:pStyle w:val="TOC2"/>
        <w:tabs>
          <w:tab w:val="right" w:leader="dot" w:pos="8306"/>
        </w:tabs>
      </w:pPr>
      <w:hyperlink w:anchor="_Toc8865" w:history="1">
        <w:r>
          <w:rPr>
            <w:rFonts w:ascii="仿宋" w:eastAsia="仿宋" w:hAnsi="仿宋" w:cs="仿宋" w:hint="eastAsia"/>
            <w:lang w:eastAsia="zh-CN"/>
          </w:rPr>
          <w:t>(三)、文档存档与归档</w:t>
        </w:r>
        <w:r>
          <w:tab/>
        </w:r>
        <w:r>
          <w:fldChar w:fldCharType="begin"/>
        </w:r>
        <w:r>
          <w:instrText xml:space="preserve"> PAGEREF _Toc8865 \h </w:instrText>
        </w:r>
        <w:r>
          <w:fldChar w:fldCharType="separate"/>
        </w:r>
        <w:r>
          <w:t>18</w:t>
        </w:r>
        <w:r>
          <w:fldChar w:fldCharType="end"/>
        </w:r>
      </w:hyperlink>
    </w:p>
    <w:p>
      <w:pPr>
        <w:pStyle w:val="TOC1"/>
        <w:tabs>
          <w:tab w:val="right" w:leader="dot" w:pos="8306"/>
        </w:tabs>
      </w:pPr>
      <w:hyperlink w:anchor="_Toc20366" w:history="1">
        <w:r>
          <w:rPr>
            <w:rFonts w:ascii="仿宋" w:eastAsia="仿宋" w:hAnsi="仿宋" w:cs="仿宋" w:hint="eastAsia"/>
            <w:lang w:eastAsia="zh-CN"/>
          </w:rPr>
          <w:t>五、油墨及类似产品项目建设单位说明</w:t>
        </w:r>
        <w:r>
          <w:tab/>
        </w:r>
        <w:r>
          <w:fldChar w:fldCharType="begin"/>
        </w:r>
        <w:r>
          <w:instrText xml:space="preserve"> PAGEREF _Toc20366 \h </w:instrText>
        </w:r>
        <w:r>
          <w:fldChar w:fldCharType="separate"/>
        </w:r>
        <w:r>
          <w:t>20</w:t>
        </w:r>
        <w:r>
          <w:fldChar w:fldCharType="end"/>
        </w:r>
      </w:hyperlink>
    </w:p>
    <w:p>
      <w:pPr>
        <w:pStyle w:val="TOC2"/>
        <w:tabs>
          <w:tab w:val="right" w:leader="dot" w:pos="8306"/>
        </w:tabs>
      </w:pPr>
      <w:hyperlink w:anchor="_Toc8870" w:history="1">
        <w:r>
          <w:rPr>
            <w:rFonts w:ascii="仿宋" w:eastAsia="仿宋" w:hAnsi="仿宋" w:cs="仿宋" w:hint="eastAsia"/>
            <w:lang w:eastAsia="zh-CN"/>
          </w:rPr>
          <w:t>(一)、油墨及类似产品项目承办单位基本情况</w:t>
        </w:r>
        <w:r>
          <w:tab/>
        </w:r>
        <w:r>
          <w:fldChar w:fldCharType="begin"/>
        </w:r>
        <w:r>
          <w:instrText xml:space="preserve"> PAGEREF _Toc8870 \h </w:instrText>
        </w:r>
        <w:r>
          <w:fldChar w:fldCharType="separate"/>
        </w:r>
        <w:r>
          <w:t>20</w:t>
        </w:r>
        <w:r>
          <w:fldChar w:fldCharType="end"/>
        </w:r>
      </w:hyperlink>
    </w:p>
    <w:p>
      <w:pPr>
        <w:pStyle w:val="TOC2"/>
        <w:tabs>
          <w:tab w:val="right" w:leader="dot" w:pos="8306"/>
        </w:tabs>
      </w:pPr>
      <w:hyperlink w:anchor="_Toc9075" w:history="1">
        <w:r>
          <w:rPr>
            <w:rFonts w:ascii="仿宋" w:eastAsia="仿宋" w:hAnsi="仿宋" w:cs="仿宋" w:hint="eastAsia"/>
            <w:lang w:eastAsia="zh-CN"/>
          </w:rPr>
          <w:t>(二)、公司经济效益分析</w:t>
        </w:r>
        <w:r>
          <w:tab/>
        </w:r>
        <w:r>
          <w:fldChar w:fldCharType="begin"/>
        </w:r>
        <w:r>
          <w:instrText xml:space="preserve"> PAGEREF _Toc9075 \h </w:instrText>
        </w:r>
        <w:r>
          <w:fldChar w:fldCharType="separate"/>
        </w:r>
        <w:r>
          <w:t>20</w:t>
        </w:r>
        <w:r>
          <w:fldChar w:fldCharType="end"/>
        </w:r>
      </w:hyperlink>
    </w:p>
    <w:p>
      <w:pPr>
        <w:pStyle w:val="TOC1"/>
        <w:tabs>
          <w:tab w:val="right" w:leader="dot" w:pos="8306"/>
        </w:tabs>
      </w:pPr>
      <w:hyperlink w:anchor="_Toc23484" w:history="1">
        <w:r>
          <w:rPr>
            <w:rFonts w:ascii="仿宋" w:eastAsia="仿宋" w:hAnsi="仿宋" w:cs="仿宋" w:hint="eastAsia"/>
            <w:lang w:eastAsia="zh-CN"/>
          </w:rPr>
          <w:t>六、油墨及类似产品项目土建工程</w:t>
        </w:r>
        <w:r>
          <w:tab/>
        </w:r>
        <w:r>
          <w:fldChar w:fldCharType="begin"/>
        </w:r>
        <w:r>
          <w:instrText xml:space="preserve"> PAGEREF _Toc23484 \h </w:instrText>
        </w:r>
        <w:r>
          <w:fldChar w:fldCharType="separate"/>
        </w:r>
        <w:r>
          <w:t>21</w:t>
        </w:r>
        <w:r>
          <w:fldChar w:fldCharType="end"/>
        </w:r>
      </w:hyperlink>
    </w:p>
    <w:p>
      <w:pPr>
        <w:pStyle w:val="TOC2"/>
        <w:tabs>
          <w:tab w:val="right" w:leader="dot" w:pos="8306"/>
        </w:tabs>
      </w:pPr>
      <w:hyperlink w:anchor="_Toc18435" w:history="1">
        <w:r>
          <w:rPr>
            <w:rFonts w:ascii="仿宋" w:eastAsia="仿宋" w:hAnsi="仿宋" w:cs="仿宋" w:hint="eastAsia"/>
            <w:lang w:eastAsia="zh-CN"/>
          </w:rPr>
          <w:t>(一)、建筑工程设计原则</w:t>
        </w:r>
        <w:r>
          <w:tab/>
        </w:r>
        <w:r>
          <w:fldChar w:fldCharType="begin"/>
        </w:r>
        <w:r>
          <w:instrText xml:space="preserve"> PAGEREF _Toc18435 \h </w:instrText>
        </w:r>
        <w:r>
          <w:fldChar w:fldCharType="separate"/>
        </w:r>
        <w:r>
          <w:t>21</w:t>
        </w:r>
        <w:r>
          <w:fldChar w:fldCharType="end"/>
        </w:r>
      </w:hyperlink>
    </w:p>
    <w:p>
      <w:pPr>
        <w:pStyle w:val="TOC2"/>
        <w:tabs>
          <w:tab w:val="right" w:leader="dot" w:pos="8306"/>
        </w:tabs>
      </w:pPr>
      <w:hyperlink w:anchor="_Toc13370" w:history="1">
        <w:r>
          <w:rPr>
            <w:rFonts w:ascii="仿宋" w:eastAsia="仿宋" w:hAnsi="仿宋" w:cs="仿宋" w:hint="eastAsia"/>
            <w:lang w:eastAsia="zh-CN"/>
          </w:rPr>
          <w:t>(二)、土建工程设计年限及安全等级</w:t>
        </w:r>
        <w:r>
          <w:tab/>
        </w:r>
        <w:r>
          <w:fldChar w:fldCharType="begin"/>
        </w:r>
        <w:r>
          <w:instrText xml:space="preserve"> PAGEREF _Toc13370 \h </w:instrText>
        </w:r>
        <w:r>
          <w:fldChar w:fldCharType="separate"/>
        </w:r>
        <w:r>
          <w:t>22</w:t>
        </w:r>
        <w:r>
          <w:fldChar w:fldCharType="end"/>
        </w:r>
      </w:hyperlink>
    </w:p>
    <w:p>
      <w:pPr>
        <w:pStyle w:val="TOC2"/>
        <w:tabs>
          <w:tab w:val="right" w:leader="dot" w:pos="8306"/>
        </w:tabs>
      </w:pPr>
      <w:hyperlink w:anchor="_Toc19234" w:history="1">
        <w:r>
          <w:rPr>
            <w:rFonts w:ascii="仿宋" w:eastAsia="仿宋" w:hAnsi="仿宋" w:cs="仿宋" w:hint="eastAsia"/>
            <w:lang w:eastAsia="zh-CN"/>
          </w:rPr>
          <w:t>(三)、建筑工程设计总体要求</w:t>
        </w:r>
        <w:r>
          <w:tab/>
        </w:r>
        <w:r>
          <w:fldChar w:fldCharType="begin"/>
        </w:r>
        <w:r>
          <w:instrText xml:space="preserve"> PAGEREF _Toc19234 \h </w:instrText>
        </w:r>
        <w:r>
          <w:fldChar w:fldCharType="separate"/>
        </w:r>
        <w:r>
          <w:t>24</w:t>
        </w:r>
        <w:r>
          <w:fldChar w:fldCharType="end"/>
        </w:r>
      </w:hyperlink>
    </w:p>
    <w:p>
      <w:pPr>
        <w:pStyle w:val="TOC2"/>
        <w:tabs>
          <w:tab w:val="right" w:leader="dot" w:pos="8306"/>
        </w:tabs>
      </w:pPr>
      <w:hyperlink w:anchor="_Toc26548" w:history="1">
        <w:r>
          <w:rPr>
            <w:rFonts w:ascii="仿宋" w:eastAsia="仿宋" w:hAnsi="仿宋" w:cs="仿宋" w:hint="eastAsia"/>
            <w:lang w:eastAsia="zh-CN"/>
          </w:rPr>
          <w:t>(四)、土建工程建设指标</w:t>
        </w:r>
        <w:r>
          <w:tab/>
        </w:r>
        <w:r>
          <w:fldChar w:fldCharType="begin"/>
        </w:r>
        <w:r>
          <w:instrText xml:space="preserve"> PAGEREF _Toc26548 \h </w:instrText>
        </w:r>
        <w:r>
          <w:fldChar w:fldCharType="separate"/>
        </w:r>
        <w:r>
          <w:t>24</w:t>
        </w:r>
        <w:r>
          <w:fldChar w:fldCharType="end"/>
        </w:r>
      </w:hyperlink>
    </w:p>
    <w:p>
      <w:pPr>
        <w:pStyle w:val="TOC1"/>
        <w:tabs>
          <w:tab w:val="right" w:leader="dot" w:pos="8306"/>
        </w:tabs>
      </w:pPr>
      <w:hyperlink w:anchor="_Toc21068" w:history="1">
        <w:r>
          <w:rPr>
            <w:rFonts w:ascii="仿宋" w:eastAsia="仿宋" w:hAnsi="仿宋" w:cs="仿宋" w:hint="eastAsia"/>
            <w:lang w:eastAsia="zh-CN"/>
          </w:rPr>
          <w:t>七、油墨及类似产品项目人力资源管理</w:t>
        </w:r>
        <w:r>
          <w:tab/>
        </w:r>
        <w:r>
          <w:fldChar w:fldCharType="begin"/>
        </w:r>
        <w:r>
          <w:instrText xml:space="preserve"> PAGEREF _Toc21068 \h </w:instrText>
        </w:r>
        <w:r>
          <w:fldChar w:fldCharType="separate"/>
        </w:r>
        <w:r>
          <w:t>25</w:t>
        </w:r>
        <w:r>
          <w:fldChar w:fldCharType="end"/>
        </w:r>
      </w:hyperlink>
    </w:p>
    <w:p>
      <w:pPr>
        <w:pStyle w:val="TOC2"/>
        <w:tabs>
          <w:tab w:val="right" w:leader="dot" w:pos="8306"/>
        </w:tabs>
      </w:pPr>
      <w:hyperlink w:anchor="_Toc25866" w:history="1">
        <w:r>
          <w:rPr>
            <w:rFonts w:ascii="仿宋" w:eastAsia="仿宋" w:hAnsi="仿宋" w:cs="仿宋" w:hint="eastAsia"/>
            <w:lang w:eastAsia="zh-CN"/>
          </w:rPr>
          <w:t>(一)、建立健全的预算管理制度</w:t>
        </w:r>
        <w:r>
          <w:tab/>
        </w:r>
        <w:r>
          <w:fldChar w:fldCharType="begin"/>
        </w:r>
        <w:r>
          <w:instrText xml:space="preserve"> PAGEREF _Toc25866 \h </w:instrText>
        </w:r>
        <w:r>
          <w:fldChar w:fldCharType="separate"/>
        </w:r>
        <w:r>
          <w:t>25</w:t>
        </w:r>
        <w:r>
          <w:fldChar w:fldCharType="end"/>
        </w:r>
      </w:hyperlink>
    </w:p>
    <w:p>
      <w:pPr>
        <w:pStyle w:val="TOC2"/>
        <w:tabs>
          <w:tab w:val="right" w:leader="dot" w:pos="8306"/>
        </w:tabs>
      </w:pPr>
      <w:hyperlink w:anchor="_Toc15086" w:history="1">
        <w:r>
          <w:rPr>
            <w:rFonts w:ascii="仿宋" w:eastAsia="仿宋" w:hAnsi="仿宋" w:cs="仿宋" w:hint="eastAsia"/>
            <w:lang w:eastAsia="zh-CN"/>
          </w:rPr>
          <w:t>(二)、加强资金流动监控</w:t>
        </w:r>
        <w:r>
          <w:tab/>
        </w:r>
        <w:r>
          <w:fldChar w:fldCharType="begin"/>
        </w:r>
        <w:r>
          <w:instrText xml:space="preserve"> PAGEREF _Toc15086 \h </w:instrText>
        </w:r>
        <w:r>
          <w:fldChar w:fldCharType="separate"/>
        </w:r>
        <w:r>
          <w:t>26</w:t>
        </w:r>
        <w:r>
          <w:fldChar w:fldCharType="end"/>
        </w:r>
      </w:hyperlink>
    </w:p>
    <w:p>
      <w:pPr>
        <w:pStyle w:val="TOC2"/>
        <w:tabs>
          <w:tab w:val="right" w:leader="dot" w:pos="8306"/>
        </w:tabs>
      </w:pPr>
      <w:hyperlink w:anchor="_Toc15831" w:history="1">
        <w:r>
          <w:rPr>
            <w:rFonts w:ascii="仿宋" w:eastAsia="仿宋" w:hAnsi="仿宋" w:cs="仿宋" w:hint="eastAsia"/>
            <w:lang w:eastAsia="zh-CN"/>
          </w:rPr>
          <w:t>(三)、制定完善的风险控制机制</w:t>
        </w:r>
        <w:r>
          <w:tab/>
        </w:r>
        <w:r>
          <w:fldChar w:fldCharType="begin"/>
        </w:r>
        <w:r>
          <w:instrText xml:space="preserve"> PAGEREF _Toc15831 \h </w:instrText>
        </w:r>
        <w:r>
          <w:fldChar w:fldCharType="separate"/>
        </w:r>
        <w:r>
          <w:t>28</w:t>
        </w:r>
        <w:r>
          <w:fldChar w:fldCharType="end"/>
        </w:r>
      </w:hyperlink>
    </w:p>
    <w:p>
      <w:pPr>
        <w:pStyle w:val="TOC2"/>
        <w:tabs>
          <w:tab w:val="right" w:leader="dot" w:pos="8306"/>
        </w:tabs>
      </w:pPr>
      <w:hyperlink w:anchor="_Toc23185" w:history="1">
        <w:r>
          <w:rPr>
            <w:rFonts w:ascii="仿宋" w:eastAsia="仿宋" w:hAnsi="仿宋" w:cs="仿宋" w:hint="eastAsia"/>
            <w:lang w:eastAsia="zh-CN"/>
          </w:rPr>
          <w:t>(四)、优化成本管理</w:t>
        </w:r>
        <w:r>
          <w:tab/>
        </w:r>
        <w:r>
          <w:fldChar w:fldCharType="begin"/>
        </w:r>
        <w:r>
          <w:instrText xml:space="preserve"> PAGEREF _Toc23185 \h </w:instrText>
        </w:r>
        <w:r>
          <w:fldChar w:fldCharType="separate"/>
        </w:r>
        <w:r>
          <w:t>29</w:t>
        </w:r>
        <w:r>
          <w:fldChar w:fldCharType="end"/>
        </w:r>
      </w:hyperlink>
    </w:p>
    <w:p>
      <w:pPr>
        <w:pStyle w:val="TOC1"/>
        <w:tabs>
          <w:tab w:val="right" w:leader="dot" w:pos="8306"/>
        </w:tabs>
      </w:pPr>
      <w:hyperlink w:anchor="_Toc14960" w:history="1">
        <w:r>
          <w:rPr>
            <w:rFonts w:ascii="仿宋" w:eastAsia="仿宋" w:hAnsi="仿宋" w:cs="仿宋" w:hint="eastAsia"/>
            <w:lang w:eastAsia="zh-CN"/>
          </w:rPr>
          <w:t>八、油墨及类似产品项目风险管理</w:t>
        </w:r>
        <w:r>
          <w:tab/>
        </w:r>
        <w:r>
          <w:fldChar w:fldCharType="begin"/>
        </w:r>
        <w:r>
          <w:instrText xml:space="preserve"> PAGEREF _Toc14960 \h </w:instrText>
        </w:r>
        <w:r>
          <w:fldChar w:fldCharType="separate"/>
        </w:r>
        <w:r>
          <w:t>30</w:t>
        </w:r>
        <w:r>
          <w:fldChar w:fldCharType="end"/>
        </w:r>
      </w:hyperlink>
    </w:p>
    <w:p>
      <w:pPr>
        <w:pStyle w:val="TOC2"/>
        <w:tabs>
          <w:tab w:val="right" w:leader="dot" w:pos="8306"/>
        </w:tabs>
      </w:pPr>
      <w:hyperlink w:anchor="_Toc17760" w:history="1">
        <w:r>
          <w:rPr>
            <w:rFonts w:ascii="仿宋" w:eastAsia="仿宋" w:hAnsi="仿宋" w:cs="仿宋" w:hint="eastAsia"/>
            <w:lang w:eastAsia="zh-CN"/>
          </w:rPr>
          <w:t>(一)、风险识别与评估</w:t>
        </w:r>
        <w:r>
          <w:tab/>
        </w:r>
        <w:r>
          <w:fldChar w:fldCharType="begin"/>
        </w:r>
        <w:r>
          <w:instrText xml:space="preserve"> PAGEREF _Toc17760 \h </w:instrText>
        </w:r>
        <w:r>
          <w:fldChar w:fldCharType="separate"/>
        </w:r>
        <w:r>
          <w:t>30</w:t>
        </w:r>
        <w:r>
          <w:fldChar w:fldCharType="end"/>
        </w:r>
      </w:hyperlink>
    </w:p>
    <w:p>
      <w:pPr>
        <w:pStyle w:val="TOC2"/>
        <w:tabs>
          <w:tab w:val="right" w:leader="dot" w:pos="8306"/>
        </w:tabs>
      </w:pPr>
      <w:hyperlink w:anchor="_Toc32472" w:history="1">
        <w:r>
          <w:rPr>
            <w:rFonts w:ascii="仿宋" w:eastAsia="仿宋" w:hAnsi="仿宋" w:cs="仿宋" w:hint="eastAsia"/>
            <w:lang w:eastAsia="zh-CN"/>
          </w:rPr>
          <w:t>(二)、风险应对策略</w:t>
        </w:r>
        <w:r>
          <w:tab/>
        </w:r>
        <w:r>
          <w:fldChar w:fldCharType="begin"/>
        </w:r>
        <w:r>
          <w:instrText xml:space="preserve"> PAGEREF _Toc32472 \h </w:instrText>
        </w:r>
        <w:r>
          <w:fldChar w:fldCharType="separate"/>
        </w:r>
        <w:r>
          <w:t>32</w:t>
        </w:r>
        <w:r>
          <w:fldChar w:fldCharType="end"/>
        </w:r>
      </w:hyperlink>
    </w:p>
    <w:p>
      <w:pPr>
        <w:pStyle w:val="TOC2"/>
        <w:tabs>
          <w:tab w:val="right" w:leader="dot" w:pos="8306"/>
        </w:tabs>
      </w:pPr>
      <w:hyperlink w:anchor="_Toc30154" w:history="1">
        <w:r>
          <w:rPr>
            <w:rFonts w:ascii="仿宋" w:eastAsia="仿宋" w:hAnsi="仿宋" w:cs="仿宋" w:hint="eastAsia"/>
            <w:lang w:eastAsia="zh-CN"/>
          </w:rPr>
          <w:t>(三)、风险监控与控制</w:t>
        </w:r>
        <w:r>
          <w:tab/>
        </w:r>
        <w:r>
          <w:fldChar w:fldCharType="begin"/>
        </w:r>
        <w:r>
          <w:instrText xml:space="preserve"> PAGEREF _Toc30154 \h </w:instrText>
        </w:r>
        <w:r>
          <w:fldChar w:fldCharType="separate"/>
        </w:r>
        <w:r>
          <w:t>33</w:t>
        </w:r>
        <w:r>
          <w:fldChar w:fldCharType="end"/>
        </w:r>
      </w:hyperlink>
    </w:p>
    <w:p>
      <w:pPr>
        <w:pStyle w:val="TOC1"/>
        <w:tabs>
          <w:tab w:val="right" w:leader="dot" w:pos="8306"/>
        </w:tabs>
      </w:pPr>
      <w:hyperlink w:anchor="_Toc20561" w:history="1">
        <w:r>
          <w:rPr>
            <w:rFonts w:ascii="仿宋" w:eastAsia="仿宋" w:hAnsi="仿宋" w:cs="仿宋" w:hint="eastAsia"/>
            <w:lang w:eastAsia="zh-CN"/>
          </w:rPr>
          <w:t>九、油墨及类似产品项目投资规划</w:t>
        </w:r>
        <w:r>
          <w:tab/>
        </w:r>
        <w:r>
          <w:fldChar w:fldCharType="begin"/>
        </w:r>
        <w:r>
          <w:instrText xml:space="preserve"> PAGEREF _Toc20561 \h </w:instrText>
        </w:r>
        <w:r>
          <w:fldChar w:fldCharType="separate"/>
        </w:r>
        <w:r>
          <w:t>34</w:t>
        </w:r>
        <w:r>
          <w:fldChar w:fldCharType="end"/>
        </w:r>
      </w:hyperlink>
    </w:p>
    <w:p>
      <w:pPr>
        <w:pStyle w:val="TOC2"/>
        <w:tabs>
          <w:tab w:val="right" w:leader="dot" w:pos="8306"/>
        </w:tabs>
      </w:pPr>
      <w:hyperlink w:anchor="_Toc18004" w:history="1">
        <w:r>
          <w:rPr>
            <w:rFonts w:ascii="仿宋" w:eastAsia="仿宋" w:hAnsi="仿宋" w:cs="仿宋" w:hint="eastAsia"/>
            <w:lang w:eastAsia="zh-CN"/>
          </w:rPr>
          <w:t>(一)、油墨及类似产品项目总投资估算</w:t>
        </w:r>
        <w:r>
          <w:tab/>
        </w:r>
        <w:r>
          <w:fldChar w:fldCharType="begin"/>
        </w:r>
        <w:r>
          <w:instrText xml:space="preserve"> PAGEREF _Toc18004 \h </w:instrText>
        </w:r>
        <w:r>
          <w:fldChar w:fldCharType="separate"/>
        </w:r>
        <w:r>
          <w:t>34</w:t>
        </w:r>
        <w:r>
          <w:fldChar w:fldCharType="end"/>
        </w:r>
      </w:hyperlink>
    </w:p>
    <w:p>
      <w:pPr>
        <w:pStyle w:val="TOC2"/>
        <w:tabs>
          <w:tab w:val="right" w:leader="dot" w:pos="8306"/>
        </w:tabs>
      </w:pPr>
      <w:hyperlink w:anchor="_Toc18546" w:history="1">
        <w:r>
          <w:rPr>
            <w:rFonts w:ascii="仿宋" w:eastAsia="仿宋" w:hAnsi="仿宋" w:cs="仿宋" w:hint="eastAsia"/>
            <w:lang w:eastAsia="zh-CN"/>
          </w:rPr>
          <w:t>(二)、资金筹措</w:t>
        </w:r>
        <w:r>
          <w:tab/>
        </w:r>
        <w:r>
          <w:fldChar w:fldCharType="begin"/>
        </w:r>
        <w:r>
          <w:instrText xml:space="preserve"> PAGEREF _Toc18546 \h </w:instrText>
        </w:r>
        <w:r>
          <w:fldChar w:fldCharType="separate"/>
        </w:r>
        <w:r>
          <w:t>36</w:t>
        </w:r>
        <w:r>
          <w:fldChar w:fldCharType="end"/>
        </w:r>
      </w:hyperlink>
    </w:p>
    <w:p>
      <w:pPr>
        <w:pStyle w:val="TOC1"/>
        <w:tabs>
          <w:tab w:val="right" w:leader="dot" w:pos="8306"/>
        </w:tabs>
      </w:pPr>
      <w:hyperlink w:anchor="_Toc30421" w:history="1">
        <w:r>
          <w:rPr>
            <w:rFonts w:ascii="仿宋" w:eastAsia="仿宋" w:hAnsi="仿宋" w:cs="仿宋" w:hint="eastAsia"/>
            <w:lang w:eastAsia="zh-CN"/>
          </w:rPr>
          <w:t>十、油墨及类似产品项目财务管理</w:t>
        </w:r>
        <w:r>
          <w:tab/>
        </w:r>
        <w:r>
          <w:fldChar w:fldCharType="begin"/>
        </w:r>
        <w:r>
          <w:instrText xml:space="preserve"> PAGEREF _Toc30421 \h </w:instrText>
        </w:r>
        <w:r>
          <w:fldChar w:fldCharType="separate"/>
        </w:r>
        <w:r>
          <w:t>36</w:t>
        </w:r>
        <w:r>
          <w:fldChar w:fldCharType="end"/>
        </w:r>
      </w:hyperlink>
    </w:p>
    <w:p>
      <w:pPr>
        <w:pStyle w:val="TOC2"/>
        <w:tabs>
          <w:tab w:val="right" w:leader="dot" w:pos="8306"/>
        </w:tabs>
      </w:pPr>
      <w:hyperlink w:anchor="_Toc27112" w:history="1">
        <w:r>
          <w:rPr>
            <w:rFonts w:ascii="仿宋" w:eastAsia="仿宋" w:hAnsi="仿宋" w:cs="仿宋" w:hint="eastAsia"/>
            <w:lang w:eastAsia="zh-CN"/>
          </w:rPr>
          <w:t>(一)、资金需求大</w:t>
        </w:r>
        <w:r>
          <w:tab/>
        </w:r>
        <w:r>
          <w:fldChar w:fldCharType="begin"/>
        </w:r>
        <w:r>
          <w:instrText xml:space="preserve"> PAGEREF _Toc27112 \h </w:instrText>
        </w:r>
        <w:r>
          <w:fldChar w:fldCharType="separate"/>
        </w:r>
        <w:r>
          <w:t>36</w:t>
        </w:r>
        <w:r>
          <w:fldChar w:fldCharType="end"/>
        </w:r>
      </w:hyperlink>
    </w:p>
    <w:p>
      <w:pPr>
        <w:pStyle w:val="TOC2"/>
        <w:tabs>
          <w:tab w:val="right" w:leader="dot" w:pos="8306"/>
        </w:tabs>
      </w:pPr>
      <w:hyperlink w:anchor="_Toc174" w:history="1">
        <w:r>
          <w:rPr>
            <w:rFonts w:ascii="仿宋" w:eastAsia="仿宋" w:hAnsi="仿宋" w:cs="仿宋" w:hint="eastAsia"/>
            <w:lang w:eastAsia="zh-CN"/>
          </w:rPr>
          <w:t>(二)、研发周期长</w:t>
        </w:r>
        <w:r>
          <w:tab/>
        </w:r>
        <w:r>
          <w:fldChar w:fldCharType="begin"/>
        </w:r>
        <w:r>
          <w:instrText xml:space="preserve"> PAGEREF _Toc174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26" w:history="1">
        <w:r>
          <w:rPr>
            <w:rFonts w:ascii="仿宋" w:eastAsia="仿宋" w:hAnsi="仿宋" w:cs="仿宋" w:hint="eastAsia"/>
            <w:lang w:eastAsia="zh-CN"/>
          </w:rPr>
          <w:t>(三)、市场风险大</w:t>
        </w:r>
        <w:r>
          <w:tab/>
        </w:r>
        <w:r>
          <w:fldChar w:fldCharType="begin"/>
        </w:r>
        <w:r>
          <w:instrText xml:space="preserve"> PAGEREF _Toc27726 \h </w:instrText>
        </w:r>
        <w:r>
          <w:fldChar w:fldCharType="separate"/>
        </w:r>
        <w:r>
          <w:t>39</w:t>
        </w:r>
        <w:r>
          <w:fldChar w:fldCharType="end"/>
        </w:r>
      </w:hyperlink>
    </w:p>
    <w:p>
      <w:pPr>
        <w:pStyle w:val="TOC2"/>
        <w:tabs>
          <w:tab w:val="right" w:leader="dot" w:pos="8306"/>
        </w:tabs>
      </w:pPr>
      <w:hyperlink w:anchor="_Toc22981" w:history="1">
        <w:r>
          <w:rPr>
            <w:rFonts w:ascii="仿宋" w:eastAsia="仿宋" w:hAnsi="仿宋" w:cs="仿宋" w:hint="eastAsia"/>
            <w:lang w:eastAsia="zh-CN"/>
          </w:rPr>
          <w:t>(四)、利润率高</w:t>
        </w:r>
        <w:r>
          <w:tab/>
        </w:r>
        <w:r>
          <w:fldChar w:fldCharType="begin"/>
        </w:r>
        <w:r>
          <w:instrText xml:space="preserve"> PAGEREF _Toc22981 \h </w:instrText>
        </w:r>
        <w:r>
          <w:fldChar w:fldCharType="separate"/>
        </w:r>
        <w:r>
          <w:t>41</w:t>
        </w:r>
        <w:r>
          <w:fldChar w:fldCharType="end"/>
        </w:r>
      </w:hyperlink>
    </w:p>
    <w:p>
      <w:pPr>
        <w:pStyle w:val="TOC1"/>
        <w:tabs>
          <w:tab w:val="right" w:leader="dot" w:pos="8306"/>
        </w:tabs>
      </w:pPr>
      <w:hyperlink w:anchor="_Toc32709" w:history="1">
        <w:r>
          <w:rPr>
            <w:rFonts w:ascii="仿宋" w:eastAsia="仿宋" w:hAnsi="仿宋" w:cs="仿宋" w:hint="eastAsia"/>
            <w:lang w:eastAsia="zh-CN"/>
          </w:rPr>
          <w:t>十一、油墨及类似产品项目创新与研发</w:t>
        </w:r>
        <w:r>
          <w:tab/>
        </w:r>
        <w:r>
          <w:fldChar w:fldCharType="begin"/>
        </w:r>
        <w:r>
          <w:instrText xml:space="preserve"> PAGEREF _Toc32709 \h </w:instrText>
        </w:r>
        <w:r>
          <w:fldChar w:fldCharType="separate"/>
        </w:r>
        <w:r>
          <w:t>44</w:t>
        </w:r>
        <w:r>
          <w:fldChar w:fldCharType="end"/>
        </w:r>
      </w:hyperlink>
    </w:p>
    <w:p>
      <w:pPr>
        <w:pStyle w:val="TOC2"/>
        <w:tabs>
          <w:tab w:val="right" w:leader="dot" w:pos="8306"/>
        </w:tabs>
      </w:pPr>
      <w:hyperlink w:anchor="_Toc1097" w:history="1">
        <w:r>
          <w:rPr>
            <w:rFonts w:ascii="仿宋" w:eastAsia="仿宋" w:hAnsi="仿宋" w:cs="仿宋" w:hint="eastAsia"/>
            <w:lang w:eastAsia="zh-CN"/>
          </w:rPr>
          <w:t>(一)、创新策略与方向</w:t>
        </w:r>
        <w:r>
          <w:tab/>
        </w:r>
        <w:r>
          <w:fldChar w:fldCharType="begin"/>
        </w:r>
        <w:r>
          <w:instrText xml:space="preserve"> PAGEREF _Toc1097 \h </w:instrText>
        </w:r>
        <w:r>
          <w:fldChar w:fldCharType="separate"/>
        </w:r>
        <w:r>
          <w:t>44</w:t>
        </w:r>
        <w:r>
          <w:fldChar w:fldCharType="end"/>
        </w:r>
      </w:hyperlink>
    </w:p>
    <w:p>
      <w:pPr>
        <w:pStyle w:val="TOC2"/>
        <w:tabs>
          <w:tab w:val="right" w:leader="dot" w:pos="8306"/>
        </w:tabs>
      </w:pPr>
      <w:hyperlink w:anchor="_Toc3623" w:history="1">
        <w:r>
          <w:rPr>
            <w:rFonts w:ascii="仿宋" w:eastAsia="仿宋" w:hAnsi="仿宋" w:cs="仿宋" w:hint="eastAsia"/>
            <w:lang w:eastAsia="zh-CN"/>
          </w:rPr>
          <w:t>(二)、研发规划与投入</w:t>
        </w:r>
        <w:r>
          <w:tab/>
        </w:r>
        <w:r>
          <w:fldChar w:fldCharType="begin"/>
        </w:r>
        <w:r>
          <w:instrText xml:space="preserve"> PAGEREF _Toc3623 \h </w:instrText>
        </w:r>
        <w:r>
          <w:fldChar w:fldCharType="separate"/>
        </w:r>
        <w:r>
          <w:t>45</w:t>
        </w:r>
        <w:r>
          <w:fldChar w:fldCharType="end"/>
        </w:r>
      </w:hyperlink>
    </w:p>
    <w:p>
      <w:pPr>
        <w:pStyle w:val="TOC1"/>
        <w:tabs>
          <w:tab w:val="right" w:leader="dot" w:pos="8306"/>
        </w:tabs>
      </w:pPr>
      <w:hyperlink w:anchor="_Toc31102" w:history="1">
        <w:r>
          <w:rPr>
            <w:rFonts w:ascii="仿宋" w:eastAsia="仿宋" w:hAnsi="仿宋" w:cs="仿宋" w:hint="eastAsia"/>
            <w:lang w:eastAsia="zh-CN"/>
          </w:rPr>
          <w:t>十二、油墨及类似产品项目社会影响</w:t>
        </w:r>
        <w:r>
          <w:tab/>
        </w:r>
        <w:r>
          <w:fldChar w:fldCharType="begin"/>
        </w:r>
        <w:r>
          <w:instrText xml:space="preserve"> PAGEREF _Toc31102 \h </w:instrText>
        </w:r>
        <w:r>
          <w:fldChar w:fldCharType="separate"/>
        </w:r>
        <w:r>
          <w:t>47</w:t>
        </w:r>
        <w:r>
          <w:fldChar w:fldCharType="end"/>
        </w:r>
      </w:hyperlink>
    </w:p>
    <w:p>
      <w:pPr>
        <w:pStyle w:val="TOC2"/>
        <w:tabs>
          <w:tab w:val="right" w:leader="dot" w:pos="8306"/>
        </w:tabs>
      </w:pPr>
      <w:hyperlink w:anchor="_Toc28437" w:history="1">
        <w:r>
          <w:rPr>
            <w:rFonts w:ascii="仿宋" w:eastAsia="仿宋" w:hAnsi="仿宋" w:cs="仿宋" w:hint="eastAsia"/>
            <w:lang w:eastAsia="zh-CN"/>
          </w:rPr>
          <w:t>(一)、社会责任与义务</w:t>
        </w:r>
        <w:r>
          <w:tab/>
        </w:r>
        <w:r>
          <w:fldChar w:fldCharType="begin"/>
        </w:r>
        <w:r>
          <w:instrText xml:space="preserve"> PAGEREF _Toc28437 \h </w:instrText>
        </w:r>
        <w:r>
          <w:fldChar w:fldCharType="separate"/>
        </w:r>
        <w:r>
          <w:t>47</w:t>
        </w:r>
        <w:r>
          <w:fldChar w:fldCharType="end"/>
        </w:r>
      </w:hyperlink>
    </w:p>
    <w:p>
      <w:pPr>
        <w:pStyle w:val="TOC2"/>
        <w:tabs>
          <w:tab w:val="right" w:leader="dot" w:pos="8306"/>
        </w:tabs>
      </w:pPr>
      <w:hyperlink w:anchor="_Toc12336" w:history="1">
        <w:r>
          <w:rPr>
            <w:rFonts w:ascii="仿宋" w:eastAsia="仿宋" w:hAnsi="仿宋" w:cs="仿宋" w:hint="eastAsia"/>
            <w:lang w:eastAsia="zh-CN"/>
          </w:rPr>
          <w:t>(二)、社会参与与沟通</w:t>
        </w:r>
        <w:r>
          <w:tab/>
        </w:r>
        <w:r>
          <w:fldChar w:fldCharType="begin"/>
        </w:r>
        <w:r>
          <w:instrText xml:space="preserve"> PAGEREF _Toc12336 \h </w:instrText>
        </w:r>
        <w:r>
          <w:fldChar w:fldCharType="separate"/>
        </w:r>
        <w:r>
          <w:t>48</w:t>
        </w:r>
        <w:r>
          <w:fldChar w:fldCharType="end"/>
        </w:r>
      </w:hyperlink>
    </w:p>
    <w:p>
      <w:pPr>
        <w:pStyle w:val="TOC1"/>
        <w:tabs>
          <w:tab w:val="right" w:leader="dot" w:pos="8306"/>
        </w:tabs>
      </w:pPr>
      <w:hyperlink w:anchor="_Toc27948" w:history="1">
        <w:r>
          <w:rPr>
            <w:rFonts w:ascii="仿宋" w:eastAsia="仿宋" w:hAnsi="仿宋" w:cs="仿宋" w:hint="eastAsia"/>
            <w:lang w:eastAsia="zh-CN"/>
          </w:rPr>
          <w:t>十三、油墨及类似产品项目变更管理</w:t>
        </w:r>
        <w:r>
          <w:tab/>
        </w:r>
        <w:r>
          <w:fldChar w:fldCharType="begin"/>
        </w:r>
        <w:r>
          <w:instrText xml:space="preserve"> PAGEREF _Toc27948 \h </w:instrText>
        </w:r>
        <w:r>
          <w:fldChar w:fldCharType="separate"/>
        </w:r>
        <w:r>
          <w:t>48</w:t>
        </w:r>
        <w:r>
          <w:fldChar w:fldCharType="end"/>
        </w:r>
      </w:hyperlink>
    </w:p>
    <w:p>
      <w:pPr>
        <w:pStyle w:val="TOC2"/>
        <w:tabs>
          <w:tab w:val="right" w:leader="dot" w:pos="8306"/>
        </w:tabs>
      </w:pPr>
      <w:hyperlink w:anchor="_Toc17279" w:history="1">
        <w:r>
          <w:rPr>
            <w:rFonts w:ascii="仿宋" w:eastAsia="仿宋" w:hAnsi="仿宋" w:cs="仿宋" w:hint="eastAsia"/>
            <w:lang w:eastAsia="zh-CN"/>
          </w:rPr>
          <w:t>(一)、变更申请与评估</w:t>
        </w:r>
        <w:r>
          <w:tab/>
        </w:r>
        <w:r>
          <w:fldChar w:fldCharType="begin"/>
        </w:r>
        <w:r>
          <w:instrText xml:space="preserve"> PAGEREF _Toc17279 \h </w:instrText>
        </w:r>
        <w:r>
          <w:fldChar w:fldCharType="separate"/>
        </w:r>
        <w:r>
          <w:t>48</w:t>
        </w:r>
        <w:r>
          <w:fldChar w:fldCharType="end"/>
        </w:r>
      </w:hyperlink>
    </w:p>
    <w:p>
      <w:pPr>
        <w:pStyle w:val="TOC2"/>
        <w:tabs>
          <w:tab w:val="right" w:leader="dot" w:pos="8306"/>
        </w:tabs>
      </w:pPr>
      <w:hyperlink w:anchor="_Toc11811" w:history="1">
        <w:r>
          <w:rPr>
            <w:rFonts w:ascii="仿宋" w:eastAsia="仿宋" w:hAnsi="仿宋" w:cs="仿宋" w:hint="eastAsia"/>
            <w:lang w:eastAsia="zh-CN"/>
          </w:rPr>
          <w:t>(二)、变更实施与控制</w:t>
        </w:r>
        <w:r>
          <w:tab/>
        </w:r>
        <w:r>
          <w:fldChar w:fldCharType="begin"/>
        </w:r>
        <w:r>
          <w:instrText xml:space="preserve"> PAGEREF _Toc11811 \h </w:instrText>
        </w:r>
        <w:r>
          <w:fldChar w:fldCharType="separate"/>
        </w:r>
        <w:r>
          <w:t>49</w:t>
        </w:r>
        <w:r>
          <w:fldChar w:fldCharType="end"/>
        </w:r>
      </w:hyperlink>
    </w:p>
    <w:p>
      <w:pPr>
        <w:pStyle w:val="TOC1"/>
        <w:tabs>
          <w:tab w:val="right" w:leader="dot" w:pos="8306"/>
        </w:tabs>
      </w:pPr>
      <w:hyperlink w:anchor="_Toc9489" w:history="1">
        <w:r>
          <w:rPr>
            <w:rFonts w:ascii="仿宋" w:eastAsia="仿宋" w:hAnsi="仿宋" w:cs="仿宋" w:hint="eastAsia"/>
            <w:lang w:eastAsia="zh-CN"/>
          </w:rPr>
          <w:t>十四、油墨及类似产品项目实施时间节点</w:t>
        </w:r>
        <w:r>
          <w:tab/>
        </w:r>
        <w:r>
          <w:fldChar w:fldCharType="begin"/>
        </w:r>
        <w:r>
          <w:instrText xml:space="preserve"> PAGEREF _Toc9489 \h </w:instrText>
        </w:r>
        <w:r>
          <w:fldChar w:fldCharType="separate"/>
        </w:r>
        <w:r>
          <w:t>50</w:t>
        </w:r>
        <w:r>
          <w:fldChar w:fldCharType="end"/>
        </w:r>
      </w:hyperlink>
    </w:p>
    <w:p>
      <w:pPr>
        <w:pStyle w:val="TOC2"/>
        <w:tabs>
          <w:tab w:val="right" w:leader="dot" w:pos="8306"/>
        </w:tabs>
      </w:pPr>
      <w:hyperlink w:anchor="_Toc23718" w:history="1">
        <w:r>
          <w:rPr>
            <w:rFonts w:ascii="仿宋" w:eastAsia="仿宋" w:hAnsi="仿宋" w:cs="仿宋" w:hint="eastAsia"/>
            <w:lang w:eastAsia="zh-CN"/>
          </w:rPr>
          <w:t>(一)、油墨及类似产品项目启动阶段时间节点</w:t>
        </w:r>
        <w:r>
          <w:tab/>
        </w:r>
        <w:r>
          <w:fldChar w:fldCharType="begin"/>
        </w:r>
        <w:r>
          <w:instrText xml:space="preserve"> PAGEREF _Toc23718 \h </w:instrText>
        </w:r>
        <w:r>
          <w:fldChar w:fldCharType="separate"/>
        </w:r>
        <w:r>
          <w:t>50</w:t>
        </w:r>
        <w:r>
          <w:fldChar w:fldCharType="end"/>
        </w:r>
      </w:hyperlink>
    </w:p>
    <w:p>
      <w:pPr>
        <w:pStyle w:val="TOC2"/>
        <w:tabs>
          <w:tab w:val="right" w:leader="dot" w:pos="8306"/>
        </w:tabs>
      </w:pPr>
      <w:hyperlink w:anchor="_Toc24062" w:history="1">
        <w:r>
          <w:rPr>
            <w:rFonts w:ascii="仿宋" w:eastAsia="仿宋" w:hAnsi="仿宋" w:cs="仿宋" w:hint="eastAsia"/>
            <w:lang w:eastAsia="zh-CN"/>
          </w:rPr>
          <w:t>(二)、油墨及类似产品项目执行阶段时间节点</w:t>
        </w:r>
        <w:r>
          <w:tab/>
        </w:r>
        <w:r>
          <w:fldChar w:fldCharType="begin"/>
        </w:r>
        <w:r>
          <w:instrText xml:space="preserve"> PAGEREF _Toc24062 \h </w:instrText>
        </w:r>
        <w:r>
          <w:fldChar w:fldCharType="separate"/>
        </w:r>
        <w:r>
          <w:t>51</w:t>
        </w:r>
        <w:r>
          <w:fldChar w:fldCharType="end"/>
        </w:r>
      </w:hyperlink>
    </w:p>
    <w:p>
      <w:pPr>
        <w:pStyle w:val="TOC2"/>
        <w:tabs>
          <w:tab w:val="right" w:leader="dot" w:pos="8306"/>
        </w:tabs>
      </w:pPr>
      <w:hyperlink w:anchor="_Toc10783" w:history="1">
        <w:r>
          <w:rPr>
            <w:rFonts w:ascii="仿宋" w:eastAsia="仿宋" w:hAnsi="仿宋" w:cs="仿宋" w:hint="eastAsia"/>
            <w:lang w:eastAsia="zh-CN"/>
          </w:rPr>
          <w:t>(三)、油墨及类似产品项目完成阶段时间节点</w:t>
        </w:r>
        <w:r>
          <w:tab/>
        </w:r>
        <w:r>
          <w:fldChar w:fldCharType="begin"/>
        </w:r>
        <w:r>
          <w:instrText xml:space="preserve"> PAGEREF _Toc10783 \h </w:instrText>
        </w:r>
        <w:r>
          <w:fldChar w:fldCharType="separate"/>
        </w:r>
        <w:r>
          <w:t>52</w:t>
        </w:r>
        <w:r>
          <w:fldChar w:fldCharType="end"/>
        </w:r>
      </w:hyperlink>
    </w:p>
    <w:p>
      <w:pPr>
        <w:pStyle w:val="TOC1"/>
        <w:tabs>
          <w:tab w:val="right" w:leader="dot" w:pos="8306"/>
        </w:tabs>
      </w:pPr>
      <w:hyperlink w:anchor="_Toc15342" w:history="1">
        <w:r>
          <w:rPr>
            <w:rFonts w:ascii="仿宋" w:eastAsia="仿宋" w:hAnsi="仿宋" w:cs="仿宋" w:hint="eastAsia"/>
            <w:lang w:eastAsia="zh-CN"/>
          </w:rPr>
          <w:t>十五、供应链管理</w:t>
        </w:r>
        <w:r>
          <w:tab/>
        </w:r>
        <w:r>
          <w:fldChar w:fldCharType="begin"/>
        </w:r>
        <w:r>
          <w:instrText xml:space="preserve"> PAGEREF _Toc15342 \h </w:instrText>
        </w:r>
        <w:r>
          <w:fldChar w:fldCharType="separate"/>
        </w:r>
        <w:r>
          <w:t>53</w:t>
        </w:r>
        <w:r>
          <w:fldChar w:fldCharType="end"/>
        </w:r>
      </w:hyperlink>
    </w:p>
    <w:p>
      <w:pPr>
        <w:pStyle w:val="TOC2"/>
        <w:tabs>
          <w:tab w:val="right" w:leader="dot" w:pos="8306"/>
        </w:tabs>
      </w:pPr>
      <w:hyperlink w:anchor="_Toc12250" w:history="1">
        <w:r>
          <w:rPr>
            <w:rFonts w:ascii="仿宋" w:eastAsia="仿宋" w:hAnsi="仿宋" w:cs="仿宋" w:hint="eastAsia"/>
            <w:lang w:eastAsia="zh-CN"/>
          </w:rPr>
          <w:t>(一)、供应链战略规划</w:t>
        </w:r>
        <w:r>
          <w:tab/>
        </w:r>
        <w:r>
          <w:fldChar w:fldCharType="begin"/>
        </w:r>
        <w:r>
          <w:instrText xml:space="preserve"> PAGEREF _Toc12250 \h </w:instrText>
        </w:r>
        <w:r>
          <w:fldChar w:fldCharType="separate"/>
        </w:r>
        <w:r>
          <w:t>53</w:t>
        </w:r>
        <w:r>
          <w:fldChar w:fldCharType="end"/>
        </w:r>
      </w:hyperlink>
    </w:p>
    <w:p>
      <w:pPr>
        <w:pStyle w:val="TOC2"/>
        <w:tabs>
          <w:tab w:val="right" w:leader="dot" w:pos="8306"/>
        </w:tabs>
      </w:pPr>
      <w:hyperlink w:anchor="_Toc29754" w:history="1">
        <w:r>
          <w:rPr>
            <w:rFonts w:ascii="仿宋" w:eastAsia="仿宋" w:hAnsi="仿宋" w:cs="仿宋" w:hint="eastAsia"/>
            <w:lang w:eastAsia="zh-CN"/>
          </w:rPr>
          <w:t>(二)、供应商选择与合作</w:t>
        </w:r>
        <w:r>
          <w:tab/>
        </w:r>
        <w:r>
          <w:fldChar w:fldCharType="begin"/>
        </w:r>
        <w:r>
          <w:instrText xml:space="preserve"> PAGEREF _Toc29754 \h </w:instrText>
        </w:r>
        <w:r>
          <w:fldChar w:fldCharType="separate"/>
        </w:r>
        <w:r>
          <w:t>54</w:t>
        </w:r>
        <w:r>
          <w:fldChar w:fldCharType="end"/>
        </w:r>
      </w:hyperlink>
    </w:p>
    <w:p>
      <w:pPr>
        <w:pStyle w:val="TOC2"/>
        <w:tabs>
          <w:tab w:val="right" w:leader="dot" w:pos="8306"/>
        </w:tabs>
      </w:pPr>
      <w:hyperlink w:anchor="_Toc12831" w:history="1">
        <w:r>
          <w:rPr>
            <w:rFonts w:ascii="仿宋" w:eastAsia="仿宋" w:hAnsi="仿宋" w:cs="仿宋" w:hint="eastAsia"/>
            <w:lang w:eastAsia="zh-CN"/>
          </w:rPr>
          <w:t>(三)、物流与库存管理</w:t>
        </w:r>
        <w:r>
          <w:tab/>
        </w:r>
        <w:r>
          <w:fldChar w:fldCharType="begin"/>
        </w:r>
        <w:r>
          <w:instrText xml:space="preserve"> PAGEREF _Toc12831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1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9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技术管理特点体现在其创新导向。通过引入最先进的技术趋势和解决方案，油墨及类似产品项目致力于提升科技含量、提高质量和效率水平。这意味着我们将采用最新的工具和方法，确保油墨及类似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墨及类似产品项目技术管理的显著特征。通过整合不同领域的技术资源，我们实现了跨学科的协同工作。这有助于优化技术架构，提高整体效能。此外，整合性策略还促进了不同技术团队之间的紧密沟通和高效合作，确保油墨及类似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墨及类似产品项目所采用的技术。通过不断优化技术方案，油墨及类似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墨及类似产品项目团队将在油墨及类似产品项目初期识别可能的技术风险，并采取相应的预防和应对措施。通过建立健全的风险评估机制，油墨及类似产品项目能够在实施过程中及时发现并解决潜在的技术问题，保障油墨及类似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墨及类似产品项目中，技术将成为油墨及类似产品项目成功的有力支持。这一深度剖析揭示了技术管理在油墨及类似产品项目实施中的关键作用，为油墨及类似产品项目的技术基础奠定了坚实的基础。</w:t>
      </w:r>
    </w:p>
    <w:p>
      <w:pPr>
        <w:pStyle w:val="Heading2"/>
        <w:ind w:firstLine="560" w:firstLineChars="200"/>
        <w:rPr>
          <w:rFonts w:ascii="仿宋" w:eastAsia="仿宋" w:hAnsi="仿宋" w:cs="仿宋" w:hint="eastAsia"/>
          <w:sz w:val="28"/>
          <w:lang w:eastAsia="zh-CN"/>
        </w:rPr>
      </w:pPr>
      <w:bookmarkStart w:id="4" w:name="_Toc3489"/>
      <w:r>
        <w:rPr>
          <w:rFonts w:ascii="仿宋" w:eastAsia="仿宋" w:hAnsi="仿宋" w:cs="仿宋" w:hint="eastAsia"/>
          <w:sz w:val="28"/>
          <w:lang w:eastAsia="zh-CN"/>
        </w:rPr>
        <w:t>(二)、油墨及类似产品项目工艺技术设计方案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墨及类似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墨及类似产品项目将严格按照相关行业规范要求进行组织。通过有效控制产品质量，油墨及类似产品项目将致力于为顾客提供优质的油墨及类似产品项目产品和良好的服务。这体现了油墨及类似产品项目对于生产活动合规性和质量标准的高度重视，为油墨及类似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墨及类似产品项目注重生态效益和清洁生产原则。油墨及类似产品项目建设将紧密结合地方特色经济发展，与社会经济发展规划和区域环境保护规划方案相协调一致。通过与当地区域自然生态系统的结合，油墨及类似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墨及类似产品项目产品具有多样化的客户需求和个性化的特点。因此，油墨及类似产品项目产品规格品种多样，且单批生产数量较小。为满足这一特点，油墨及类似产品项目承办单位将建设先进的柔性制造生产线。通过广泛应用柔性制造技术，油墨及类似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墨及类似产品项目采用的技术具有较高的技术含量和自动化水平，处于国内先进水平。这一技术选用不仅体现了对生产效率、质量和环境友好性的高标准要求，同时为油墨及类似产品项目的可持续发展奠定了坚实的基础。</w:t>
      </w:r>
    </w:p>
    <w:p>
      <w:pPr>
        <w:pStyle w:val="Heading2"/>
        <w:ind w:firstLine="560" w:firstLineChars="200"/>
        <w:rPr>
          <w:rFonts w:ascii="仿宋" w:eastAsia="仿宋" w:hAnsi="仿宋" w:cs="仿宋" w:hint="eastAsia"/>
          <w:sz w:val="28"/>
          <w:lang w:eastAsia="zh-CN"/>
        </w:rPr>
      </w:pPr>
      <w:bookmarkStart w:id="5" w:name="_Toc161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为确保油墨及类似产品项目的高效生产和技术实施，我们制定了一套精心设计的设备选型方案，以满足油墨及类似产品项目生产、质量和环保的要求。该方案的主要特点如下：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墨及类似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针对油墨及类似产品项目产品的多样性和小批量生产的特点，我们将建设柔性制造生产线。通过在设备选型中考虑柔性制造技术，可以灵活应对不同产品规格和生产需求，实现生产线的高度灵活性和适应性。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290"/>
      <w:r>
        <w:rPr>
          <w:rFonts w:ascii="仿宋" w:eastAsia="仿宋" w:hAnsi="仿宋" w:cs="仿宋" w:hint="eastAsia"/>
          <w:sz w:val="28"/>
          <w:lang w:eastAsia="zh-CN"/>
        </w:rPr>
        <w:t>二、油墨及类似产品项目危机管理</w:t>
      </w:r>
      <w:bookmarkEnd w:id="6"/>
    </w:p>
    <w:p>
      <w:pPr>
        <w:pStyle w:val="Heading2"/>
        <w:rPr>
          <w:rFonts w:ascii="仿宋" w:eastAsia="仿宋" w:hAnsi="仿宋" w:cs="仿宋" w:hint="eastAsia"/>
          <w:lang w:eastAsia="zh-CN"/>
        </w:rPr>
      </w:pPr>
      <w:bookmarkStart w:id="7" w:name="_Toc822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油墨及类似产品项目危机管理中，危机预警与识别是确保油墨及类似产品项目稳健运行的核心步骤。通过建立全面的监测机制，油墨及类似产品项目团队旨在及时发现和理解潜在的风险和危机因素，以便采取及时的预防和应对措施，确保油墨及类似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墨及类似产品项目团队全面分析了整个油墨及类似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墨及类似产品项目团队着重于明确定义油墨及类似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墨及类似产品项目进展的持续监控，团队能够及时发现潜在问题并作出迅速反应。油墨及类似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在这一阶段，团队的专业素养和反应速度将发挥至关重要的作用，以确保潜在危机能够在初期得到有效的处理，最大程度地减轻负面影响。通过危机预警与识别，油墨及类似产品项目得以更有序、可控地推进。</w:t>
      </w:r>
    </w:p>
    <w:p>
      <w:pPr>
        <w:pStyle w:val="Heading2"/>
        <w:ind w:firstLine="560" w:firstLineChars="200"/>
        <w:rPr>
          <w:rFonts w:ascii="仿宋" w:eastAsia="仿宋" w:hAnsi="仿宋" w:cs="仿宋" w:hint="eastAsia"/>
          <w:sz w:val="28"/>
          <w:lang w:eastAsia="zh-CN"/>
        </w:rPr>
      </w:pPr>
      <w:bookmarkStart w:id="8" w:name="_Toc1875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在危机发生时，油墨及类似产品项目团队立即行动，成立了应急小组。该小组的任务是迅速制定并实施紧急应对措施，以最小化潜在损失。以下是采取的主要措施：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暂停油墨及类似产品项目进度：为遏制危机蔓延，油墨及类似产品项目暂时停止进行，以便全面评估当前状况。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资源重新分配：重新评估油墨及类似产品项目资源的分配，确保最大限度地减小损失。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实时沟通：与关键利益相关者建立实时沟通机制，向他们传递油墨及类似产品项目危机的实际状况，保障油墨及类似产品项目核心利益。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在紧急应对的同时，油墨及类似产品项目团队强调了团队协作和有效沟通的重要性。以下是团队协作的关键举措：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信息共享机制：建立了信息共享平台，确保团队成员能够及时获取油墨及类似产品项目危机的实时信息。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领导者沟通：油墨及类似产品项目领导者通过定期会议和即时沟通工具，指导团队应对危机，保持团队稳定运行。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随着危机得到初步控制，油墨及类似产品项目团队转向制定恢复计划，以确保油墨及类似产品项目能够从中迅速恢复。主要恢复计划包括：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修复受损的进度计划：重新评估油墨及类似产品项目进度，制定修复计划，确保油墨及类似产品项目尽快回归正常进程。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重新调整资源分配：优化资源分配，确保油墨及类似产品项目在有限资源下高效运转。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风险管理机制加强：对油墨及类似产品项目风险进行全面评估，制定更强化的风险管理策略，以预防未来可能的危机。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2206"/>
      <w:r>
        <w:rPr>
          <w:rFonts w:ascii="仿宋" w:eastAsia="仿宋" w:hAnsi="仿宋" w:cs="仿宋" w:hint="eastAsia"/>
          <w:sz w:val="28"/>
          <w:lang w:eastAsia="zh-CN"/>
        </w:rPr>
        <w:t>三、油墨及类似产品项目概论</w:t>
      </w:r>
      <w:bookmarkEnd w:id="9"/>
    </w:p>
    <w:p>
      <w:pPr>
        <w:pStyle w:val="Heading2"/>
        <w:rPr>
          <w:rFonts w:ascii="仿宋" w:eastAsia="仿宋" w:hAnsi="仿宋" w:cs="仿宋" w:hint="eastAsia"/>
          <w:lang w:eastAsia="zh-CN"/>
        </w:rPr>
      </w:pPr>
      <w:bookmarkStart w:id="10" w:name="_Toc31667"/>
      <w:r>
        <w:rPr>
          <w:rFonts w:ascii="仿宋" w:eastAsia="仿宋" w:hAnsi="仿宋" w:cs="仿宋" w:hint="eastAsia"/>
          <w:lang w:eastAsia="zh-CN"/>
        </w:rPr>
        <w:t>(一)、油墨及类似产品项目概况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起源追溯至对市场的深入洞察。市场的不断演变与变革为油墨及类似产品项目提供了难得的机遇。当前市场存在的需求缺口和变革的大环境共同构成了油墨及类似产品项目的背景。这个油墨及类似产品项目旨在充分利用市场机遇，填补行业中尚未满足的需求，为客户提供全新的解决方案。市场的变革和需求的增长使得这个油墨及类似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油墨及类似产品项目名称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正式命名为油墨及类似产品。这个名称不仅仅是一个标识，更代表了油墨及类似产品项目的核心理念和愿景。它蕴含着油墨及类似产品项目所要解决问题的关键字，具有强烈的表达和辨识度，为油墨及类似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油墨及类似产品项目目标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核心目标是提供一种全新、高效的解决方案，满足客户日益增长的需求。油墨及类似产品项目追求的不仅仅是满足市场需求，更是在市场中获得卓越的竞争优势。通过不断提升产品或服务的质量和创新水平，油墨及类似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油墨及类似产品项目范围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全面涵盖了产品研发、制造、市场推广和售后服务，确保从产品设计到最终用户体验的全方位关注。这一全面的油墨及类似产品项目范围是为了确保油墨及类似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油墨及类似产品项目时间表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油墨及类似产品项目计划在未来18个月内完成，包括研发、测试、市场试点和正式推出等不同阶段。这个时间表的合理设计是为了确保油墨及类似产品项目各个阶段的顺利推进，以便按时交付高质量的成果。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油墨及类似产品项目预算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总预算估算为XX百万美元，主要分配在研发、市场推广、人员培训和运营等方面。这一充足的预算为油墨及类似产品项目提供了充足的资源，确保油墨及类似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油墨及类似产品项目风险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可能面临的风险包括市场接受度低、技术难题、竞争激烈等。油墨及类似产品项目团队已经制定了相应的风险应对计划，通过前瞻性的风险管理，确保油墨及类似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油墨及类似产品项目团队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油墨及类似产品项目汇聚了一支经验丰富、多领域专业素养的核心团队，确保油墨及类似产品项目在各个方面都能拥有高水平的执行力。团队的协同作战是油墨及类似产品项目成功的关键因素之一。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油墨及类似产品项目背景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油墨及类似产品项目的背景根植于市场对更高效、创新产品的渴望，同时也受到科技发展对行业格局的深刻改变的影响。这为油墨及类似产品项目提供了广阔的发展空间和市场需求。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油墨及类似产品项目现状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截至目前，油墨及类似产品项目已完成市场调研和技术验证，取得了初步的成功。这为油墨及类似产品项目在未来的发展奠定了坚实的基础，为更远大的目标打下了坚实的基石。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480"/>
      <w:r>
        <w:rPr>
          <w:rFonts w:ascii="仿宋" w:eastAsia="仿宋" w:hAnsi="仿宋" w:cs="仿宋" w:hint="eastAsia"/>
          <w:sz w:val="28"/>
          <w:lang w:eastAsia="zh-CN"/>
        </w:rPr>
        <w:t>(二)、油墨及类似产品项目目标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keyword》油墨及类似产品项目首要业务目标是在市场中占据有利地位，实现产品/服务的成功推广和销售。通过不断提升产品质量、创新性，油墨及类似产品项目追求成为行业中的领导者，赢得更多客户的青睐。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在科技迅速发展的时代，油墨及类似产品项目着眼于技术创新。通过持续的研发和技术升级，油墨及类似产品项目旨在推出更具创新性的产品或服务，以满足市场对新鲜、先进解决方案的需求。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为了建立可持续的客户关系，油墨及类似产品项目设定了客户满意度目标。通过提供卓越的产品质量和优质的客户服务，油墨及类似产品项目追求赢得客户的信任和忠诚度，确保他们的满意度达到行业领先水平。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油墨及类似产品项目注重社会责任和可持续发展。通过实施环保、社会责任油墨及类似产品项目，油墨及类似产品项目致力于在经济发展的同时保护环境，促进社会公平，实现可持续经营。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油墨及类似产品项目的团队是实现目标的核心驱动力。因此，油墨及类似产品项目设定了团队发展目标，包括提升团队成员的专业技能、培养领导力，以及搭建协同高效的团队工作氛围。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782"/>
      <w:r>
        <w:rPr>
          <w:rFonts w:ascii="仿宋" w:eastAsia="仿宋" w:hAnsi="仿宋" w:cs="仿宋" w:hint="eastAsia"/>
          <w:sz w:val="28"/>
          <w:lang w:eastAsia="zh-CN"/>
        </w:rPr>
        <w:t>(三)、油墨及类似产品项目提出的理由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油墨及类似产品项目提出的理由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提出源于对市场机遇的深刻洞察。当前市场中存在的需求缺口和行业发展趋势表明，有巨大的商业机会等待被开发。通过准确捕捉市场机遇，油墨及类似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理念基于对技术创新的信仰。通过持续的研发和技术投入，油墨及类似产品项目有望推出更具创新性的产品或服务。在科技飞速发展的当下，油墨及类似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提出是为了增强企业的行业竞争力。通过提升产品或服务的质量和独特性，油墨及类似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油墨及类似产品项目响应了消费者需求的变化。随着社会和科技的不断发展，消费者对产品和服务的需求也在发生变化。通过深入了解并及时回应消费者的新需求，油墨及类似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提出是企业战略发展规划的一部分。在面对日益激烈的市场竞争和不断变化的商业环境中，油墨及类似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提出不仅仅是基于商业考量，还注重社会责任。通过推出环保、社会责任等方面的油墨及类似产品项目，油墨及类似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油墨及类似产品项目的提出反映了对利益相关者期望的关注。包括客户、员工、投资者等利益相关者在企业发展中都有着各自的期望，油墨及类似产品项目力求在满足这些期望的同时，取得更大的共赢。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4439"/>
      <w:r>
        <w:rPr>
          <w:rFonts w:ascii="仿宋" w:eastAsia="仿宋" w:hAnsi="仿宋" w:cs="仿宋" w:hint="eastAsia"/>
          <w:sz w:val="28"/>
          <w:lang w:eastAsia="zh-CN"/>
        </w:rPr>
        <w:t>(四)、油墨及类似产品项目意义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在实施油墨及类似产品项目的过程中，我们不仅仅是在追逐商业成功，更是为企业和社会的多个层面创造了深远的意义。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首要意义在于提升企业的市场竞争力。通过持续的创新和对产品质量的高标准要求，油墨及类似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墨及类似产品项目的推进将促使行业技术水平的提升。通过引入先进技术和创新性解决方案，油墨及类似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墨及类似产品项目不仅创造了大量就业机会，提高了就业水平，还注重社会责任和环保。通过参与社会公益事业和推动环保油墨及类似产品项目，油墨及类似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综合而言，油墨及类似产品项目意义重大，不仅推动了企业的发展，也为行业和社会的进步贡献了积极力量。这是一个全面而深刻的影响，将在未来产生可持续的正面效应。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873"/>
      <w:r>
        <w:rPr>
          <w:rFonts w:ascii="仿宋" w:eastAsia="仿宋" w:hAnsi="仿宋" w:cs="仿宋" w:hint="eastAsia"/>
          <w:sz w:val="28"/>
          <w:lang w:eastAsia="zh-CN"/>
        </w:rPr>
        <w:t>(五)、油墨及类似产品项目背景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在当今迅猛发展的商业环境中，油墨及类似产品项目的动因根植于对多方面因素的审慎考量。这个油墨及类似产品项目的提出并非孤立的决策，而是对企业所处背景深入思考的产物。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墨及类似产品项目背后的首要原因。科技的迅速发展和全球市场的快速变化使得企业必须灵活应对。油墨及类似产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竞争的激烈程度也是油墨及类似产品项目背景中不可忽视的一环。企业需要在激烈竞争中脱颖而出，为此，油墨及类似产品项目致力于打破常规，提供独特的价值主张，以吸引客户并确保市场份额的增长。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技术的迅速发展为企业带来了机遇与挑战。作为油墨及类似产品项目启动的背景之一，对新兴技术的应用将有助于提升企业的技术水平，使其在不断演进的商业环境中保持竞争优势。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此外，社会对企业责任的期望也在逐渐升高。油墨及类似产品项目充分融入了社会责任的理念，通过可持续经营和社会公益油墨及类似产品项目，企图为社会贡献一份力量，在商业成功的同时关注社会价值。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993"/>
      <w:r>
        <w:rPr>
          <w:rFonts w:ascii="仿宋" w:eastAsia="仿宋" w:hAnsi="仿宋" w:cs="仿宋" w:hint="eastAsia"/>
          <w:sz w:val="28"/>
          <w:lang w:eastAsia="zh-CN"/>
        </w:rPr>
        <w:t>四、油墨及类似产品项目文档管理</w:t>
      </w:r>
      <w:bookmarkEnd w:id="15"/>
    </w:p>
    <w:p>
      <w:pPr>
        <w:pStyle w:val="Heading2"/>
        <w:rPr>
          <w:rFonts w:ascii="仿宋" w:eastAsia="仿宋" w:hAnsi="仿宋" w:cs="仿宋" w:hint="eastAsia"/>
          <w:lang w:eastAsia="zh-CN"/>
        </w:rPr>
      </w:pPr>
      <w:bookmarkStart w:id="16" w:name="_Toc1894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油墨及类似产品项目高度重视文档的质量和准确性，以支持油墨及类似产品项目的各项活动和决策。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https://d.book118.com/848064021137006025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53794"/>
    <w:rsid w:val="0C0537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640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2024-01-11T18:30:00Z</dcterms:created>
  <dcterms:modified xsi:type="dcterms:W3CDTF">2024-01-11T18:30:35Z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F01BA51DC7D4433B8F5FCB357D196640_11</vt:lpwstr>
  </property>
  <property fmtid="{D5CDD505-2E9C-101B-9397-08002B2CF9AE}" pid="3" name="KSOProductBuildVer">
    <vt:lpwstr>2052-12.1.0.16120</vt:lpwstr>
  </property>
</Properties>
</file>