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2024年冲调饮品行业趋势报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6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一、冲调饮品行业运营管理及商业模式分析</w:t>
        </w:r>
        <w:r>
          <w:tab/>
        </w:r>
        <w:r>
          <w:fldChar w:fldCharType="begin"/>
        </w:r>
        <w:r>
          <w:instrText xml:space="preserve"> PAGEREF _Toc18460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(一)、冲调饮品行业数字化发展方案</w:t>
        </w:r>
        <w:r>
          <w:tab/>
        </w:r>
        <w:r>
          <w:fldChar w:fldCharType="begin"/>
        </w:r>
        <w:r>
          <w:instrText xml:space="preserve"> PAGEREF _Toc6090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(二)、冲调饮品行业新型运营方式</w:t>
        </w:r>
        <w:r>
          <w:tab/>
        </w:r>
        <w:r>
          <w:fldChar w:fldCharType="begin"/>
        </w:r>
        <w:r>
          <w:instrText xml:space="preserve"> PAGEREF _Toc23120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(三)、冲调饮品行业风险管理</w:t>
        </w:r>
        <w:r>
          <w:tab/>
        </w:r>
        <w:r>
          <w:fldChar w:fldCharType="begin"/>
        </w:r>
        <w:r>
          <w:instrText xml:space="preserve"> PAGEREF _Toc7226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二、质量管理与持续改进</w:t>
        </w:r>
        <w:r>
          <w:tab/>
        </w:r>
        <w:r>
          <w:fldChar w:fldCharType="begin"/>
        </w:r>
        <w:r>
          <w:instrText xml:space="preserve"> PAGEREF _Toc8060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_Toc19045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_Toc15499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_Toc6822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_Toc31524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6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三、制度运行与优化</w:t>
        </w:r>
        <w:r>
          <w:tab/>
        </w:r>
        <w:r>
          <w:fldChar w:fldCharType="begin"/>
        </w:r>
        <w:r>
          <w:instrText xml:space="preserve"> PAGEREF _Toc24560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_Toc31401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_Toc31574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4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四、安全与劳动保护</w:t>
        </w:r>
        <w:r>
          <w:tab/>
        </w:r>
        <w:r>
          <w:fldChar w:fldCharType="begin"/>
        </w:r>
        <w:r>
          <w:instrText xml:space="preserve"> PAGEREF _Toc16948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_Toc8339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_Toc892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_Toc23523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五、冲调饮品行业公司治理与社会责任</w:t>
        </w:r>
        <w:r>
          <w:tab/>
        </w:r>
        <w:r>
          <w:fldChar w:fldCharType="begin"/>
        </w:r>
        <w:r>
          <w:instrText xml:space="preserve"> PAGEREF _Toc7612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_Toc19384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_Toc10526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_Toc21777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_Toc22071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_Toc3959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六、可持续发展与绿色经营</w:t>
        </w:r>
        <w:r>
          <w:tab/>
        </w:r>
        <w:r>
          <w:fldChar w:fldCharType="begin"/>
        </w:r>
        <w:r>
          <w:instrText xml:space="preserve"> PAGEREF _Toc2704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_Toc19947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_Toc10837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_Toc5201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_Toc16545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七、制度建设与管理</w:t>
        </w:r>
        <w:r>
          <w:tab/>
        </w:r>
        <w:r>
          <w:fldChar w:fldCharType="begin"/>
        </w:r>
        <w:r>
          <w:instrText xml:space="preserve"> PAGEREF _Toc1302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_Toc766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_Toc28962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_Toc21009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50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八、环境与社会责任</w:t>
        </w:r>
        <w:r>
          <w:tab/>
        </w:r>
        <w:r>
          <w:fldChar w:fldCharType="begin"/>
        </w:r>
        <w:r>
          <w:instrText xml:space="preserve"> PAGEREF _Toc17503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_Toc10387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_Toc6993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4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九、公司文化与社会责任</w:t>
        </w:r>
        <w:r>
          <w:tab/>
        </w:r>
        <w:r>
          <w:fldChar w:fldCharType="begin"/>
        </w:r>
        <w:r>
          <w:instrText xml:space="preserve"> PAGEREF _Toc13047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_Toc29334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_Toc23927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5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十、冲调饮品行业人才招聘与发展</w:t>
        </w:r>
        <w:r>
          <w:tab/>
        </w:r>
        <w:r>
          <w:fldChar w:fldCharType="begin"/>
        </w:r>
        <w:r>
          <w:instrText xml:space="preserve"> PAGEREF _Toc10058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_Toc21344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_Toc30623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_Toc462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_Toc27950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_Toc313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十一、冲调饮品行业市场营销分析</w:t>
        </w:r>
        <w:r>
          <w:tab/>
        </w:r>
        <w:r>
          <w:fldChar w:fldCharType="begin"/>
        </w:r>
        <w:r>
          <w:instrText xml:space="preserve"> PAGEREF _Toc9926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(一)、冲调饮品行业市场营销总体思路</w:t>
        </w:r>
        <w:r>
          <w:tab/>
        </w:r>
        <w:r>
          <w:fldChar w:fldCharType="begin"/>
        </w:r>
        <w:r>
          <w:instrText xml:space="preserve"> PAGEREF _Toc9348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(二)、冲调饮品行业组织市场分析</w:t>
        </w:r>
        <w:r>
          <w:tab/>
        </w:r>
        <w:r>
          <w:fldChar w:fldCharType="begin"/>
        </w:r>
        <w:r>
          <w:instrText xml:space="preserve"> PAGEREF _Toc26056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(三)、冲调饮品行业目标市场营销战略</w:t>
        </w:r>
        <w:r>
          <w:tab/>
        </w:r>
        <w:r>
          <w:fldChar w:fldCharType="begin"/>
        </w:r>
        <w:r>
          <w:instrText xml:space="preserve"> PAGEREF _Toc8559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(四)、冲调饮品行业定价策略</w:t>
        </w:r>
        <w:r>
          <w:tab/>
        </w:r>
        <w:r>
          <w:fldChar w:fldCharType="begin"/>
        </w:r>
        <w:r>
          <w:instrText xml:space="preserve"> PAGEREF _Toc9043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(五)、冲调饮品行业促销策略</w:t>
        </w:r>
        <w:r>
          <w:tab/>
        </w:r>
        <w:r>
          <w:fldChar w:fldCharType="begin"/>
        </w:r>
        <w:r>
          <w:instrText xml:space="preserve"> PAGEREF _Toc9617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(六)、冲调饮品行业品牌策略</w:t>
        </w:r>
        <w:r>
          <w:tab/>
        </w:r>
        <w:r>
          <w:fldChar w:fldCharType="begin"/>
        </w:r>
        <w:r>
          <w:instrText xml:space="preserve"> PAGEREF _Toc21444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(七)、冲调饮品行业关系营销</w:t>
        </w:r>
        <w:r>
          <w:tab/>
        </w:r>
        <w:r>
          <w:fldChar w:fldCharType="begin"/>
        </w:r>
        <w:r>
          <w:instrText xml:space="preserve"> PAGEREF _Toc1108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(八)、冲调饮品行业体验营销</w:t>
        </w:r>
        <w:r>
          <w:tab/>
        </w:r>
        <w:r>
          <w:fldChar w:fldCharType="begin"/>
        </w:r>
        <w:r>
          <w:instrText xml:space="preserve"> PAGEREF _Toc29534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(九)、冲调饮品行业互联网营销</w:t>
        </w:r>
        <w:r>
          <w:tab/>
        </w:r>
        <w:r>
          <w:fldChar w:fldCharType="begin"/>
        </w:r>
        <w:r>
          <w:instrText xml:space="preserve"> PAGEREF _Toc19836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5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十二、项目实施与进度安排</w:t>
        </w:r>
        <w:r>
          <w:tab/>
        </w:r>
        <w:r>
          <w:fldChar w:fldCharType="begin"/>
        </w:r>
        <w:r>
          <w:instrText xml:space="preserve"> PAGEREF _Toc3355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_Toc22853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_Toc13541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_Toc32286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https://d.book118.com/848103042053006027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2463519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48103042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