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5"/>
        </w:rPr>
      </w:pPr>
    </w:p>
    <w:p>
      <w:pPr>
        <w:pStyle w:val="BodyText"/>
        <w:ind w:left="2760"/>
        <w:rPr>
          <w:rFonts w:ascii="Times New Roman"/>
          <w:sz w:val="20"/>
        </w:rPr>
      </w:pPr>
      <w:r>
        <w:rPr>
          <w:rFonts w:ascii="Times New Roman"/>
          <w:sz w:val="20"/>
        </w:rPr>
        <w:drawing>
          <wp:inline distT="0" distB="0" distL="0" distR="0">
            <wp:extent cx="7955661" cy="81076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955661" cy="810768"/>
                    </a:xfrm>
                    <a:prstGeom prst="rect">
                      <a:avLst/>
                    </a:prstGeom>
                  </pic:spPr>
                </pic:pic>
              </a:graphicData>
            </a:graphic>
          </wp:inline>
        </w:drawing>
      </w:r>
    </w:p>
    <w:p>
      <w:pPr>
        <w:spacing w:after="0"/>
        <w:rPr>
          <w:rFonts w:ascii="Times New Roman"/>
          <w:sz w:val="20"/>
        </w:rPr>
        <w:sectPr>
          <w:headerReference w:type="default" r:id="rId5"/>
          <w:footerReference w:type="default" r:id="rId6"/>
          <w:type w:val="continuous"/>
          <w:pgSz w:w="17860" w:h="25260"/>
          <w:pgMar w:top="1780" w:right="0" w:bottom="2020" w:left="0" w:header="1116" w:footer="1831"/>
          <w:cols w:space="708"/>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Heading1"/>
        <w:spacing w:before="64"/>
      </w:pPr>
      <w:r>
        <w:t>目录</w:t>
      </w:r>
    </w:p>
    <w:p>
      <w:pPr>
        <w:pStyle w:val="BodyText"/>
        <w:rPr>
          <w:b/>
          <w:sz w:val="86"/>
        </w:rPr>
      </w:pPr>
    </w:p>
    <w:p>
      <w:pPr>
        <w:pStyle w:val="BodyText"/>
        <w:spacing w:before="9"/>
        <w:rPr>
          <w:b/>
          <w:sz w:val="65"/>
        </w:rPr>
      </w:pPr>
    </w:p>
    <w:p>
      <w:pPr>
        <w:spacing w:before="1"/>
        <w:ind w:left="2913" w:right="0" w:firstLine="0"/>
        <w:jc w:val="left"/>
        <w:rPr>
          <w:sz w:val="42"/>
        </w:rPr>
      </w:pPr>
      <w:r>
        <w:rPr>
          <w:sz w:val="42"/>
        </w:rPr>
        <w:t>土方开挖</w:t>
      </w:r>
    </w:p>
    <w:p>
      <w:pPr>
        <w:spacing w:before="162"/>
        <w:ind w:left="2700" w:right="0" w:firstLine="0"/>
        <w:jc w:val="left"/>
        <w:rPr>
          <w:sz w:val="42"/>
        </w:rPr>
      </w:pPr>
      <w:r>
        <w:rPr>
          <w:sz w:val="42"/>
        </w:rPr>
        <w:t>-------------------------------------------------------------2</w:t>
      </w:r>
    </w:p>
    <w:p>
      <w:pPr>
        <w:spacing w:before="162"/>
        <w:ind w:left="2913" w:right="0" w:firstLine="0"/>
        <w:jc w:val="left"/>
        <w:rPr>
          <w:sz w:val="42"/>
        </w:rPr>
      </w:pPr>
      <w:r>
        <w:rPr>
          <w:sz w:val="42"/>
        </w:rPr>
        <w:t>砼垫层浇筑</w:t>
      </w:r>
    </w:p>
    <w:p>
      <w:pPr>
        <w:spacing w:before="162"/>
        <w:ind w:left="2700" w:right="0" w:firstLine="0"/>
        <w:jc w:val="left"/>
        <w:rPr>
          <w:sz w:val="42"/>
        </w:rPr>
      </w:pPr>
      <w:r>
        <w:rPr>
          <w:sz w:val="42"/>
        </w:rPr>
        <w:t>----------------------------------------------------------3</w:t>
      </w:r>
    </w:p>
    <w:p>
      <w:pPr>
        <w:spacing w:before="162"/>
        <w:ind w:left="2913" w:right="0" w:firstLine="0"/>
        <w:jc w:val="left"/>
        <w:rPr>
          <w:sz w:val="42"/>
        </w:rPr>
      </w:pPr>
      <w:r>
        <w:rPr>
          <w:sz w:val="42"/>
        </w:rPr>
        <w:t>防水卷材</w:t>
      </w:r>
    </w:p>
    <w:p>
      <w:pPr>
        <w:spacing w:before="161"/>
        <w:ind w:left="2700" w:right="0" w:firstLine="0"/>
        <w:jc w:val="left"/>
        <w:rPr>
          <w:sz w:val="42"/>
        </w:rPr>
      </w:pPr>
      <w:r>
        <w:rPr>
          <w:sz w:val="42"/>
        </w:rPr>
        <w:t>-------------------------------------------------------------4</w:t>
      </w:r>
    </w:p>
    <w:p>
      <w:pPr>
        <w:spacing w:before="163"/>
        <w:ind w:left="2913" w:right="0" w:firstLine="0"/>
        <w:jc w:val="left"/>
        <w:rPr>
          <w:sz w:val="42"/>
        </w:rPr>
      </w:pPr>
      <w:r>
        <w:rPr>
          <w:sz w:val="42"/>
        </w:rPr>
        <w:t>钢筋绑扎</w:t>
      </w:r>
    </w:p>
    <w:p>
      <w:pPr>
        <w:spacing w:before="162"/>
        <w:ind w:left="2700" w:right="0" w:firstLine="0"/>
        <w:jc w:val="left"/>
        <w:rPr>
          <w:sz w:val="42"/>
        </w:rPr>
      </w:pPr>
      <w:r>
        <w:rPr>
          <w:sz w:val="42"/>
        </w:rPr>
        <w:t>-------------------------------------------------------------7</w:t>
      </w:r>
    </w:p>
    <w:p>
      <w:pPr>
        <w:tabs>
          <w:tab w:val="right" w:leader="hyphen" w:pos="14946"/>
        </w:tabs>
        <w:spacing w:before="162"/>
        <w:ind w:left="2913" w:right="0" w:firstLine="0"/>
        <w:jc w:val="left"/>
        <w:rPr>
          <w:sz w:val="42"/>
        </w:rPr>
      </w:pPr>
      <w:r>
        <w:rPr>
          <w:sz w:val="42"/>
        </w:rPr>
        <w:t>钢边橡胶止水带安装</w:t>
        <w:tab/>
        <w:t>9</w:t>
      </w:r>
    </w:p>
    <w:p>
      <w:pPr>
        <w:spacing w:before="161"/>
        <w:ind w:left="2913" w:right="0" w:firstLine="0"/>
        <w:jc w:val="left"/>
        <w:rPr>
          <w:sz w:val="42"/>
        </w:rPr>
      </w:pPr>
      <w:r>
        <w:rPr>
          <w:sz w:val="42"/>
        </w:rPr>
        <w:t>止水钢板安装</w:t>
      </w:r>
    </w:p>
    <w:p>
      <w:pPr>
        <w:spacing w:before="162"/>
        <w:ind w:left="2700" w:right="0" w:firstLine="0"/>
        <w:jc w:val="left"/>
        <w:rPr>
          <w:sz w:val="42"/>
        </w:rPr>
      </w:pPr>
      <w:r>
        <w:rPr>
          <w:sz w:val="42"/>
        </w:rPr>
        <w:t>------------------------------------------------------14</w:t>
      </w:r>
    </w:p>
    <w:p>
      <w:pPr>
        <w:spacing w:before="162"/>
        <w:ind w:left="2913" w:right="0" w:firstLine="0"/>
        <w:jc w:val="left"/>
        <w:rPr>
          <w:sz w:val="42"/>
        </w:rPr>
      </w:pPr>
      <w:r>
        <w:rPr>
          <w:sz w:val="42"/>
        </w:rPr>
        <w:t>细部构造防水</w:t>
      </w:r>
    </w:p>
    <w:p>
      <w:pPr>
        <w:spacing w:before="163"/>
        <w:ind w:left="2700" w:right="0" w:firstLine="0"/>
        <w:jc w:val="left"/>
        <w:rPr>
          <w:sz w:val="42"/>
        </w:rPr>
      </w:pPr>
      <w:r>
        <w:rPr>
          <w:sz w:val="42"/>
        </w:rPr>
        <w:t>------------------------------------------------------16</w:t>
      </w:r>
    </w:p>
    <w:p>
      <w:pPr>
        <w:spacing w:before="162"/>
        <w:ind w:left="2913" w:right="0" w:firstLine="0"/>
        <w:jc w:val="left"/>
        <w:rPr>
          <w:sz w:val="42"/>
        </w:rPr>
      </w:pPr>
      <w:r>
        <w:rPr>
          <w:sz w:val="42"/>
        </w:rPr>
        <w:t>脚手架搭设</w:t>
      </w:r>
    </w:p>
    <w:p>
      <w:pPr>
        <w:spacing w:before="162"/>
        <w:ind w:left="2700" w:right="0" w:firstLine="0"/>
        <w:jc w:val="left"/>
        <w:rPr>
          <w:sz w:val="42"/>
        </w:rPr>
      </w:pPr>
      <w:r>
        <w:rPr>
          <w:sz w:val="42"/>
        </w:rPr>
        <w:t>---------------------------------------------------------18</w:t>
      </w:r>
    </w:p>
    <w:p>
      <w:pPr>
        <w:spacing w:before="161"/>
        <w:ind w:left="2913" w:right="0" w:firstLine="0"/>
        <w:jc w:val="left"/>
        <w:rPr>
          <w:sz w:val="42"/>
        </w:rPr>
      </w:pPr>
      <w:r>
        <w:rPr>
          <w:sz w:val="42"/>
        </w:rPr>
        <w:t>模板支护</w:t>
      </w:r>
    </w:p>
    <w:p>
      <w:pPr>
        <w:spacing w:after="0"/>
        <w:jc w:val="left"/>
        <w:rPr>
          <w:sz w:val="42"/>
        </w:rPr>
        <w:sectPr>
          <w:headerReference w:type="default" r:id="rId7"/>
          <w:footerReference w:type="default" r:id="rId8"/>
          <w:pgSz w:w="17860" w:h="25260"/>
          <w:pgMar w:top="1780" w:right="0" w:bottom="2020" w:left="0" w:header="1116" w:footer="1831"/>
          <w:pgNumType w:start="2"/>
          <w:cols w:space="708"/>
        </w:sectPr>
      </w:pPr>
    </w:p>
    <w:p>
      <w:pPr>
        <w:spacing w:before="7"/>
        <w:ind w:left="2700" w:right="0" w:firstLine="0"/>
        <w:jc w:val="left"/>
        <w:rPr>
          <w:sz w:val="42"/>
        </w:rPr>
      </w:pPr>
      <w:r>
        <w:rPr>
          <w:sz w:val="42"/>
        </w:rPr>
        <w:t>-------------------------------------------------------------20</w:t>
      </w:r>
    </w:p>
    <w:p>
      <w:pPr>
        <w:spacing w:before="162"/>
        <w:ind w:left="2913" w:right="0" w:firstLine="0"/>
        <w:jc w:val="left"/>
        <w:rPr>
          <w:sz w:val="42"/>
        </w:rPr>
      </w:pPr>
      <w:r>
        <w:rPr>
          <w:sz w:val="42"/>
        </w:rPr>
        <w:t>砼浇筑</w:t>
      </w:r>
    </w:p>
    <w:p>
      <w:pPr>
        <w:spacing w:before="162"/>
        <w:ind w:left="2700" w:right="0" w:firstLine="0"/>
        <w:jc w:val="left"/>
        <w:rPr>
          <w:sz w:val="42"/>
        </w:rPr>
      </w:pPr>
      <w:r>
        <w:rPr>
          <w:sz w:val="42"/>
        </w:rPr>
        <w:t>----------------------------------------------------------------23</w:t>
      </w:r>
    </w:p>
    <w:p>
      <w:pPr>
        <w:spacing w:before="161"/>
        <w:ind w:left="2913" w:right="0" w:firstLine="0"/>
        <w:jc w:val="left"/>
        <w:rPr>
          <w:sz w:val="42"/>
        </w:rPr>
      </w:pPr>
      <w:r>
        <w:rPr>
          <w:sz w:val="42"/>
        </w:rPr>
        <w:t>土方回填</w:t>
      </w:r>
    </w:p>
    <w:p>
      <w:pPr>
        <w:spacing w:before="162"/>
        <w:ind w:left="2700" w:right="0" w:firstLine="0"/>
        <w:jc w:val="left"/>
        <w:rPr>
          <w:sz w:val="42"/>
        </w:rPr>
      </w:pPr>
      <w:r>
        <w:rPr>
          <w:sz w:val="42"/>
        </w:rPr>
        <w:t>-------------------------------------------------------------25</w:t>
      </w:r>
    </w:p>
    <w:p>
      <w:pPr>
        <w:pStyle w:val="BodyText"/>
        <w:spacing w:before="5"/>
        <w:rPr>
          <w:sz w:val="69"/>
        </w:rPr>
      </w:pPr>
    </w:p>
    <w:p>
      <w:pPr>
        <w:spacing w:before="0"/>
        <w:ind w:left="2700" w:right="0" w:firstLine="0"/>
        <w:jc w:val="left"/>
        <w:rPr>
          <w:b/>
          <w:sz w:val="33"/>
        </w:rPr>
      </w:pPr>
      <w:r>
        <w:drawing>
          <wp:anchor distT="0" distB="0" distL="0" distR="0" simplePos="0" relativeHeight="251661312" behindDoc="1" locked="0" layoutInCell="1" allowOverlap="1">
            <wp:simplePos x="0" y="0"/>
            <wp:positionH relativeFrom="page">
              <wp:posOffset>9042400</wp:posOffset>
            </wp:positionH>
            <wp:positionV relativeFrom="paragraph">
              <wp:posOffset>157061</wp:posOffset>
            </wp:positionV>
            <wp:extent cx="495300" cy="27178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9" cstate="print"/>
                    <a:stretch>
                      <a:fillRect/>
                    </a:stretch>
                  </pic:blipFill>
                  <pic:spPr>
                    <a:xfrm>
                      <a:off x="0" y="0"/>
                      <a:ext cx="495300" cy="2717800"/>
                    </a:xfrm>
                    <a:prstGeom prst="rect">
                      <a:avLst/>
                    </a:prstGeom>
                  </pic:spPr>
                </pic:pic>
              </a:graphicData>
            </a:graphic>
          </wp:anchor>
        </w:drawing>
      </w:r>
      <w:r>
        <w:rPr>
          <w:sz w:val="33"/>
        </w:rPr>
        <w:t>土方开挖</w:t>
      </w:r>
      <w:r>
        <w:rPr>
          <w:b/>
          <w:sz w:val="33"/>
        </w:rPr>
        <w:t>→</w:t>
      </w:r>
      <w:r>
        <w:rPr>
          <w:sz w:val="33"/>
        </w:rPr>
        <w:t>底板垫层浇筑</w:t>
      </w:r>
      <w:r>
        <w:rPr>
          <w:b/>
          <w:sz w:val="33"/>
        </w:rPr>
        <w:t>→</w:t>
      </w:r>
      <w:r>
        <w:rPr>
          <w:sz w:val="33"/>
        </w:rPr>
        <w:t>底板防水施工-</w:t>
      </w:r>
      <w:r>
        <w:rPr>
          <w:b/>
          <w:sz w:val="33"/>
        </w:rPr>
        <w:t>→</w:t>
      </w:r>
      <w:r>
        <w:rPr>
          <w:sz w:val="33"/>
        </w:rPr>
        <w:t>防水保护层浇筑</w:t>
      </w:r>
      <w:r>
        <w:rPr>
          <w:b/>
          <w:sz w:val="33"/>
        </w:rPr>
        <w:t>→</w:t>
      </w:r>
    </w:p>
    <w:p>
      <w:pPr>
        <w:spacing w:before="362"/>
        <w:ind w:left="3647" w:right="0" w:firstLine="0"/>
        <w:jc w:val="left"/>
        <w:rPr>
          <w:sz w:val="31"/>
        </w:rPr>
      </w:pPr>
      <w:r>
        <w:drawing>
          <wp:anchor distT="0" distB="0" distL="0" distR="0" simplePos="0" relativeHeight="251658240" behindDoc="1" locked="0" layoutInCell="1" allowOverlap="1">
            <wp:simplePos x="0" y="0"/>
            <wp:positionH relativeFrom="page">
              <wp:posOffset>2019300</wp:posOffset>
            </wp:positionH>
            <wp:positionV relativeFrom="paragraph">
              <wp:posOffset>253203</wp:posOffset>
            </wp:positionV>
            <wp:extent cx="279400" cy="10414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10" cstate="print"/>
                    <a:stretch>
                      <a:fillRect/>
                    </a:stretch>
                  </pic:blipFill>
                  <pic:spPr>
                    <a:xfrm>
                      <a:off x="0" y="0"/>
                      <a:ext cx="279400" cy="104140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4064000</wp:posOffset>
            </wp:positionH>
            <wp:positionV relativeFrom="paragraph">
              <wp:posOffset>240503</wp:posOffset>
            </wp:positionV>
            <wp:extent cx="292100" cy="10541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11" cstate="print"/>
                    <a:stretch>
                      <a:fillRect/>
                    </a:stretch>
                  </pic:blipFill>
                  <pic:spPr>
                    <a:xfrm>
                      <a:off x="0" y="0"/>
                      <a:ext cx="292100" cy="1054100"/>
                    </a:xfrm>
                    <a:prstGeom prst="rect">
                      <a:avLst/>
                    </a:prstGeom>
                  </pic:spPr>
                </pic:pic>
              </a:graphicData>
            </a:graphic>
          </wp:anchor>
        </w:drawing>
      </w:r>
      <w:r>
        <w:rPr>
          <w:sz w:val="31"/>
        </w:rPr>
        <w:t>钢筋绑扎</w:t>
      </w:r>
    </w:p>
    <w:p>
      <w:pPr>
        <w:tabs>
          <w:tab w:val="left" w:pos="3647"/>
          <w:tab w:val="left" w:pos="7111"/>
        </w:tabs>
        <w:spacing w:before="365" w:line="393" w:lineRule="auto"/>
        <w:ind w:left="3647" w:right="8845" w:hanging="789"/>
        <w:jc w:val="left"/>
        <w:rPr>
          <w:sz w:val="31"/>
        </w:rPr>
      </w:pPr>
      <w:r>
        <w:rPr>
          <w:b/>
          <w:w w:val="190"/>
          <w:sz w:val="31"/>
        </w:rPr>
        <w:t>*</w:t>
        <w:tab/>
      </w:r>
      <w:r>
        <w:rPr>
          <w:w w:val="115"/>
          <w:sz w:val="31"/>
        </w:rPr>
        <w:t>模板支护</w:t>
        <w:tab/>
      </w:r>
      <w:r>
        <w:rPr>
          <w:b/>
          <w:spacing w:val="-1"/>
          <w:w w:val="145"/>
          <w:sz w:val="31"/>
        </w:rPr>
        <w:t>→</w:t>
      </w:r>
      <w:r>
        <w:rPr>
          <w:w w:val="115"/>
          <w:sz w:val="31"/>
        </w:rPr>
        <w:t>底板砼</w:t>
      </w:r>
      <w:r>
        <w:rPr>
          <w:spacing w:val="-33"/>
          <w:w w:val="115"/>
          <w:sz w:val="31"/>
        </w:rPr>
        <w:t>浇</w:t>
      </w:r>
      <w:r>
        <w:rPr>
          <w:spacing w:val="-297"/>
          <w:w w:val="115"/>
          <w:sz w:val="31"/>
        </w:rPr>
        <w:t>筑</w:t>
      </w:r>
      <w:r>
        <w:rPr>
          <w:w w:val="115"/>
          <w:sz w:val="31"/>
        </w:rPr>
        <w:t>钢边橡胶止水带安装</w:t>
      </w:r>
    </w:p>
    <w:p>
      <w:pPr>
        <w:tabs>
          <w:tab w:val="left" w:pos="15004"/>
        </w:tabs>
        <w:spacing w:before="0" w:line="569" w:lineRule="exact"/>
        <w:ind w:left="3647" w:right="0" w:firstLine="0"/>
        <w:jc w:val="left"/>
        <w:rPr>
          <w:sz w:val="31"/>
        </w:rPr>
      </w:pPr>
      <w:r>
        <w:rPr>
          <w:sz w:val="31"/>
        </w:rPr>
        <w:t>止水钢板安装</w:t>
        <w:tab/>
        <w:t>土方回填</w:t>
      </w:r>
    </w:p>
    <w:p>
      <w:pPr>
        <w:pStyle w:val="BodyText"/>
        <w:rPr>
          <w:sz w:val="42"/>
        </w:rPr>
      </w:pPr>
    </w:p>
    <w:p>
      <w:pPr>
        <w:pStyle w:val="BodyText"/>
        <w:spacing w:before="11"/>
        <w:rPr>
          <w:sz w:val="28"/>
        </w:rPr>
      </w:pPr>
    </w:p>
    <w:p>
      <w:pPr>
        <w:spacing w:before="0"/>
        <w:ind w:left="2405" w:right="0" w:firstLine="0"/>
        <w:jc w:val="left"/>
        <w:rPr>
          <w:sz w:val="31"/>
        </w:rPr>
      </w:pPr>
      <w:r>
        <w:drawing>
          <wp:anchor distT="0" distB="0" distL="0" distR="0" simplePos="0" relativeHeight="251660288" behindDoc="1" locked="0" layoutInCell="1" allowOverlap="1">
            <wp:simplePos x="0" y="0"/>
            <wp:positionH relativeFrom="page">
              <wp:posOffset>3276600</wp:posOffset>
            </wp:positionH>
            <wp:positionV relativeFrom="paragraph">
              <wp:posOffset>-27847</wp:posOffset>
            </wp:positionV>
            <wp:extent cx="304800" cy="10414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12" cstate="print"/>
                    <a:stretch>
                      <a:fillRect/>
                    </a:stretch>
                  </pic:blipFill>
                  <pic:spPr>
                    <a:xfrm>
                      <a:off x="0" y="0"/>
                      <a:ext cx="304800" cy="1041400"/>
                    </a:xfrm>
                    <a:prstGeom prst="rect">
                      <a:avLst/>
                    </a:prstGeom>
                  </pic:spPr>
                </pic:pic>
              </a:graphicData>
            </a:graphic>
          </wp:anchor>
        </w:drawing>
      </w:r>
      <w:r>
        <w:rPr>
          <w:sz w:val="31"/>
        </w:rPr>
        <w:t>搭设脚手架</w:t>
      </w:r>
    </w:p>
    <w:p>
      <w:pPr>
        <w:tabs>
          <w:tab w:val="left" w:pos="5714"/>
        </w:tabs>
        <w:spacing w:before="364" w:line="393" w:lineRule="auto"/>
        <w:ind w:left="2423" w:right="2991" w:hanging="18"/>
        <w:jc w:val="left"/>
        <w:rPr>
          <w:sz w:val="31"/>
        </w:rPr>
      </w:pPr>
      <w:r>
        <w:rPr>
          <w:w w:val="115"/>
          <w:sz w:val="31"/>
        </w:rPr>
        <w:t>模板支护</w:t>
        <w:tab/>
      </w:r>
      <w:r>
        <w:rPr>
          <w:b/>
          <w:spacing w:val="-4"/>
          <w:w w:val="135"/>
          <w:sz w:val="31"/>
        </w:rPr>
        <w:t>→</w:t>
      </w:r>
      <w:r>
        <w:rPr>
          <w:w w:val="115"/>
          <w:sz w:val="31"/>
        </w:rPr>
        <w:t>侧壁顶板砼浇</w:t>
      </w:r>
      <w:r>
        <w:rPr>
          <w:spacing w:val="-11"/>
          <w:w w:val="115"/>
          <w:sz w:val="31"/>
        </w:rPr>
        <w:t>筑</w:t>
      </w:r>
      <w:r>
        <w:rPr>
          <w:b/>
          <w:w w:val="135"/>
          <w:sz w:val="31"/>
        </w:rPr>
        <w:t>→</w:t>
      </w:r>
      <w:r>
        <w:rPr>
          <w:w w:val="115"/>
          <w:sz w:val="31"/>
        </w:rPr>
        <w:t>侧壁顶板防</w:t>
      </w:r>
      <w:r>
        <w:rPr>
          <w:spacing w:val="-11"/>
          <w:w w:val="115"/>
          <w:sz w:val="31"/>
        </w:rPr>
        <w:t>水</w:t>
      </w:r>
      <w:r>
        <w:rPr>
          <w:b/>
          <w:w w:val="135"/>
          <w:sz w:val="31"/>
        </w:rPr>
        <w:t>→</w:t>
      </w:r>
      <w:r>
        <w:rPr>
          <w:w w:val="115"/>
          <w:sz w:val="31"/>
        </w:rPr>
        <w:t>顶板保护</w:t>
      </w:r>
      <w:r>
        <w:rPr>
          <w:spacing w:val="-11"/>
          <w:w w:val="115"/>
          <w:sz w:val="31"/>
        </w:rPr>
        <w:t>层</w:t>
      </w:r>
      <w:r>
        <w:rPr>
          <w:b/>
          <w:w w:val="135"/>
          <w:sz w:val="31"/>
        </w:rPr>
        <w:t>→</w:t>
      </w:r>
      <w:r>
        <w:rPr>
          <w:w w:val="115"/>
          <w:sz w:val="31"/>
        </w:rPr>
        <w:t>侧壁</w:t>
      </w:r>
      <w:r>
        <w:rPr>
          <w:spacing w:val="-82"/>
          <w:w w:val="115"/>
          <w:sz w:val="31"/>
        </w:rPr>
        <w:t>挤</w:t>
      </w:r>
      <w:r>
        <w:rPr>
          <w:spacing w:val="-297"/>
          <w:w w:val="115"/>
          <w:sz w:val="31"/>
        </w:rPr>
        <w:t>塑</w:t>
      </w:r>
      <w:r>
        <w:rPr>
          <w:w w:val="115"/>
          <w:sz w:val="31"/>
        </w:rPr>
        <w:t>板粘贴钢筋绑扎</w:t>
      </w:r>
    </w:p>
    <w:p>
      <w:pPr>
        <w:spacing w:before="0" w:line="569" w:lineRule="exact"/>
        <w:ind w:left="2405" w:right="0" w:firstLine="0"/>
        <w:jc w:val="left"/>
        <w:rPr>
          <w:sz w:val="31"/>
        </w:rPr>
      </w:pPr>
      <w:r>
        <w:rPr>
          <w:sz w:val="31"/>
        </w:rPr>
        <w:t>钢边橡胶止水带安装</w:t>
      </w:r>
    </w:p>
    <w:p>
      <w:pPr>
        <w:spacing w:after="0" w:line="569" w:lineRule="exact"/>
        <w:jc w:val="left"/>
        <w:rPr>
          <w:sz w:val="31"/>
        </w:rPr>
        <w:sectPr>
          <w:headerReference w:type="default" r:id="rId13"/>
          <w:footerReference w:type="default" r:id="rId14"/>
          <w:pgSz w:w="17860" w:h="25260"/>
          <w:pgMar w:top="1780" w:right="0" w:bottom="2020" w:left="0" w:header="1116" w:footer="1831"/>
          <w:pgNumType w:start="3"/>
          <w:cols w:space="708"/>
        </w:sectPr>
      </w:pPr>
    </w:p>
    <w:p>
      <w:pPr>
        <w:pStyle w:val="BodyText"/>
        <w:rPr>
          <w:sz w:val="20"/>
        </w:rPr>
      </w:pPr>
    </w:p>
    <w:p>
      <w:pPr>
        <w:pStyle w:val="BodyText"/>
        <w:rPr>
          <w:sz w:val="20"/>
        </w:rPr>
      </w:pPr>
    </w:p>
    <w:p>
      <w:pPr>
        <w:pStyle w:val="BodyText"/>
        <w:spacing w:before="15"/>
        <w:rPr>
          <w:sz w:val="29"/>
        </w:rPr>
      </w:pPr>
    </w:p>
    <w:p>
      <w:pPr>
        <w:pStyle w:val="Heading1"/>
        <w:spacing w:line="1144" w:lineRule="exact"/>
        <w:ind w:right="4957"/>
      </w:pPr>
      <w:r>
        <w:t>地下综合管廊监理控制要点</w:t>
      </w:r>
    </w:p>
    <w:p>
      <w:pPr>
        <w:pStyle w:val="BodyText"/>
        <w:spacing w:before="11"/>
        <w:rPr>
          <w:b/>
          <w:sz w:val="53"/>
        </w:rPr>
      </w:pPr>
    </w:p>
    <w:p>
      <w:pPr>
        <w:pStyle w:val="Heading2"/>
      </w:pPr>
      <w:r>
        <w:drawing>
          <wp:anchor distT="0" distB="0" distL="0" distR="0" simplePos="0" relativeHeight="251662336" behindDoc="1" locked="0" layoutInCell="1" allowOverlap="1">
            <wp:simplePos x="0" y="0"/>
            <wp:positionH relativeFrom="page">
              <wp:posOffset>2108200</wp:posOffset>
            </wp:positionH>
            <wp:positionV relativeFrom="paragraph">
              <wp:posOffset>451311</wp:posOffset>
            </wp:positionV>
            <wp:extent cx="1092200" cy="3810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15" cstate="print"/>
                    <a:stretch>
                      <a:fillRect/>
                    </a:stretch>
                  </pic:blipFill>
                  <pic:spPr>
                    <a:xfrm>
                      <a:off x="0" y="0"/>
                      <a:ext cx="1092200" cy="38100"/>
                    </a:xfrm>
                    <a:prstGeom prst="rect">
                      <a:avLst/>
                    </a:prstGeom>
                  </pic:spPr>
                </pic:pic>
              </a:graphicData>
            </a:graphic>
          </wp:anchor>
        </w:drawing>
      </w:r>
      <w:r>
        <w:t>土方开挖</w:t>
      </w:r>
    </w:p>
    <w:p>
      <w:pPr>
        <w:pStyle w:val="BodyText"/>
        <w:spacing w:before="214" w:line="338" w:lineRule="auto"/>
        <w:ind w:left="2700" w:right="2697" w:firstLine="719"/>
        <w:jc w:val="both"/>
      </w:pPr>
      <w:r>
        <w:t>1</w:t>
      </w:r>
      <w:r>
        <w:rPr>
          <w:spacing w:val="-12"/>
        </w:rPr>
        <w:t xml:space="preserve"> 、土方开挖应从上至下分层分段依次进行，严禁自下而上或采取倒悬的开</w:t>
      </w:r>
      <w:r>
        <w:rPr>
          <w:spacing w:val="-13"/>
        </w:rPr>
        <w:t>挖方法，施工中随时做成一定的坡势，以利排水，开挖过程中应避免边坡稳定范</w:t>
      </w:r>
      <w:r>
        <w:t>围形成积水；</w:t>
      </w:r>
    </w:p>
    <w:p>
      <w:pPr>
        <w:pStyle w:val="BodyText"/>
        <w:spacing w:before="1" w:line="338" w:lineRule="auto"/>
        <w:ind w:left="2700" w:right="2704" w:firstLine="719"/>
      </w:pPr>
      <w:r>
        <w:t>2、土方开挖必须严格按设计断面及高程要求进行，超挖应符合规范要求， 不得欠挖；</w:t>
      </w:r>
    </w:p>
    <w:p>
      <w:pPr>
        <w:pStyle w:val="BodyText"/>
        <w:spacing w:before="1" w:line="338" w:lineRule="auto"/>
        <w:ind w:left="2700" w:right="2704" w:firstLine="719"/>
      </w:pPr>
      <w:r>
        <w:t>3、土方开挖时，应结合开挖出土，规划和修筑基坑内的临时道路，以利于后续工程的施工；</w:t>
      </w:r>
    </w:p>
    <w:p>
      <w:pPr>
        <w:pStyle w:val="BodyText"/>
        <w:spacing w:before="2" w:line="338" w:lineRule="auto"/>
        <w:ind w:left="2700" w:right="2630" w:firstLine="719"/>
        <w:jc w:val="both"/>
      </w:pPr>
      <w:r>
        <w:t>4</w:t>
      </w:r>
      <w:r>
        <w:rPr>
          <w:spacing w:val="-7"/>
        </w:rPr>
        <w:t>、 土方开挖应与土方填筑工程相结合，如不能及时填筑时，应将回填土和</w:t>
      </w:r>
      <w:r>
        <w:rPr>
          <w:spacing w:val="-1"/>
        </w:rPr>
        <w:t xml:space="preserve">弃土分别堆放，并进行适度平整。堆土区均应设置在基坑边线 </w:t>
      </w:r>
      <w:r>
        <w:t>20m</w:t>
      </w:r>
      <w:r>
        <w:rPr>
          <w:spacing w:val="-4"/>
        </w:rPr>
        <w:t xml:space="preserve"> 以外，以确保现场交通和基坑边坡的稳定；</w:t>
      </w:r>
    </w:p>
    <w:p>
      <w:pPr>
        <w:pStyle w:val="BodyText"/>
        <w:spacing w:before="1" w:line="338" w:lineRule="auto"/>
        <w:ind w:left="2700" w:right="2704" w:firstLine="719"/>
      </w:pPr>
      <w:r>
        <w:t>5、如开挖基坑发生严重流沙、涌泥，无法继续施工时，承包人如需改变原施工方案，应上报监理部及建设单位；</w:t>
      </w:r>
    </w:p>
    <w:p>
      <w:pPr>
        <w:pStyle w:val="BodyText"/>
        <w:spacing w:line="338" w:lineRule="auto"/>
        <w:ind w:left="2700" w:right="2704" w:firstLine="719"/>
      </w:pPr>
      <w:r>
        <w:t>6、基础开挖的超挖部分，应由承包人用与基础相同等级的混凝土回填，其费用由承包人承担；</w:t>
      </w:r>
    </w:p>
    <w:p>
      <w:pPr>
        <w:pStyle w:val="BodyText"/>
        <w:spacing w:before="2" w:line="338" w:lineRule="auto"/>
        <w:ind w:left="2700" w:right="2691" w:firstLine="719"/>
        <w:jc w:val="both"/>
      </w:pPr>
      <w:r>
        <w:t>7</w:t>
      </w:r>
      <w:r>
        <w:rPr>
          <w:spacing w:val="-5"/>
        </w:rPr>
        <w:t xml:space="preserve">、建筑物的基底土不得扰动或被水浸泡。基坑开挖时应预留 </w:t>
      </w:r>
      <w:r>
        <w:t>30~50cm</w:t>
      </w:r>
      <w:r>
        <w:rPr>
          <w:spacing w:val="-6"/>
        </w:rPr>
        <w:t xml:space="preserve"> 的</w:t>
      </w:r>
      <w:r>
        <w:rPr>
          <w:spacing w:val="-14"/>
        </w:rPr>
        <w:t>基面保护层，基面保护层采用人工开挖，在基础施工前突击挖除，并经监理部检</w:t>
      </w:r>
      <w:r>
        <w:t>验合格后，方可进行底部工程施工；</w:t>
      </w:r>
    </w:p>
    <w:p>
      <w:pPr>
        <w:spacing w:after="0" w:line="338" w:lineRule="auto"/>
        <w:jc w:val="both"/>
        <w:sectPr>
          <w:headerReference w:type="default" r:id="rId16"/>
          <w:footerReference w:type="default" r:id="rId17"/>
          <w:pgSz w:w="17860" w:h="25260"/>
          <w:pgMar w:top="1780" w:right="0" w:bottom="2020" w:left="0" w:header="1116" w:footer="1831"/>
          <w:pgNumType w:start="4"/>
          <w:cols w:space="708"/>
        </w:sectPr>
      </w:pPr>
    </w:p>
    <w:p>
      <w:pPr>
        <w:pStyle w:val="BodyText"/>
        <w:spacing w:before="9"/>
        <w:rPr>
          <w:sz w:val="6"/>
        </w:rPr>
      </w:pPr>
    </w:p>
    <w:p>
      <w:pPr>
        <w:pStyle w:val="BodyText"/>
        <w:spacing w:before="6"/>
        <w:ind w:left="3420"/>
      </w:pPr>
      <w:r>
        <w:t>8、在基坑内设置集水坑排水时，应设在基础范围以外。</w: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14"/>
        <w:rPr>
          <w:sz w:val="40"/>
        </w:rPr>
      </w:pPr>
    </w:p>
    <w:p>
      <w:pPr>
        <w:pStyle w:val="ListParagraph"/>
        <w:numPr>
          <w:ilvl w:val="0"/>
          <w:numId w:val="7"/>
        </w:numPr>
        <w:tabs>
          <w:tab w:val="left" w:pos="3330"/>
          <w:tab w:val="left" w:pos="3331"/>
        </w:tabs>
        <w:spacing w:before="0" w:after="19" w:line="240" w:lineRule="auto"/>
        <w:ind w:left="3330" w:right="0" w:hanging="631"/>
        <w:jc w:val="left"/>
        <w:rPr>
          <w:rFonts w:ascii="Wingdings" w:eastAsia="Wingdings" w:hAnsi="Wingdings"/>
          <w:b/>
          <w:sz w:val="36"/>
        </w:rPr>
      </w:pPr>
      <w:r>
        <w:rPr>
          <w:b/>
          <w:sz w:val="29"/>
        </w:rPr>
        <w:t>砼垫层浇筑（需旁站）</w:t>
      </w:r>
    </w:p>
    <w:p>
      <w:pPr>
        <w:pStyle w:val="BodyText"/>
        <w:spacing w:line="59" w:lineRule="exact"/>
        <w:ind w:left="3320"/>
        <w:rPr>
          <w:sz w:val="5"/>
        </w:rPr>
      </w:pPr>
      <w:r>
        <w:rPr>
          <w:position w:val="0"/>
          <w:sz w:val="5"/>
        </w:rPr>
        <w:drawing>
          <wp:inline distT="0" distB="0" distL="0" distR="0">
            <wp:extent cx="2685669" cy="38004"/>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xmlns:r="http://schemas.openxmlformats.org/officeDocument/2006/relationships" r:embed="rId18" cstate="print"/>
                    <a:stretch>
                      <a:fillRect/>
                    </a:stretch>
                  </pic:blipFill>
                  <pic:spPr>
                    <a:xfrm>
                      <a:off x="0" y="0"/>
                      <a:ext cx="2685669" cy="38004"/>
                    </a:xfrm>
                    <a:prstGeom prst="rect">
                      <a:avLst/>
                    </a:prstGeom>
                  </pic:spPr>
                </pic:pic>
              </a:graphicData>
            </a:graphic>
          </wp:inline>
        </w:drawing>
      </w:r>
    </w:p>
    <w:p>
      <w:pPr>
        <w:pStyle w:val="Heading3"/>
        <w:numPr>
          <w:ilvl w:val="0"/>
          <w:numId w:val="6"/>
        </w:numPr>
        <w:tabs>
          <w:tab w:val="left" w:pos="3330"/>
          <w:tab w:val="left" w:pos="3331"/>
        </w:tabs>
        <w:spacing w:before="259" w:after="0" w:line="240" w:lineRule="auto"/>
        <w:ind w:left="3330" w:right="0" w:hanging="631"/>
        <w:jc w:val="left"/>
        <w:rPr>
          <w:rFonts w:ascii="Wingdings" w:eastAsia="Wingdings" w:hAnsi="Wingdings"/>
          <w:sz w:val="33"/>
        </w:rPr>
      </w:pPr>
      <w:r>
        <w:drawing>
          <wp:anchor distT="0" distB="0" distL="0" distR="0" simplePos="0" relativeHeight="251663360" behindDoc="1" locked="0" layoutInCell="1" allowOverlap="1">
            <wp:simplePos x="0" y="0"/>
            <wp:positionH relativeFrom="page">
              <wp:posOffset>2108200</wp:posOffset>
            </wp:positionH>
            <wp:positionV relativeFrom="paragraph">
              <wp:posOffset>524088</wp:posOffset>
            </wp:positionV>
            <wp:extent cx="3683000" cy="38100"/>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pic:nvPicPr>
                  <pic:blipFill>
                    <a:blip xmlns:r="http://schemas.openxmlformats.org/officeDocument/2006/relationships" r:embed="rId19" cstate="print"/>
                    <a:stretch>
                      <a:fillRect/>
                    </a:stretch>
                  </pic:blipFill>
                  <pic:spPr>
                    <a:xfrm>
                      <a:off x="0" y="0"/>
                      <a:ext cx="3683000" cy="38100"/>
                    </a:xfrm>
                    <a:prstGeom prst="rect">
                      <a:avLst/>
                    </a:prstGeom>
                  </pic:spPr>
                </pic:pic>
              </a:graphicData>
            </a:graphic>
          </wp:anchor>
        </w:drawing>
      </w:r>
      <w:r>
        <w:t>砼垫层浇筑前要对基坑模板进行验收</w:t>
      </w:r>
    </w:p>
    <w:p>
      <w:pPr>
        <w:pStyle w:val="BodyText"/>
        <w:spacing w:before="216" w:line="338" w:lineRule="auto"/>
        <w:ind w:left="2700" w:right="2719"/>
      </w:pPr>
      <w:r>
        <w:t>（一） 施工单位向监理部门书面</w:t>
      </w:r>
      <w:r>
        <w:rPr>
          <w:b/>
        </w:rPr>
        <w:t>报验</w:t>
      </w:r>
      <w:r>
        <w:t>，监理部门验收合格后，准备好混凝土试模；方可进行浇筑，商品混凝土必须具备合格证及材料试化验报告。</w:t>
      </w:r>
    </w:p>
    <w:p>
      <w:pPr>
        <w:spacing w:before="1"/>
        <w:ind w:left="2700" w:right="0" w:firstLine="0"/>
        <w:jc w:val="left"/>
        <w:rPr>
          <w:b/>
          <w:sz w:val="36"/>
        </w:rPr>
      </w:pPr>
      <w:r>
        <w:rPr>
          <w:sz w:val="36"/>
        </w:rPr>
        <w:t>施工工艺及流程：</w:t>
      </w:r>
      <w:r>
        <w:rPr>
          <w:b/>
          <w:sz w:val="36"/>
        </w:rPr>
        <w:t>校检模板位置及尺寸→混凝土浇注→振捣→找平→养护</w:t>
      </w:r>
    </w:p>
    <w:p>
      <w:pPr>
        <w:pStyle w:val="Heading3"/>
        <w:spacing w:before="272"/>
      </w:pPr>
      <w:r>
        <w:t>（二）技术控制：</w:t>
      </w:r>
    </w:p>
    <w:p>
      <w:pPr>
        <w:pStyle w:val="BodyText"/>
        <w:spacing w:before="273"/>
        <w:ind w:left="3420"/>
      </w:pPr>
      <w:r>
        <w:t>1、基底表面清理：基底表面的浮土、杂物均应清理干净，表面不得留有积水。</w:t>
      </w:r>
    </w:p>
    <w:p>
      <w:pPr>
        <w:pStyle w:val="BodyText"/>
        <w:spacing w:before="272"/>
        <w:ind w:left="3420"/>
      </w:pPr>
      <w:r>
        <w:t>2、按规定制作试块。</w:t>
      </w:r>
    </w:p>
    <w:p>
      <w:pPr>
        <w:pStyle w:val="BodyText"/>
        <w:spacing w:before="273" w:line="338" w:lineRule="auto"/>
        <w:ind w:left="2700" w:right="1952" w:firstLine="719"/>
      </w:pPr>
      <w:r>
        <w:t>3、浇注混凝土要求从一端开始，并应连续浇注，混凝土浇注后，应及时用平板振动器振捣。</w:t>
      </w:r>
    </w:p>
    <w:p>
      <w:pPr>
        <w:pStyle w:val="BodyText"/>
        <w:spacing w:before="1" w:line="338" w:lineRule="auto"/>
        <w:ind w:left="2700" w:right="2258" w:firstLine="809"/>
      </w:pPr>
      <w:r>
        <w:t>4、混凝土振捣密实后，按标杆检查一下上平，然后用振动扫平器扫平。垫层混凝土浇筑厚度为10cm，必须严格控制摊铺厚度。</w:t>
      </w:r>
    </w:p>
    <w:p>
      <w:pPr>
        <w:pStyle w:val="Heading3"/>
        <w:spacing w:before="1"/>
      </w:pPr>
      <w:r>
        <w:t>(三）成品保护</w:t>
      </w:r>
    </w:p>
    <w:p>
      <w:pPr>
        <w:pStyle w:val="BodyText"/>
        <w:spacing w:before="272"/>
        <w:ind w:left="3420"/>
      </w:pPr>
      <w:r>
        <w:t>1、小心注意不要对未终凝的混凝土进行碰撞，以免造成局部缺陷，影响外</w:t>
      </w:r>
    </w:p>
    <w:p>
      <w:pPr>
        <w:spacing w:after="0"/>
        <w:sectPr>
          <w:headerReference w:type="default" r:id="rId20"/>
          <w:footerReference w:type="default" r:id="rId21"/>
          <w:pgSz w:w="17860" w:h="25260"/>
          <w:pgMar w:top="1780" w:right="0" w:bottom="2020" w:left="0" w:header="1116" w:footer="1831"/>
          <w:pgNumType w:start="5"/>
          <w:cols w:space="708"/>
        </w:sectPr>
      </w:pPr>
    </w:p>
    <w:p>
      <w:pPr>
        <w:pStyle w:val="BodyText"/>
        <w:spacing w:before="9"/>
        <w:rPr>
          <w:sz w:val="6"/>
        </w:rPr>
      </w:pPr>
    </w:p>
    <w:p>
      <w:pPr>
        <w:pStyle w:val="BodyText"/>
        <w:spacing w:before="6"/>
        <w:ind w:left="2700"/>
      </w:pPr>
      <w:r>
        <w:t>观或者使用。</w:t>
      </w:r>
    </w:p>
    <w:p>
      <w:pPr>
        <w:pStyle w:val="BodyText"/>
        <w:spacing w:before="273"/>
        <w:ind w:left="3420"/>
      </w:pPr>
      <w:r>
        <w:t>2、对浇注好的垫层要及时养护。</w: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16"/>
        <w:rPr>
          <w:sz w:val="64"/>
        </w:rPr>
      </w:pPr>
    </w:p>
    <w:p>
      <w:pPr>
        <w:pStyle w:val="Heading2"/>
      </w:pPr>
      <w:r>
        <w:pict>
          <v:line id="_x0000_s1025" style="mso-position-horizontal-relative:page;position:absolute;z-index:251664384" from="166pt,36.85pt" to="399pt,36.85pt" stroked="t" strokecolor="black" strokeweight="2pt">
            <v:stroke dashstyle="longDash"/>
          </v:line>
        </w:pict>
      </w:r>
      <w:r>
        <w:t>防水卷材施工（需旁站）</w:t>
      </w:r>
    </w:p>
    <w:p>
      <w:pPr>
        <w:spacing w:after="0"/>
        <w:sectPr>
          <w:headerReference w:type="default" r:id="rId22"/>
          <w:footerReference w:type="default" r:id="rId23"/>
          <w:pgSz w:w="17860" w:h="25260"/>
          <w:pgMar w:top="1780" w:right="0" w:bottom="2020" w:left="0" w:header="1116" w:footer="1831"/>
          <w:pgNumType w:start="6"/>
          <w:cols w:space="708"/>
        </w:sectPr>
      </w:pPr>
    </w:p>
    <w:p>
      <w:pPr>
        <w:pStyle w:val="BodyText"/>
        <w:spacing w:before="9"/>
        <w:rPr>
          <w:b/>
          <w:sz w:val="6"/>
        </w:rPr>
      </w:pPr>
    </w:p>
    <w:p>
      <w:pPr>
        <w:pStyle w:val="Heading3"/>
        <w:spacing w:before="6"/>
      </w:pPr>
      <w:r>
        <w:t>（一）前期准备</w:t>
      </w:r>
    </w:p>
    <w:p>
      <w:pPr>
        <w:pStyle w:val="BodyText"/>
        <w:spacing w:before="273" w:line="338" w:lineRule="auto"/>
        <w:ind w:left="2700" w:right="2556" w:firstLine="899"/>
        <w:jc w:val="both"/>
      </w:pPr>
      <w:r>
        <w:t>1</w:t>
      </w:r>
      <w:r>
        <w:rPr>
          <w:spacing w:val="-12"/>
        </w:rPr>
        <w:t>、进入施工现场，首先进行基层和节点部位检查，若发现基层有鼓泡、分</w:t>
      </w:r>
      <w:r>
        <w:rPr>
          <w:spacing w:val="-13"/>
        </w:rPr>
        <w:t>层、起皮、蜂窝、麻面的必须凿除重新进行修补；然后将基层表面的凸起物、砂</w:t>
      </w:r>
      <w:r>
        <w:t>浆疙瘩等异物铲除掉；节点部位可用吹风机辅助清理。</w:t>
      </w:r>
    </w:p>
    <w:p>
      <w:pPr>
        <w:pStyle w:val="BodyText"/>
        <w:spacing w:before="1" w:line="338" w:lineRule="auto"/>
        <w:ind w:left="2700" w:right="2692" w:firstLine="899"/>
        <w:jc w:val="both"/>
      </w:pPr>
      <w:r>
        <w:t>2、阴阳角采用水泥砂浆抹成圆弧形，阴角最小半径 50mm，阳角最小半径 20mm。</w:t>
      </w:r>
    </w:p>
    <w:p>
      <w:pPr>
        <w:pStyle w:val="BodyText"/>
        <w:spacing w:before="1"/>
        <w:ind w:left="3600"/>
      </w:pPr>
      <w:r>
        <w:t>3、立面上卷最小高度要保证≥250mm。</w:t>
      </w:r>
    </w:p>
    <w:p>
      <w:pPr>
        <w:pStyle w:val="BodyText"/>
        <w:spacing w:before="273"/>
        <w:ind w:left="3600"/>
      </w:pPr>
      <w:r>
        <w:t>4、作业人员应持证上岗。</w:t>
      </w:r>
    </w:p>
    <w:p>
      <w:pPr>
        <w:pStyle w:val="BodyText"/>
        <w:spacing w:before="272" w:line="338" w:lineRule="auto"/>
        <w:ind w:left="2700" w:right="2524" w:firstLine="899"/>
      </w:pPr>
      <w:r>
        <w:t>5、防水层所用卷材、基层处理剂、二甲苯等均属易燃品，应单独存放，远离火源，操作时应通风，并有足够的照明。</w:t>
      </w:r>
    </w:p>
    <w:p>
      <w:pPr>
        <w:pStyle w:val="BodyText"/>
        <w:spacing w:before="1"/>
        <w:ind w:left="3600"/>
      </w:pPr>
      <w:r>
        <w:t>6、防水卷材、胶等材料均已验收，质量符合要求。所用水泥为普通硅酸盐</w:t>
      </w:r>
    </w:p>
    <w:p>
      <w:pPr>
        <w:pStyle w:val="BodyText"/>
        <w:spacing w:before="272" w:line="338" w:lineRule="auto"/>
        <w:ind w:left="2700" w:right="2684"/>
      </w:pPr>
      <w:r>
        <w:t>32.5#水泥，且必须有水泥出厂合格证、安定性实验报告后方可使用；砂必须保证筛分析符合要求；</w:t>
      </w:r>
    </w:p>
    <w:p>
      <w:pPr>
        <w:pStyle w:val="BodyText"/>
        <w:spacing w:before="1" w:line="338" w:lineRule="auto"/>
        <w:ind w:left="2700" w:right="2524" w:firstLine="899"/>
      </w:pPr>
      <w:r>
        <w:t>7、清扫基层：基层表面应坚实、平整、干净、并充分湿润无积水。若基面较干燥，须洒水充分润湿，有明水和积水的要及时扫除。</w:t>
      </w:r>
    </w:p>
    <w:p>
      <w:pPr>
        <w:pStyle w:val="Heading3"/>
        <w:spacing w:before="1"/>
      </w:pPr>
      <w:r>
        <w:t>（二）技术控制</w:t>
      </w:r>
    </w:p>
    <w:p>
      <w:pPr>
        <w:pStyle w:val="BodyText"/>
        <w:spacing w:before="273"/>
        <w:ind w:left="3600"/>
      </w:pPr>
      <w:r>
        <w:t>1、卷材防水施工工艺：</w:t>
      </w:r>
    </w:p>
    <w:p>
      <w:pPr>
        <w:pStyle w:val="Heading3"/>
        <w:spacing w:before="272" w:line="338" w:lineRule="auto"/>
        <w:ind w:right="2738" w:firstLine="899"/>
      </w:pPr>
      <w:r>
        <w:t>清理基层→涂刷基层处理剂→涂刷非固化橡胶沥青防水涂料→阴阳角卷材附加层铺贴→大面积铺贴高分子强力交叉膜自粘卷材→防水隐蔽验收→保护层施工</w:t>
      </w:r>
    </w:p>
    <w:p>
      <w:pPr>
        <w:pStyle w:val="BodyText"/>
        <w:spacing w:before="2" w:line="338" w:lineRule="auto"/>
        <w:ind w:left="2700" w:right="2696" w:firstLine="899"/>
      </w:pPr>
      <w:r>
        <w:t>2</w:t>
      </w:r>
      <w:r>
        <w:rPr>
          <w:spacing w:val="-16"/>
        </w:rPr>
        <w:t xml:space="preserve">、涂刷橡化沥青非固化防水涂料，采用人工涂刷不小于 </w:t>
      </w:r>
      <w:r>
        <w:t>2mm</w:t>
      </w:r>
      <w:r>
        <w:rPr>
          <w:spacing w:val="-6"/>
        </w:rPr>
        <w:t xml:space="preserve"> 厚的橡化沥</w:t>
      </w:r>
      <w:r>
        <w:rPr>
          <w:spacing w:val="-1"/>
        </w:rPr>
        <w:t xml:space="preserve">青非固化防水涂料，对施工缝部位增厚到 </w:t>
      </w:r>
      <w:r>
        <w:t>4mm。</w:t>
      </w:r>
    </w:p>
    <w:p>
      <w:pPr>
        <w:spacing w:after="0" w:line="338" w:lineRule="auto"/>
        <w:sectPr>
          <w:headerReference w:type="default" r:id="rId24"/>
          <w:footerReference w:type="default" r:id="rId25"/>
          <w:pgSz w:w="17860" w:h="25260"/>
          <w:pgMar w:top="1780" w:right="0" w:bottom="2020" w:left="0" w:header="1116" w:footer="1831"/>
          <w:pgNumType w:start="7"/>
          <w:cols w:space="708"/>
        </w:sectPr>
      </w:pPr>
    </w:p>
    <w:p>
      <w:pPr>
        <w:pStyle w:val="BodyText"/>
        <w:spacing w:before="9"/>
        <w:rPr>
          <w:sz w:val="6"/>
        </w:rPr>
      </w:pPr>
    </w:p>
    <w:p>
      <w:pPr>
        <w:pStyle w:val="BodyText"/>
        <w:spacing w:before="6"/>
        <w:ind w:left="3600"/>
      </w:pPr>
      <w:r>
        <w:t>3、非固化橡胶沥青防水涂料大面积涂刷施工：</w:t>
      </w:r>
    </w:p>
    <w:p>
      <w:pPr>
        <w:pStyle w:val="ListParagraph"/>
        <w:numPr>
          <w:ilvl w:val="0"/>
          <w:numId w:val="5"/>
        </w:numPr>
        <w:tabs>
          <w:tab w:val="left" w:pos="4354"/>
        </w:tabs>
        <w:spacing w:before="273" w:after="0" w:line="338" w:lineRule="auto"/>
        <w:ind w:left="2700" w:right="2697" w:firstLine="719"/>
        <w:jc w:val="both"/>
        <w:rPr>
          <w:sz w:val="36"/>
        </w:rPr>
      </w:pPr>
      <w:r>
        <w:rPr>
          <w:spacing w:val="-9"/>
          <w:sz w:val="36"/>
        </w:rPr>
        <w:t>待基面清理完后</w:t>
      </w:r>
      <w:r>
        <w:rPr>
          <w:sz w:val="36"/>
        </w:rPr>
        <w:t>（若涂刷底漆则需待底漆完全固化</w:t>
      </w:r>
      <w:r>
        <w:rPr>
          <w:spacing w:val="-119"/>
          <w:sz w:val="36"/>
        </w:rPr>
        <w:t>）</w:t>
      </w:r>
      <w:r>
        <w:rPr>
          <w:spacing w:val="-18"/>
          <w:sz w:val="36"/>
        </w:rPr>
        <w:t>，采用人工涂刷</w:t>
      </w:r>
      <w:r>
        <w:rPr>
          <w:spacing w:val="-5"/>
          <w:sz w:val="36"/>
        </w:rPr>
        <w:t xml:space="preserve">橡化沥青非固化防水涂料，防水层一次成型,厚度为 </w:t>
      </w:r>
      <w:r>
        <w:rPr>
          <w:sz w:val="36"/>
        </w:rPr>
        <w:t>2mm。</w:t>
      </w:r>
    </w:p>
    <w:p>
      <w:pPr>
        <w:pStyle w:val="ListParagraph"/>
        <w:numPr>
          <w:ilvl w:val="0"/>
          <w:numId w:val="5"/>
        </w:numPr>
        <w:tabs>
          <w:tab w:val="left" w:pos="4354"/>
        </w:tabs>
        <w:spacing w:before="0" w:after="0" w:line="338" w:lineRule="auto"/>
        <w:ind w:left="2700" w:right="2697" w:firstLine="719"/>
        <w:jc w:val="both"/>
        <w:rPr>
          <w:sz w:val="36"/>
        </w:rPr>
      </w:pPr>
      <w:r>
        <w:rPr>
          <w:sz w:val="36"/>
        </w:rPr>
        <w:t>涂刷完一定面积后，在铺贴卷材前采用针测法检测涂层厚度。若厚度</w:t>
      </w:r>
      <w:r>
        <w:rPr>
          <w:spacing w:val="-10"/>
          <w:sz w:val="36"/>
        </w:rPr>
        <w:t>不达标或局部需要强化，则再用抹子取一些涂料，以涂刮的方式将其补上。涂刷</w:t>
      </w:r>
      <w:r>
        <w:rPr>
          <w:sz w:val="36"/>
        </w:rPr>
        <w:t>施工宜分段或区完成。</w:t>
      </w:r>
    </w:p>
    <w:p>
      <w:pPr>
        <w:pStyle w:val="ListParagraph"/>
        <w:numPr>
          <w:ilvl w:val="0"/>
          <w:numId w:val="5"/>
        </w:numPr>
        <w:tabs>
          <w:tab w:val="left" w:pos="4354"/>
        </w:tabs>
        <w:spacing w:before="2" w:after="0" w:line="338" w:lineRule="auto"/>
        <w:ind w:left="2700" w:right="2697" w:firstLine="719"/>
        <w:jc w:val="both"/>
        <w:rPr>
          <w:sz w:val="36"/>
        </w:rPr>
      </w:pPr>
      <w:r>
        <w:rPr>
          <w:sz w:val="36"/>
        </w:rPr>
        <w:t>涂刷后，及时覆盖防水卷材，避免现场中过多的灰尘粘结于涂料表层</w:t>
      </w:r>
      <w:r>
        <w:rPr>
          <w:spacing w:val="-9"/>
          <w:sz w:val="36"/>
        </w:rPr>
        <w:t>而降低涂料与隔离层或防水卷材的粘结性。待铺贴完隔离层或防水卷材后即可上</w:t>
      </w:r>
      <w:r>
        <w:rPr>
          <w:sz w:val="36"/>
        </w:rPr>
        <w:t>人行走，无需等待。</w:t>
      </w:r>
    </w:p>
    <w:p>
      <w:pPr>
        <w:pStyle w:val="BodyText"/>
        <w:spacing w:before="1"/>
        <w:ind w:left="3600"/>
      </w:pPr>
      <w:r>
        <w:t>4、高分子强力交叉膜自粘卷材施工：</w:t>
      </w:r>
    </w:p>
    <w:p>
      <w:pPr>
        <w:pStyle w:val="BodyText"/>
        <w:spacing w:before="273" w:line="338" w:lineRule="auto"/>
        <w:ind w:left="2700" w:right="2516" w:firstLine="719"/>
      </w:pPr>
      <w:r>
        <w:t xml:space="preserve">非固化橡胶沥青每次涂刷宽度应比高分子强力交叉膜自粘防水卷材宽度稍 </w:t>
      </w:r>
      <w:r>
        <w:rPr>
          <w:spacing w:val="-12"/>
        </w:rPr>
        <w:t>宽，非固化橡胶沥青防水涂料涂刷完成后立即进行自粘卷材施工，铺贴卷材从一</w:t>
      </w:r>
      <w:r>
        <w:rPr>
          <w:spacing w:val="-29"/>
        </w:rPr>
        <w:t xml:space="preserve">头粘住，均匀向前铺贴，刮平，赶出气泡，相邻卷材间搭接长度不得小于 </w:t>
      </w:r>
      <w:r>
        <w:t>100mm</w:t>
      </w:r>
      <w:r>
        <w:rPr>
          <w:spacing w:val="-13"/>
        </w:rPr>
        <w:t>。</w:t>
      </w:r>
      <w:r>
        <w:t>施工时，相邻两幅卷材的搭接要错开，错开长度不小于 1500mm，搭接长度为100mm，搭接缝采用搭接自粘贴密实。</w:t>
      </w:r>
    </w:p>
    <w:p>
      <w:pPr>
        <w:pStyle w:val="BodyText"/>
        <w:spacing w:before="2" w:line="338" w:lineRule="auto"/>
        <w:ind w:left="2700" w:right="2654" w:firstLine="719"/>
        <w:jc w:val="both"/>
      </w:pPr>
      <w:r>
        <w:rPr>
          <w:spacing w:val="-9"/>
        </w:rPr>
        <w:t>铺贴时高密度交叉层压膜面朝下，粘接面朝上，卷材应铺设在预先确定铺贴</w:t>
      </w:r>
      <w:r>
        <w:rPr>
          <w:spacing w:val="-15"/>
        </w:rPr>
        <w:t>的位置。从第二幅卷材开始时，将表面隔离膜的边缘按搭接宽度提前用裁纸刀小</w:t>
      </w:r>
      <w:r>
        <w:rPr>
          <w:spacing w:val="-27"/>
        </w:rPr>
        <w:t>心划开，将相邻两幅卷材搭接边的隔离膜撕掉，搭接边进行冷粘接，气温偏低</w:t>
      </w:r>
      <w:r>
        <w:t>（一</w:t>
      </w:r>
      <w:r>
        <w:rPr>
          <w:spacing w:val="-7"/>
        </w:rPr>
        <w:t xml:space="preserve">般为 </w:t>
      </w:r>
      <w:r>
        <w:t>10 度以下）</w:t>
      </w:r>
      <w:r>
        <w:rPr>
          <w:spacing w:val="-1"/>
        </w:rPr>
        <w:t>卷材粘性较差时可用喷灯对搭接边加温辅助粘贴，用压辊等排</w:t>
      </w:r>
      <w:r>
        <w:t>气压实。 铺贴后卷材应平整、顺直，搭接尺寸正确，不得扭曲。</w:t>
      </w:r>
    </w:p>
    <w:p>
      <w:pPr>
        <w:pStyle w:val="BodyText"/>
        <w:spacing w:before="3" w:line="338" w:lineRule="auto"/>
        <w:ind w:left="2700" w:right="2522" w:firstLine="719"/>
      </w:pPr>
      <w:r>
        <w:rPr>
          <w:spacing w:val="-20"/>
        </w:rPr>
        <w:t xml:space="preserve">异型部位：施工时先对阴阳角、平面与立面的转角处等细节部分先进行涂刮， </w:t>
      </w:r>
      <w:r>
        <w:rPr>
          <w:spacing w:val="-4"/>
        </w:rPr>
        <w:t xml:space="preserve">厚度宜为 </w:t>
      </w:r>
      <w:r>
        <w:t>2mm，并将卷材裁成相应形状附上。</w:t>
      </w:r>
    </w:p>
    <w:p>
      <w:pPr>
        <w:spacing w:after="0" w:line="338" w:lineRule="auto"/>
        <w:sectPr>
          <w:headerReference w:type="default" r:id="rId26"/>
          <w:footerReference w:type="default" r:id="rId27"/>
          <w:pgSz w:w="17860" w:h="25260"/>
          <w:pgMar w:top="1780" w:right="0" w:bottom="2020" w:left="0" w:header="1116" w:footer="1831"/>
          <w:pgNumType w:start="8"/>
          <w:cols w:space="708"/>
        </w:sectPr>
      </w:pPr>
    </w:p>
    <w:p>
      <w:pPr>
        <w:pStyle w:val="BodyText"/>
        <w:spacing w:before="9"/>
        <w:rPr>
          <w:sz w:val="6"/>
        </w:rPr>
      </w:pPr>
    </w:p>
    <w:p>
      <w:pPr>
        <w:pStyle w:val="BodyText"/>
        <w:spacing w:before="6" w:line="338" w:lineRule="auto"/>
        <w:ind w:left="2700" w:right="2550" w:firstLine="719"/>
      </w:pPr>
      <w:r>
        <w:t>基础底板铺贴卷材应将立面铺贴在砖胎膜上，卷材甩头不得小于 300mm， 与外墙防水搭接，对甩出的卷材，做好保护，避免破坏。</w:t>
      </w:r>
    </w:p>
    <w:p>
      <w:pPr>
        <w:pStyle w:val="Heading2"/>
        <w:spacing w:line="723" w:lineRule="exact"/>
      </w:pPr>
      <w:r>
        <w:drawing>
          <wp:anchor distT="0" distB="0" distL="0" distR="0" simplePos="0" relativeHeight="251665408" behindDoc="1" locked="0" layoutInCell="1" allowOverlap="1">
            <wp:simplePos x="0" y="0"/>
            <wp:positionH relativeFrom="page">
              <wp:posOffset>2108200</wp:posOffset>
            </wp:positionH>
            <wp:positionV relativeFrom="paragraph">
              <wp:posOffset>426756</wp:posOffset>
            </wp:positionV>
            <wp:extent cx="6959600" cy="38100"/>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xmlns:r="http://schemas.openxmlformats.org/officeDocument/2006/relationships" r:embed="rId28" cstate="print"/>
                    <a:stretch>
                      <a:fillRect/>
                    </a:stretch>
                  </pic:blipFill>
                  <pic:spPr>
                    <a:xfrm>
                      <a:off x="0" y="0"/>
                      <a:ext cx="6959600" cy="38100"/>
                    </a:xfrm>
                    <a:prstGeom prst="rect">
                      <a:avLst/>
                    </a:prstGeom>
                  </pic:spPr>
                </pic:pic>
              </a:graphicData>
            </a:graphic>
          </wp:anchor>
        </w:drawing>
      </w:r>
      <w:r>
        <w:t>保护层浇筑前监理部应进行验收，检查防水卷材搭接情况。</w:t>
      </w:r>
    </w:p>
    <w:p>
      <w:pPr>
        <w:pStyle w:val="BodyText"/>
        <w:spacing w:before="214" w:line="338" w:lineRule="auto"/>
        <w:ind w:left="2700" w:right="2524" w:firstLine="899"/>
        <w:jc w:val="both"/>
      </w:pPr>
      <w:r>
        <w:t>5、保护层施工：在卷材铺贴完好，经隐检、蓄水试验，确认无渗漏的情况下进行施工，保护层抹完后表面应平整、光滑、洁净、不应有脱皮、起皱或严重裂缝现象。</w:t>
      </w:r>
    </w:p>
    <w:p>
      <w:pPr>
        <w:pStyle w:val="Heading3"/>
        <w:spacing w:before="2"/>
      </w:pPr>
      <w:r>
        <w:t>（三）质量要求及成品保护：</w:t>
      </w:r>
    </w:p>
    <w:p>
      <w:pPr>
        <w:pStyle w:val="BodyText"/>
        <w:spacing w:before="272" w:line="338" w:lineRule="auto"/>
        <w:ind w:left="2700" w:right="2556" w:firstLine="899"/>
        <w:jc w:val="both"/>
      </w:pPr>
      <w:r>
        <w:t>1</w:t>
      </w:r>
      <w:r>
        <w:rPr>
          <w:spacing w:val="-6"/>
        </w:rPr>
        <w:t>、铺贴的卷材粘胶剂涂刷应均匀，不漏底，不堆积。防水层表面应平整顺</w:t>
      </w:r>
      <w:r>
        <w:rPr>
          <w:spacing w:val="-7"/>
        </w:rPr>
        <w:t>直，搭接尺寸应准确，接缝及末端处理必须封严；不得有扭曲、皱折、翘边、脱</w:t>
      </w:r>
      <w:r>
        <w:t>层或滑动、空鼓等缺陷。</w:t>
      </w:r>
    </w:p>
    <w:p>
      <w:pPr>
        <w:pStyle w:val="BodyText"/>
        <w:spacing w:before="1" w:line="338" w:lineRule="auto"/>
        <w:ind w:left="2700" w:right="2612" w:firstLine="899"/>
      </w:pPr>
      <w:r>
        <w:t>2</w:t>
      </w:r>
      <w:r>
        <w:rPr>
          <w:spacing w:val="-7"/>
        </w:rPr>
        <w:t>、变形缝处的防水层应粘贴牢固，封盖严密，卷材附加层、泛水立面收头</w:t>
      </w:r>
      <w:r>
        <w:t>等做法应符合施工规范的规定。</w:t>
      </w:r>
    </w:p>
    <w:p>
      <w:pPr>
        <w:pStyle w:val="BodyText"/>
        <w:spacing w:before="1"/>
        <w:ind w:left="3600"/>
      </w:pPr>
      <w:r>
        <w:t>3、卷材的铺贴方向应正确，卷材搭接宽度的允许偏差为-10mm。</w:t>
      </w:r>
    </w:p>
    <w:p>
      <w:pPr>
        <w:pStyle w:val="BodyText"/>
        <w:spacing w:before="273" w:line="338" w:lineRule="auto"/>
        <w:ind w:left="2700" w:right="2697" w:firstLine="899"/>
        <w:jc w:val="both"/>
      </w:pPr>
      <w:r>
        <w:t>4、 所用卷材防水材料的品种、牌号及配合比，应符合设计要求和国家现</w:t>
      </w:r>
      <w:r>
        <w:rPr>
          <w:spacing w:val="-13"/>
        </w:rPr>
        <w:t>行有关标准的规定。对防水材料技术性能的各种指标必须经试验室进行复验合格</w:t>
      </w:r>
      <w:r>
        <w:t>后，方可使用。</w:t>
      </w:r>
    </w:p>
    <w:p>
      <w:pPr>
        <w:pStyle w:val="BodyText"/>
        <w:spacing w:before="1" w:line="338" w:lineRule="auto"/>
        <w:ind w:left="2700" w:right="2674" w:firstLine="899"/>
        <w:jc w:val="both"/>
      </w:pPr>
      <w:r>
        <w:t>5、 卷材防水层与预埋管件、表面坡度等细部做法，应符合设计要求和施工规范的规定，不得有渗漏现象（</w:t>
      </w:r>
      <w:r>
        <w:rPr>
          <w:spacing w:val="23"/>
        </w:rPr>
        <w:t>蓄水</w:t>
      </w:r>
      <w:r>
        <w:rPr>
          <w:spacing w:val="-1"/>
        </w:rPr>
        <w:t>24</w:t>
      </w:r>
      <w:r>
        <w:t>h</w:t>
      </w:r>
      <w:r>
        <w:rPr>
          <w:spacing w:val="-3"/>
        </w:rPr>
        <w:t xml:space="preserve"> 观察无渗漏</w:t>
      </w:r>
      <w:r>
        <w:rPr>
          <w:spacing w:val="-184"/>
        </w:rPr>
        <w:t>）</w:t>
      </w:r>
      <w:r>
        <w:rPr>
          <w:spacing w:val="-2"/>
        </w:rPr>
        <w:t>，否则不得进行板块面</w:t>
      </w:r>
      <w:r>
        <w:t>层施工。</w:t>
      </w:r>
    </w:p>
    <w:p>
      <w:pPr>
        <w:pStyle w:val="BodyText"/>
        <w:spacing w:before="2" w:line="338" w:lineRule="auto"/>
        <w:ind w:left="2700" w:right="2556"/>
      </w:pPr>
      <w:r>
        <w:t>卷材防水层的搭接缝应粘结牢固，封堵严密，不得有皱折、翘边和鼓泡等缺陷； 防水层的收头应与基层粘结并固定牢固，缝口封严，不得翘边。</w:t>
      </w:r>
    </w:p>
    <w:p>
      <w:pPr>
        <w:pStyle w:val="Heading3"/>
        <w:spacing w:before="1"/>
      </w:pPr>
      <w:r>
        <w:t>（四）环境安全注意事项</w:t>
      </w:r>
    </w:p>
    <w:p>
      <w:pPr>
        <w:spacing w:after="0"/>
        <w:sectPr>
          <w:headerReference w:type="default" r:id="rId29"/>
          <w:footerReference w:type="default" r:id="rId30"/>
          <w:pgSz w:w="17860" w:h="25260"/>
          <w:pgMar w:top="1780" w:right="0" w:bottom="2020" w:left="0" w:header="1116" w:footer="1831"/>
          <w:pgNumType w:start="9"/>
          <w:cols w:space="708"/>
        </w:sectPr>
      </w:pPr>
    </w:p>
    <w:p>
      <w:pPr>
        <w:pStyle w:val="BodyText"/>
        <w:spacing w:before="9"/>
        <w:rPr>
          <w:b/>
          <w:sz w:val="6"/>
        </w:rPr>
      </w:pPr>
    </w:p>
    <w:p>
      <w:pPr>
        <w:pStyle w:val="BodyText"/>
        <w:spacing w:before="6"/>
        <w:ind w:left="3600"/>
      </w:pPr>
      <w:r>
        <w:t>1、进入施工现场必须戴好安全帽；</w:t>
      </w:r>
    </w:p>
    <w:p>
      <w:pPr>
        <w:pStyle w:val="BodyText"/>
        <w:spacing w:before="273"/>
        <w:ind w:left="3600"/>
      </w:pPr>
      <w:r>
        <w:t>2、严禁酒后作业；</w:t>
      </w:r>
    </w:p>
    <w:p>
      <w:pPr>
        <w:pStyle w:val="BodyText"/>
        <w:spacing w:before="272"/>
        <w:ind w:left="3600"/>
      </w:pPr>
      <w:r>
        <w:t>3、每天工作前班组长应作好班前安全交底，并作记录；</w:t>
      </w:r>
    </w:p>
    <w:p>
      <w:pPr>
        <w:pStyle w:val="BodyText"/>
        <w:spacing w:before="272"/>
        <w:ind w:left="3600"/>
      </w:pPr>
      <w:r>
        <w:t>4、粘接胶等化学物品应按规定存放，同时应防止化学物泄露、挥发；</w:t>
      </w:r>
    </w:p>
    <w:p>
      <w:pPr>
        <w:pStyle w:val="BodyText"/>
        <w:spacing w:before="273"/>
        <w:ind w:left="3600"/>
      </w:pPr>
      <w:r>
        <w:t>5、应避免高温作业防止中暑；</w:t>
      </w:r>
    </w:p>
    <w:p>
      <w:pPr>
        <w:pStyle w:val="BodyText"/>
        <w:spacing w:before="272"/>
        <w:ind w:left="3600"/>
      </w:pPr>
      <w:r>
        <w:t>6、当天作业完，应按规定将现场垃圾收拾干净，并分类集中存放。</w: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4"/>
        <w:rPr>
          <w:sz w:val="48"/>
        </w:rPr>
      </w:pPr>
    </w:p>
    <w:p>
      <w:pPr>
        <w:pStyle w:val="Heading2"/>
        <w:spacing w:before="1"/>
      </w:pPr>
      <w:r>
        <w:drawing>
          <wp:anchor distT="0" distB="0" distL="0" distR="0" simplePos="0" relativeHeight="251666432" behindDoc="1" locked="0" layoutInCell="1" allowOverlap="1">
            <wp:simplePos x="0" y="0"/>
            <wp:positionH relativeFrom="page">
              <wp:posOffset>2108200</wp:posOffset>
            </wp:positionH>
            <wp:positionV relativeFrom="paragraph">
              <wp:posOffset>450676</wp:posOffset>
            </wp:positionV>
            <wp:extent cx="1092200" cy="38100"/>
            <wp:effectExtent l="0" t="0" r="0" b="0"/>
            <wp:wrapNone/>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png"/>
                    <pic:cNvPicPr/>
                  </pic:nvPicPr>
                  <pic:blipFill>
                    <a:blip xmlns:r="http://schemas.openxmlformats.org/officeDocument/2006/relationships" r:embed="rId15" cstate="print"/>
                    <a:stretch>
                      <a:fillRect/>
                    </a:stretch>
                  </pic:blipFill>
                  <pic:spPr>
                    <a:xfrm>
                      <a:off x="0" y="0"/>
                      <a:ext cx="1092200" cy="38100"/>
                    </a:xfrm>
                    <a:prstGeom prst="rect">
                      <a:avLst/>
                    </a:prstGeom>
                  </pic:spPr>
                </pic:pic>
              </a:graphicData>
            </a:graphic>
          </wp:anchor>
        </w:drawing>
      </w:r>
      <w:r>
        <w:t>钢筋绑扎</w:t>
      </w:r>
    </w:p>
    <w:p>
      <w:pPr>
        <w:pStyle w:val="Heading3"/>
        <w:spacing w:before="213"/>
      </w:pPr>
      <w:r>
        <w:t>（一）施工工艺及流程</w:t>
      </w:r>
    </w:p>
    <w:p>
      <w:pPr>
        <w:spacing w:before="272"/>
        <w:ind w:left="3420" w:right="0" w:firstLine="0"/>
        <w:jc w:val="left"/>
        <w:rPr>
          <w:b/>
          <w:sz w:val="36"/>
        </w:rPr>
      </w:pPr>
      <w:r>
        <w:rPr>
          <w:b/>
          <w:sz w:val="36"/>
        </w:rPr>
        <w:t>钢筋验收合格→熟悉图纸，按要求加工，并分类堆放→确定钢筋穿插就位顺</w:t>
      </w:r>
    </w:p>
    <w:p>
      <w:pPr>
        <w:spacing w:after="0"/>
        <w:jc w:val="left"/>
        <w:rPr>
          <w:sz w:val="36"/>
        </w:rPr>
        <w:sectPr>
          <w:headerReference w:type="default" r:id="rId31"/>
          <w:footerReference w:type="default" r:id="rId32"/>
          <w:pgSz w:w="17860" w:h="25260"/>
          <w:pgMar w:top="1780" w:right="0" w:bottom="2020" w:left="0" w:header="1116" w:footer="1831"/>
          <w:pgNumType w:start="10"/>
          <w:cols w:space="708"/>
        </w:sectPr>
      </w:pPr>
    </w:p>
    <w:p>
      <w:pPr>
        <w:pStyle w:val="BodyText"/>
        <w:spacing w:before="9"/>
        <w:rPr>
          <w:b/>
          <w:sz w:val="6"/>
        </w:rPr>
      </w:pPr>
    </w:p>
    <w:p>
      <w:pPr>
        <w:pStyle w:val="Heading3"/>
        <w:spacing w:before="6"/>
      </w:pPr>
      <w:r>
        <w:t>序→按图纸铺设钢筋并绑扎→摆放垫块→班组自检→报验</w:t>
      </w:r>
    </w:p>
    <w:p>
      <w:pPr>
        <w:spacing w:before="273"/>
        <w:ind w:left="2700" w:right="0" w:firstLine="0"/>
        <w:jc w:val="left"/>
        <w:rPr>
          <w:b/>
          <w:sz w:val="36"/>
        </w:rPr>
      </w:pPr>
      <w:r>
        <w:rPr>
          <w:b/>
          <w:sz w:val="36"/>
        </w:rPr>
        <w:t>（二）技术控制</w:t>
      </w:r>
    </w:p>
    <w:p>
      <w:pPr>
        <w:pStyle w:val="BodyText"/>
        <w:spacing w:before="272" w:line="338" w:lineRule="auto"/>
        <w:ind w:left="2700" w:right="2626" w:firstLine="719"/>
      </w:pPr>
      <w:r>
        <w:t>1、钢筋制作必须按照规范和图纸要求，箍筋内净尺寸要求偏差为±5mm， 受力钢筋顺长度方向全长的净尺寸要求偏差为±10mm；</w:t>
      </w:r>
    </w:p>
    <w:p>
      <w:pPr>
        <w:pStyle w:val="BodyText"/>
        <w:spacing w:before="1"/>
        <w:ind w:left="3420"/>
      </w:pPr>
      <w:r>
        <w:t>2、钢筋的交叉点用铁丝扎牢；</w:t>
      </w:r>
    </w:p>
    <w:p>
      <w:pPr>
        <w:pStyle w:val="BodyText"/>
        <w:spacing w:before="272"/>
        <w:ind w:left="3420"/>
      </w:pPr>
      <w:r>
        <w:t>3、板的钢筋网外围两行钢筋的交叉点全部绑扎，中间部分间隔交错扎牢；</w:t>
      </w:r>
    </w:p>
    <w:p>
      <w:pPr>
        <w:pStyle w:val="BodyText"/>
        <w:spacing w:before="273" w:line="338" w:lineRule="auto"/>
        <w:ind w:left="2700" w:right="2517" w:firstLine="719"/>
      </w:pPr>
      <w:r>
        <w:t>4</w:t>
      </w:r>
      <w:r>
        <w:rPr>
          <w:spacing w:val="-15"/>
        </w:rPr>
        <w:t xml:space="preserve">、梁箍筋和墙水平钢筋，除设计有特殊要求外，均应与受力钢筋垂直设置， </w:t>
      </w:r>
      <w:r>
        <w:t>箍筋弯钩叠合处，应沿受力钢筋错开设置；</w:t>
      </w:r>
    </w:p>
    <w:p>
      <w:pPr>
        <w:pStyle w:val="BodyText"/>
        <w:spacing w:before="1"/>
        <w:ind w:left="3420"/>
      </w:pPr>
      <w:r>
        <w:t>5、钢筋连接接头应错开</w:t>
      </w:r>
    </w:p>
    <w:p>
      <w:pPr>
        <w:pStyle w:val="BodyText"/>
        <w:spacing w:before="272" w:line="338" w:lineRule="auto"/>
        <w:ind w:left="2700" w:right="2511" w:firstLine="719"/>
      </w:pPr>
      <w:r>
        <w:rPr>
          <w:spacing w:val="-15"/>
        </w:rPr>
        <w:t xml:space="preserve">采用搭接时，剪力墙纵向钢筋接头错开长度不小于 </w:t>
      </w:r>
      <w:r>
        <w:rPr>
          <w:spacing w:val="-1"/>
        </w:rPr>
        <w:t>13</w:t>
      </w:r>
      <w:r>
        <w:rPr>
          <w:spacing w:val="3"/>
        </w:rPr>
        <w:t>d</w:t>
      </w:r>
      <w:r>
        <w:rPr>
          <w:spacing w:val="-30"/>
        </w:rPr>
        <w:t xml:space="preserve">，且不小于 </w:t>
      </w:r>
      <w:r>
        <w:rPr>
          <w:spacing w:val="-1"/>
        </w:rPr>
        <w:t>300m</w:t>
      </w:r>
      <w:r>
        <w:rPr>
          <w:spacing w:val="3"/>
        </w:rPr>
        <w:t>m</w:t>
      </w:r>
      <w:r>
        <w:t>，</w:t>
      </w:r>
      <w:r>
        <w:rPr>
          <w:spacing w:val="-2"/>
        </w:rPr>
        <w:t xml:space="preserve">绑扎搭接接头面积百分率不应大于 </w:t>
      </w:r>
      <w:r>
        <w:rPr>
          <w:spacing w:val="-1"/>
        </w:rPr>
        <w:t>50</w:t>
      </w:r>
      <w:r>
        <w:rPr>
          <w:spacing w:val="-24"/>
        </w:rPr>
        <w:t xml:space="preserve">%，钢筋搭接长度 </w:t>
      </w:r>
      <w:r>
        <w:rPr>
          <w:spacing w:val="-1"/>
        </w:rPr>
        <w:t>HRB40</w:t>
      </w:r>
      <w:r>
        <w:t>0</w:t>
      </w:r>
      <w:r>
        <w:rPr>
          <w:spacing w:val="-9"/>
        </w:rPr>
        <w:t xml:space="preserve"> 级钢筋为 </w:t>
      </w:r>
      <w:r>
        <w:rPr>
          <w:spacing w:val="-1"/>
        </w:rPr>
        <w:t>34</w:t>
      </w:r>
      <w:r>
        <w:rPr>
          <w:spacing w:val="3"/>
        </w:rPr>
        <w:t>d</w:t>
      </w:r>
      <w:r>
        <w:t>，</w:t>
      </w:r>
      <w:r>
        <w:rPr>
          <w:spacing w:val="-2"/>
        </w:rPr>
        <w:t xml:space="preserve">抗震修正系数乘以 </w:t>
      </w:r>
      <w:r>
        <w:t>1.4</w:t>
      </w:r>
      <w:r>
        <w:rPr>
          <w:spacing w:val="-23"/>
        </w:rPr>
        <w:t xml:space="preserve">。梁上部纵筋在跨中 </w:t>
      </w:r>
      <w:r>
        <w:t>1/3</w:t>
      </w:r>
      <w:r>
        <w:rPr>
          <w:spacing w:val="-17"/>
        </w:rPr>
        <w:t xml:space="preserve"> 范围内搭接，下部纵筋在支座 </w:t>
      </w:r>
      <w:r>
        <w:t xml:space="preserve">1/3 </w:t>
      </w:r>
      <w:r>
        <w:rPr>
          <w:spacing w:val="1"/>
        </w:rPr>
        <w:t xml:space="preserve">范围内搭接，绑扎搭接接头面积百分率不应大于 </w:t>
      </w:r>
      <w:r>
        <w:t>50</w:t>
      </w:r>
      <w:r>
        <w:rPr>
          <w:spacing w:val="2"/>
        </w:rPr>
        <w:t xml:space="preserve">%，钢筋搭接长度 </w:t>
      </w:r>
      <w:r>
        <w:t xml:space="preserve">HRB400 </w:t>
      </w:r>
      <w:r>
        <w:rPr>
          <w:spacing w:val="-4"/>
        </w:rPr>
        <w:t xml:space="preserve">级钢筋为 </w:t>
      </w:r>
      <w:r>
        <w:t>34d</w:t>
      </w:r>
      <w:r>
        <w:rPr>
          <w:spacing w:val="-4"/>
        </w:rPr>
        <w:t xml:space="preserve">，抗震修正系数乘以 </w:t>
      </w:r>
      <w:r>
        <w:t>1.4。在搭接接头长度范围内，当搭接钢筋受</w:t>
      </w:r>
      <w:r>
        <w:rPr>
          <w:spacing w:val="2"/>
        </w:rPr>
        <w:t xml:space="preserve">拉时其箍筋间距不大于 </w:t>
      </w:r>
      <w:r>
        <w:t>5d</w:t>
      </w:r>
      <w:r>
        <w:rPr>
          <w:spacing w:val="3"/>
        </w:rPr>
        <w:t xml:space="preserve">，且不应大于 </w:t>
      </w:r>
      <w:r>
        <w:t>100mm；当搭接钢筋受压时其箍筋间</w:t>
      </w:r>
      <w:r>
        <w:rPr>
          <w:spacing w:val="-4"/>
        </w:rPr>
        <w:t xml:space="preserve">距不大于 </w:t>
      </w:r>
      <w:r>
        <w:t>10d</w:t>
      </w:r>
      <w:r>
        <w:rPr>
          <w:spacing w:val="-3"/>
        </w:rPr>
        <w:t xml:space="preserve">，且不应大于 </w:t>
      </w:r>
      <w:r>
        <w:t>200mm（d</w:t>
      </w:r>
      <w:r>
        <w:rPr>
          <w:spacing w:val="-4"/>
        </w:rPr>
        <w:t xml:space="preserve"> 为受力钢筋最小直径</w:t>
      </w:r>
      <w:r>
        <w:rPr>
          <w:spacing w:val="-184"/>
        </w:rPr>
        <w:t>）</w:t>
      </w:r>
      <w:r>
        <w:t>。</w:t>
      </w:r>
    </w:p>
    <w:p>
      <w:pPr>
        <w:pStyle w:val="BodyText"/>
        <w:spacing w:before="4" w:line="338" w:lineRule="auto"/>
        <w:ind w:left="2700" w:right="2692" w:firstLine="719"/>
        <w:jc w:val="both"/>
      </w:pPr>
      <w:r>
        <w:t>6</w:t>
      </w:r>
      <w:r>
        <w:rPr>
          <w:spacing w:val="-1"/>
        </w:rPr>
        <w:t xml:space="preserve">、梁保护层垫块大小为 </w:t>
      </w:r>
      <w:r>
        <w:t>50mm×50mm</w:t>
      </w:r>
      <w:r>
        <w:rPr>
          <w:spacing w:val="-1"/>
        </w:rPr>
        <w:t xml:space="preserve">，厚度为梁保护层，按 </w:t>
      </w:r>
      <w:r>
        <w:t>1.0m</w:t>
      </w:r>
      <w:r>
        <w:rPr>
          <w:spacing w:val="-3"/>
        </w:rPr>
        <w:t xml:space="preserve"> 的间</w:t>
      </w:r>
      <w:r>
        <w:rPr>
          <w:spacing w:val="-13"/>
        </w:rPr>
        <w:t xml:space="preserve">距交错布置，侧面按 </w:t>
      </w:r>
      <w:r>
        <w:t>1m</w:t>
      </w:r>
      <w:r>
        <w:rPr>
          <w:spacing w:val="-9"/>
        </w:rPr>
        <w:t xml:space="preserve"> 间距在梁顶部和底部交错布置即可，垫底部垫块时要注</w:t>
      </w:r>
      <w:r>
        <w:rPr>
          <w:spacing w:val="-15"/>
        </w:rPr>
        <w:t>意每跨梁端部一定要垫到位，防止梁柱节点部位保护层厚度达不到要求。墙、板</w:t>
      </w:r>
      <w:r>
        <w:rPr>
          <w:spacing w:val="14"/>
        </w:rPr>
        <w:t xml:space="preserve">垫块尺寸为 </w:t>
      </w:r>
      <w:r>
        <w:t>30mm×30mm，厚度为其保护层，侧面和底面的垫块不应小于 4 个</w:t>
      </w:r>
      <w:r>
        <w:rPr>
          <w:spacing w:val="-10"/>
        </w:rPr>
        <w:t>/m</w:t>
      </w:r>
      <w:r>
        <w:rPr>
          <w:spacing w:val="-10"/>
          <w:position w:val="-1"/>
          <w:sz w:val="29"/>
        </w:rPr>
        <w:t>2</w:t>
      </w:r>
      <w:r>
        <w:t>。</w:t>
      </w:r>
    </w:p>
    <w:p>
      <w:pPr>
        <w:pStyle w:val="BodyText"/>
        <w:spacing w:before="2"/>
        <w:ind w:left="3510"/>
      </w:pPr>
      <w:r>
        <w:t>7、清理模板上的杂物，用粉笔在模板上画好双向主筋的间距，按画好的间</w:t>
      </w:r>
    </w:p>
    <w:p>
      <w:pPr>
        <w:spacing w:after="0"/>
        <w:sectPr>
          <w:headerReference w:type="default" r:id="rId33"/>
          <w:footerReference w:type="default" r:id="rId34"/>
          <w:pgSz w:w="17860" w:h="25260"/>
          <w:pgMar w:top="1780" w:right="0" w:bottom="2020" w:left="0" w:header="1116" w:footer="1831"/>
          <w:pgNumType w:start="11"/>
          <w:cols w:space="708"/>
        </w:sectPr>
      </w:pPr>
    </w:p>
    <w:p>
      <w:pPr>
        <w:pStyle w:val="BodyText"/>
        <w:spacing w:before="9"/>
        <w:rPr>
          <w:sz w:val="6"/>
        </w:rPr>
      </w:pPr>
    </w:p>
    <w:p>
      <w:pPr>
        <w:pStyle w:val="BodyText"/>
        <w:spacing w:before="6" w:line="338" w:lineRule="auto"/>
        <w:ind w:left="3510" w:right="2514" w:hanging="810"/>
      </w:pPr>
      <w:r>
        <w:rPr>
          <w:spacing w:val="-20"/>
        </w:rPr>
        <w:t>距，先摆放下部受力钢筋，后摆放上部受力钢筋，预埋件、预留孔及时配合安装。</w:t>
      </w:r>
      <w:r>
        <w:t>8</w:t>
      </w:r>
      <w:r>
        <w:rPr>
          <w:spacing w:val="-9"/>
        </w:rPr>
        <w:t xml:space="preserve"> 、板的负弯矩筋必须用先制作好的“铁马镫”垫至设计高度，间距</w:t>
      </w:r>
    </w:p>
    <w:p>
      <w:pPr>
        <w:pStyle w:val="BodyText"/>
        <w:spacing w:before="1"/>
        <w:ind w:left="2700"/>
      </w:pPr>
      <w:r>
        <w:t>1000mm，避免施工人员踩倒或踩偏位。</w:t>
      </w:r>
    </w:p>
    <w:p>
      <w:pPr>
        <w:pStyle w:val="BodyText"/>
        <w:spacing w:before="272" w:line="338" w:lineRule="auto"/>
        <w:ind w:left="2700" w:right="2614" w:firstLine="809"/>
      </w:pPr>
      <w:r>
        <w:t>9、图纸会审和图纸变更对图纸的修改，在施工时要以修改后的为准，不清楚的地方要和技术人员商量研究，做出决定后再按决定施工。</w:t>
      </w:r>
    </w:p>
    <w:p>
      <w:pPr>
        <w:pStyle w:val="BodyText"/>
        <w:spacing w:before="1" w:line="338" w:lineRule="auto"/>
        <w:ind w:left="2700" w:right="2697" w:firstLine="809"/>
        <w:jc w:val="both"/>
      </w:pPr>
      <w:r>
        <w:rPr>
          <w:spacing w:val="2"/>
        </w:rPr>
        <w:t>10</w:t>
      </w:r>
      <w:r>
        <w:t>、为预防钢筋位移所产生的质量通病，特采用如下方法：在混凝土浇筑</w:t>
      </w:r>
      <w:r>
        <w:rPr>
          <w:spacing w:val="-5"/>
        </w:rPr>
        <w:t xml:space="preserve">面上方钢筋应绑扎三道定位钢筋，第一道在混凝土浇筑面上方 </w:t>
      </w:r>
      <w:r>
        <w:rPr>
          <w:spacing w:val="-10"/>
        </w:rPr>
        <w:t>10cm</w:t>
      </w:r>
      <w:r>
        <w:rPr>
          <w:spacing w:val="-5"/>
        </w:rPr>
        <w:t>，第二道在</w:t>
      </w:r>
      <w:r>
        <w:rPr>
          <w:spacing w:val="-2"/>
        </w:rPr>
        <w:t xml:space="preserve">混凝土浇筑面上方 </w:t>
      </w:r>
      <w:r>
        <w:rPr>
          <w:spacing w:val="-10"/>
        </w:rPr>
        <w:t>20cm</w:t>
      </w:r>
      <w:r>
        <w:rPr>
          <w:spacing w:val="-9"/>
        </w:rPr>
        <w:t>，第三道在钢筋上端，墙身仍按要求设置保护层砂浆垫</w:t>
      </w:r>
      <w:r>
        <w:rPr>
          <w:spacing w:val="-16"/>
        </w:rPr>
        <w:t>块，以保证钢筋的位置。</w:t>
      </w:r>
      <w:r>
        <w:t>（适用于木或竹胶合板配制的模板体系，钢模板可采用</w:t>
      </w:r>
      <w:r>
        <w:rPr>
          <w:spacing w:val="-10"/>
        </w:rPr>
        <w:t>短钢管或木方子，在其上口加以限位固定。</w:t>
      </w:r>
      <w:r>
        <w:t>）</w:t>
      </w:r>
    </w:p>
    <w:p>
      <w:pPr>
        <w:pStyle w:val="Heading3"/>
        <w:spacing w:before="3"/>
      </w:pPr>
      <w:r>
        <w:t>（三）成品保护措施及要求</w:t>
      </w:r>
    </w:p>
    <w:p>
      <w:pPr>
        <w:pStyle w:val="BodyText"/>
        <w:spacing w:before="272" w:line="338" w:lineRule="auto"/>
        <w:ind w:left="2700" w:right="2344" w:firstLine="719"/>
      </w:pPr>
      <w:r>
        <w:t>1、加工成型的钢筋或骨架运至现场，应分别按工号、结构部位、钢筋编号和规格等整齐堆放，保持钢筋表面清洁，防止被油渍、泥土污染或压弯变形；贮存期不宜过久，以免钢筋重遭锈蚀。</w:t>
      </w:r>
    </w:p>
    <w:p>
      <w:pPr>
        <w:pStyle w:val="BodyText"/>
        <w:spacing w:before="2"/>
        <w:ind w:left="3420"/>
      </w:pPr>
      <w:r>
        <w:t>2、在运输和安装钢筋时，应轻装轻卸，不得随意抛掷和碰撞，防止钢筋变形。</w:t>
      </w:r>
    </w:p>
    <w:p>
      <w:pPr>
        <w:pStyle w:val="BodyText"/>
        <w:spacing w:before="272" w:line="338" w:lineRule="auto"/>
        <w:ind w:left="2700" w:right="2200" w:firstLine="719"/>
      </w:pPr>
      <w:r>
        <w:t>3</w:t>
      </w:r>
      <w:r>
        <w:rPr>
          <w:spacing w:val="-16"/>
        </w:rPr>
        <w:t xml:space="preserve">、在钢筋绑扎过程中和钢筋绑好后，不得在已绑好的钢筋上行人、堆放物料， </w:t>
      </w:r>
      <w:r>
        <w:t>操作在马道上进行，特别是防止踩踏压坍雨篷、挑檐、阳台等悬挑结构的钢筋， 以免影响结构强度和使用安全。</w:t>
      </w:r>
    </w:p>
    <w:p>
      <w:pPr>
        <w:pStyle w:val="BodyText"/>
        <w:spacing w:before="2" w:line="338" w:lineRule="auto"/>
        <w:ind w:left="2700" w:right="2200" w:firstLine="719"/>
      </w:pPr>
      <w:r>
        <w:t>4</w:t>
      </w:r>
      <w:r>
        <w:rPr>
          <w:spacing w:val="-16"/>
        </w:rPr>
        <w:t xml:space="preserve">、楼板等的弯起钢筋，负弯矩钢筋绑好后，在浇筑混凝土前进行检查、整修， </w:t>
      </w:r>
      <w:r>
        <w:t>保持不变形，在浇灌混凝土时设专人负责整修。</w:t>
      </w:r>
    </w:p>
    <w:p>
      <w:pPr>
        <w:pStyle w:val="BodyText"/>
        <w:spacing w:before="1"/>
        <w:ind w:left="3420"/>
      </w:pPr>
      <w:r>
        <w:t>5、模板内表面涂刷隔离剂时，应避免污染钢筋。</w:t>
      </w:r>
    </w:p>
    <w:p>
      <w:pPr>
        <w:pStyle w:val="BodyText"/>
        <w:spacing w:before="272"/>
        <w:ind w:left="3420"/>
      </w:pPr>
      <w:r>
        <w:t>6、安装电线管、暖卫管线或其他管线理设物时，应避免任意切断和碰动钢筋。</w:t>
      </w:r>
    </w:p>
    <w:p>
      <w:pPr>
        <w:spacing w:after="0"/>
        <w:sectPr>
          <w:headerReference w:type="default" r:id="rId35"/>
          <w:footerReference w:type="default" r:id="rId36"/>
          <w:pgSz w:w="17860" w:h="25260"/>
          <w:pgMar w:top="1780" w:right="0" w:bottom="2020" w:left="0" w:header="1116" w:footer="1831"/>
          <w:pgNumType w:start="12"/>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
        <w:rPr>
          <w:sz w:val="13"/>
        </w:rPr>
      </w:pPr>
    </w:p>
    <w:p>
      <w:pPr>
        <w:pStyle w:val="Heading2"/>
        <w:spacing w:line="766" w:lineRule="exact"/>
      </w:pPr>
      <w:r>
        <w:drawing>
          <wp:anchor distT="0" distB="0" distL="0" distR="0" simplePos="0" relativeHeight="251667456" behindDoc="1" locked="0" layoutInCell="1" allowOverlap="1">
            <wp:simplePos x="0" y="0"/>
            <wp:positionH relativeFrom="page">
              <wp:posOffset>2108200</wp:posOffset>
            </wp:positionH>
            <wp:positionV relativeFrom="paragraph">
              <wp:posOffset>452833</wp:posOffset>
            </wp:positionV>
            <wp:extent cx="2425700" cy="38100"/>
            <wp:effectExtent l="0" t="0" r="0" b="0"/>
            <wp:wrapNone/>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0.png"/>
                    <pic:cNvPicPr/>
                  </pic:nvPicPr>
                  <pic:blipFill>
                    <a:blip xmlns:r="http://schemas.openxmlformats.org/officeDocument/2006/relationships" r:embed="rId37" cstate="print"/>
                    <a:stretch>
                      <a:fillRect/>
                    </a:stretch>
                  </pic:blipFill>
                  <pic:spPr>
                    <a:xfrm>
                      <a:off x="0" y="0"/>
                      <a:ext cx="2425700" cy="38100"/>
                    </a:xfrm>
                    <a:prstGeom prst="rect">
                      <a:avLst/>
                    </a:prstGeom>
                  </pic:spPr>
                </pic:pic>
              </a:graphicData>
            </a:graphic>
          </wp:anchor>
        </w:drawing>
      </w:r>
      <w:r>
        <w:t>钢边橡胶止水带安装</w:t>
      </w:r>
    </w:p>
    <w:p>
      <w:pPr>
        <w:pStyle w:val="Heading3"/>
        <w:spacing w:before="213"/>
      </w:pPr>
      <w:r>
        <w:t>（一）施工工艺及流程</w:t>
      </w:r>
    </w:p>
    <w:p>
      <w:pPr>
        <w:pStyle w:val="BodyText"/>
        <w:spacing w:before="273" w:line="338" w:lineRule="auto"/>
        <w:ind w:left="2700" w:right="2695" w:firstLine="719"/>
      </w:pPr>
      <w:r>
        <w:t>材料准备→预热硫化机→钢边止水带接头处切口→打毛焊接面→钢边接头</w:t>
      </w:r>
      <w:r>
        <w:rPr>
          <w:spacing w:val="-6"/>
        </w:rPr>
        <w:t xml:space="preserve">铆钉锚固→填充生胶片→挤压紧固→加压→冷却→拆除紧固件，检查粘结效果→ </w:t>
      </w:r>
      <w:r>
        <w:t>固定安装止水带</w:t>
      </w:r>
    </w:p>
    <w:p>
      <w:pPr>
        <w:pStyle w:val="Heading3"/>
        <w:spacing w:before="1"/>
      </w:pPr>
      <w:r>
        <w:t>（二）技术保证措施</w:t>
      </w:r>
    </w:p>
    <w:p>
      <w:pPr>
        <w:pStyle w:val="BodyText"/>
        <w:spacing w:before="273"/>
        <w:ind w:left="2700"/>
      </w:pPr>
      <w:r>
        <w:t>1、 选择长度合适的止水带。</w:t>
      </w:r>
    </w:p>
    <w:p>
      <w:pPr>
        <w:pStyle w:val="BodyText"/>
        <w:spacing w:before="273"/>
        <w:ind w:left="2700"/>
      </w:pPr>
      <w:r>
        <w:t>2、将热硫化机提前预热至 60 摄氏度。</w:t>
      </w:r>
    </w:p>
    <w:p>
      <w:pPr>
        <w:pStyle w:val="BodyText"/>
        <w:spacing w:before="272" w:line="338" w:lineRule="auto"/>
        <w:ind w:left="2700" w:right="2697"/>
      </w:pPr>
      <w:r>
        <w:t>3、将止水带的一个接头用角磨机割出 6cm 凹口，将两头接口位置用角磨机各打毛 15cm 宽，保证粘结质量。如图</w:t>
      </w:r>
    </w:p>
    <w:p>
      <w:pPr>
        <w:spacing w:after="0" w:line="338" w:lineRule="auto"/>
        <w:sectPr>
          <w:headerReference w:type="default" r:id="rId38"/>
          <w:footerReference w:type="default" r:id="rId39"/>
          <w:pgSz w:w="17860" w:h="25260"/>
          <w:pgMar w:top="1780" w:right="0" w:bottom="2020" w:left="0" w:header="1116" w:footer="1831"/>
          <w:pgNumType w:start="13"/>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1"/>
        </w:rPr>
      </w:pPr>
    </w:p>
    <w:p>
      <w:pPr>
        <w:pStyle w:val="BodyText"/>
        <w:spacing w:before="6"/>
        <w:ind w:left="2700"/>
      </w:pPr>
      <w:r>
        <w:drawing>
          <wp:anchor distT="0" distB="0" distL="0" distR="0" simplePos="0" relativeHeight="251668480" behindDoc="0" locked="0" layoutInCell="1" allowOverlap="1">
            <wp:simplePos x="0" y="0"/>
            <wp:positionH relativeFrom="page">
              <wp:posOffset>0</wp:posOffset>
            </wp:positionH>
            <wp:positionV relativeFrom="paragraph">
              <wp:posOffset>-3382812</wp:posOffset>
            </wp:positionV>
            <wp:extent cx="11340845" cy="3212972"/>
            <wp:effectExtent l="0" t="0" r="0" b="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1.png"/>
                    <pic:cNvPicPr/>
                  </pic:nvPicPr>
                  <pic:blipFill>
                    <a:blip xmlns:r="http://schemas.openxmlformats.org/officeDocument/2006/relationships" r:embed="rId40" cstate="print"/>
                    <a:stretch>
                      <a:fillRect/>
                    </a:stretch>
                  </pic:blipFill>
                  <pic:spPr>
                    <a:xfrm>
                      <a:off x="0" y="0"/>
                      <a:ext cx="11340845" cy="3212972"/>
                    </a:xfrm>
                    <a:prstGeom prst="rect">
                      <a:avLst/>
                    </a:prstGeom>
                  </pic:spPr>
                </pic:pic>
              </a:graphicData>
            </a:graphic>
          </wp:anchor>
        </w:drawing>
      </w:r>
      <w:r>
        <w:drawing>
          <wp:anchor distT="0" distB="0" distL="0" distR="0" simplePos="0" relativeHeight="251669504" behindDoc="0" locked="0" layoutInCell="1" allowOverlap="1">
            <wp:simplePos x="0" y="0"/>
            <wp:positionH relativeFrom="page">
              <wp:posOffset>0</wp:posOffset>
            </wp:positionH>
            <wp:positionV relativeFrom="paragraph">
              <wp:posOffset>820887</wp:posOffset>
            </wp:positionV>
            <wp:extent cx="11340845" cy="2933573"/>
            <wp:effectExtent l="0" t="0" r="0" b="0"/>
            <wp:wrapNone/>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2.png"/>
                    <pic:cNvPicPr/>
                  </pic:nvPicPr>
                  <pic:blipFill>
                    <a:blip xmlns:r="http://schemas.openxmlformats.org/officeDocument/2006/relationships" r:embed="rId41" cstate="print"/>
                    <a:stretch>
                      <a:fillRect/>
                    </a:stretch>
                  </pic:blipFill>
                  <pic:spPr>
                    <a:xfrm>
                      <a:off x="0" y="0"/>
                      <a:ext cx="11340845" cy="2933573"/>
                    </a:xfrm>
                    <a:prstGeom prst="rect">
                      <a:avLst/>
                    </a:prstGeom>
                  </pic:spPr>
                </pic:pic>
              </a:graphicData>
            </a:graphic>
          </wp:anchor>
        </w:drawing>
      </w:r>
      <w:r>
        <w:t>4、将底层生胶带及搭接好的止水带依次放在热硫化机加热底片上</w: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11"/>
        <w:rPr>
          <w:sz w:val="42"/>
        </w:rPr>
      </w:pPr>
    </w:p>
    <w:p>
      <w:pPr>
        <w:pStyle w:val="BodyText"/>
        <w:spacing w:line="338" w:lineRule="auto"/>
        <w:ind w:left="2700" w:right="2704"/>
      </w:pPr>
      <w:r>
        <w:pict>
          <v:group id="_x0000_s1026" style="width:893pt;height:229pt;margin-top:103.51pt;margin-left:0;mso-position-horizontal-relative:page;position:absolute;z-index:251670528" coordorigin="0,2070" coordsize="17860,4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7860;height:4580;position:absolute;top:2070" stroked="f">
              <v:imagedata r:id="rId42" o:title=""/>
            </v:shape>
            <v:shapetype id="_x0000_t202" coordsize="21600,21600" o:spt="202" path="m,l,21600r21600,l21600,xe">
              <v:stroke joinstyle="miter"/>
              <v:path gradientshapeok="t" o:connecttype="rect"/>
            </v:shapetype>
            <v:shape id="_x0000_s1028" type="#_x0000_t202" style="width:1100;height:270;left:2700;position:absolute;top:5396" filled="f" stroked="f">
              <v:textbox inset="0,0,0,0">
                <w:txbxContent>
                  <w:p>
                    <w:pPr>
                      <w:spacing w:before="0" w:line="270" w:lineRule="exact"/>
                      <w:ind w:left="0" w:right="0" w:firstLine="0"/>
                      <w:jc w:val="left"/>
                      <w:rPr>
                        <w:rFonts w:ascii="宋体" w:eastAsia="宋体" w:hint="eastAsia"/>
                        <w:sz w:val="27"/>
                      </w:rPr>
                    </w:pPr>
                    <w:r>
                      <w:rPr>
                        <w:rFonts w:ascii="宋体" w:eastAsia="宋体" w:hint="eastAsia"/>
                        <w:sz w:val="27"/>
                      </w:rPr>
                      <w:t>标准文档</w:t>
                    </w:r>
                  </w:p>
                </w:txbxContent>
              </v:textbox>
            </v:shape>
          </v:group>
        </w:pict>
      </w:r>
      <w:r>
        <w:t>5、将钢边两接头搭接，钢边用铆钉固定在一起，橡胶接头中间处放一生胶带窄条塞紧。</w:t>
      </w:r>
    </w:p>
    <w:p>
      <w:pPr>
        <w:spacing w:after="0" w:line="338" w:lineRule="auto"/>
        <w:sectPr>
          <w:headerReference w:type="default" r:id="rId43"/>
          <w:footerReference w:type="default" r:id="rId44"/>
          <w:pgSz w:w="17860" w:h="25260"/>
          <w:pgMar w:top="1780" w:right="0" w:bottom="280" w:left="0" w:header="1116" w:footer="0"/>
          <w:pgNumType w:start="14"/>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pStyle w:val="BodyText"/>
        <w:spacing w:before="6" w:line="338" w:lineRule="auto"/>
        <w:ind w:left="2700" w:right="2678"/>
        <w:jc w:val="both"/>
      </w:pPr>
      <w:r>
        <w:drawing>
          <wp:anchor distT="0" distB="0" distL="0" distR="0" simplePos="0" relativeHeight="251671552" behindDoc="0" locked="0" layoutInCell="1" allowOverlap="1">
            <wp:simplePos x="0" y="0"/>
            <wp:positionH relativeFrom="page">
              <wp:posOffset>0</wp:posOffset>
            </wp:positionH>
            <wp:positionV relativeFrom="paragraph">
              <wp:posOffset>1763228</wp:posOffset>
            </wp:positionV>
            <wp:extent cx="11340845" cy="2895473"/>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png"/>
                    <pic:cNvPicPr/>
                  </pic:nvPicPr>
                  <pic:blipFill>
                    <a:blip xmlns:r="http://schemas.openxmlformats.org/officeDocument/2006/relationships" r:embed="rId45" cstate="print"/>
                    <a:stretch>
                      <a:fillRect/>
                    </a:stretch>
                  </pic:blipFill>
                  <pic:spPr>
                    <a:xfrm>
                      <a:off x="0" y="0"/>
                      <a:ext cx="11340845" cy="2895473"/>
                    </a:xfrm>
                    <a:prstGeom prst="rect">
                      <a:avLst/>
                    </a:prstGeom>
                  </pic:spPr>
                </pic:pic>
              </a:graphicData>
            </a:graphic>
          </wp:anchor>
        </w:drawing>
      </w:r>
      <w:r>
        <w:t>6</w:t>
      </w:r>
      <w:r>
        <w:rPr>
          <w:spacing w:val="-4"/>
        </w:rPr>
        <w:t xml:space="preserve">、盖上上层生胶片宽度 </w:t>
      </w:r>
      <w:r>
        <w:t>20cm</w:t>
      </w:r>
      <w:r>
        <w:rPr>
          <w:spacing w:val="-5"/>
        </w:rPr>
        <w:t xml:space="preserve"> 居中，在止水带的三道凸楞处分别附加一层窄橡</w:t>
      </w:r>
      <w:r>
        <w:rPr>
          <w:spacing w:val="-12"/>
        </w:rPr>
        <w:t>胶条，使粘结部位尽可能接触全面，减少空隙。然后将搭接部位用热硫化机加热片挤压紧</w: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7"/>
        <w:rPr>
          <w:sz w:val="70"/>
        </w:rPr>
      </w:pPr>
    </w:p>
    <w:p>
      <w:pPr>
        <w:pStyle w:val="BodyText"/>
        <w:ind w:left="2700"/>
        <w:jc w:val="both"/>
      </w:pPr>
      <w:r>
        <w:pict>
          <v:group id="_x0000_s1029" style="width:893pt;height:240pt;margin-top:47.66pt;margin-left:0;mso-position-horizontal-relative:page;position:absolute;z-index:251672576" coordorigin="0,953" coordsize="17860,4800">
            <v:shape id="_x0000_s1030" type="#_x0000_t75" style="width:17860;height:4800;position:absolute;top:953" stroked="f">
              <v:imagedata r:id="rId46" o:title=""/>
            </v:shape>
            <v:shape id="_x0000_s1031" type="#_x0000_t202" style="width:1100;height:270;left:2700;position:absolute;top:4459" filled="f" stroked="f">
              <v:textbox inset="0,0,0,0">
                <w:txbxContent>
                  <w:p>
                    <w:pPr>
                      <w:spacing w:before="0" w:line="270" w:lineRule="exact"/>
                      <w:ind w:left="0" w:right="0" w:firstLine="0"/>
                      <w:jc w:val="left"/>
                      <w:rPr>
                        <w:rFonts w:ascii="宋体" w:eastAsia="宋体" w:hint="eastAsia"/>
                        <w:sz w:val="27"/>
                      </w:rPr>
                    </w:pPr>
                    <w:r>
                      <w:rPr>
                        <w:rFonts w:ascii="宋体" w:eastAsia="宋体" w:hint="eastAsia"/>
                        <w:sz w:val="27"/>
                      </w:rPr>
                      <w:t>标准文档</w:t>
                    </w:r>
                  </w:p>
                </w:txbxContent>
              </v:textbox>
            </v:shape>
          </v:group>
        </w:pict>
      </w:r>
      <w:r>
        <w:t>7、加压千斤顶，并将温度调至 120 摄氏度</w:t>
      </w:r>
    </w:p>
    <w:p>
      <w:pPr>
        <w:spacing w:after="0"/>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7" w:history="1">
        <w:r>
          <w:rPr>
            <w:rFonts w:ascii="SimSun" w:eastAsia="SimSun" w:hAnsi="SimSun" w:cs="SimSun"/>
            <w:b/>
            <w:bCs/>
            <w:color w:val="0000EE"/>
            <w:sz w:val="30"/>
            <w:szCs w:val="30"/>
            <w:u w:val="single" w:color="0000EE"/>
          </w:rPr>
          <w:t>https://d.book118.com/848131027037006030</w:t>
        </w:r>
      </w:hyperlink>
    </w:p>
    <w:p>
      <w:pPr>
        <w:spacing w:after="0"/>
        <w:jc w:val="both"/>
      </w:pPr>
    </w:p>
    <w:sectPr>
      <w:headerReference w:type="default" r:id="rId48"/>
      <w:footerReference w:type="default" r:id="rId49"/>
      <w:pgSz w:w="17860" w:h="25260"/>
      <w:pgMar w:top="1780" w:right="0" w:bottom="280" w:left="0" w:header="1116" w:footer="0"/>
      <w:pgNumType w:start="1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 w:name="新宋体">
    <w:altName w:val="新宋体"/>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6pt;height:15.5pt;margin-top:1160.35pt;margin-left:134.04pt;mso-position-horizontal-relative:page;mso-position-vertical-relative:page;position:absolute;z-index:-251658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6pt;height:15.5pt;margin-top:1160.35pt;margin-left:134.04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56pt;height:15.5pt;margin-top:1160.35pt;margin-left:134.04pt;mso-position-horizontal-relative:page;mso-position-vertical-relative:page;position:absolute;z-index:-2516480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6pt;height:15.5pt;margin-top:1160.35pt;margin-left:134.04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56pt;height:15.5pt;margin-top:1160.35pt;margin-left:134.04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6pt;height:15.5pt;margin-top:1160.35pt;margin-left:134.04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56pt;height:15.5pt;margin-top:1160.35pt;margin-left:134.04pt;mso-position-horizontal-relative:page;mso-position-vertical-relative:page;position:absolute;z-index:-251656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6pt;height:15.5pt;margin-top:1160.35pt;margin-left:134.04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56pt;height:15.5pt;margin-top:1160.35pt;margin-left:134.04pt;mso-position-horizontal-relative:page;mso-position-vertical-relative:page;position:absolute;z-index:-251654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56pt;height:15.5pt;margin-top:1160.35pt;margin-left:134.04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6pt;height:15.5pt;margin-top:1160.35pt;margin-left:134.04pt;mso-position-horizontal-relative:page;mso-position-vertical-relative:page;position:absolute;z-index:-251652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6pt;height:15.5pt;margin-top:1160.35pt;margin-left:134.04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56pt;height:15.5pt;margin-top:1160.35pt;margin-left:134.04pt;mso-position-horizontal-relative:page;mso-position-vertical-relative:page;position:absolute;z-index:-2516500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标准文档</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56pt;height:15.5pt;margin-top:54.82pt;margin-left:134.04pt;mso-position-horizontal-relative:page;mso-position-vertical-relative:page;position:absolute;z-index:-251658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56pt;height:15.5pt;margin-top:54.82pt;margin-left:134.04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56pt;height:15.5pt;margin-top:54.82pt;margin-left:134.04pt;mso-position-horizontal-relative:page;mso-position-vertical-relative:page;position:absolute;z-index:-2516480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56pt;height:15.5pt;margin-top:54.82pt;margin-left:134.04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56pt;height:15.5pt;margin-top:54.82pt;margin-left:134.04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56pt;height:15.5pt;margin-top:54.82pt;margin-left:134.04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56pt;height:15.5pt;margin-top:54.82pt;margin-left:134.04pt;mso-position-horizontal-relative:page;mso-position-vertical-relative:page;position:absolute;z-index:-2516439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56pt;height:15.5pt;margin-top:54.82pt;margin-left:134.04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56pt;height:15.5pt;margin-top:54.82pt;margin-left:134.04pt;mso-position-horizontal-relative:page;mso-position-vertical-relative:page;position:absolute;z-index:-251656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56pt;height:15.5pt;margin-top:54.82pt;margin-left:134.04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56pt;height:15.5pt;margin-top:54.82pt;margin-left:134.04pt;mso-position-horizontal-relative:page;mso-position-vertical-relative:page;position:absolute;z-index:-251654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56pt;height:15.5pt;margin-top:54.82pt;margin-left:134.04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56pt;height:15.5pt;margin-top:54.82pt;margin-left:134.04pt;mso-position-horizontal-relative:page;mso-position-vertical-relative:page;position:absolute;z-index:-251652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56pt;height:15.5pt;margin-top:54.82pt;margin-left:134.04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56pt;height:15.5pt;margin-top:54.82pt;margin-left:134.04pt;mso-position-horizontal-relative:page;mso-position-vertical-relative:page;position:absolute;z-index:-2516500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实用文案</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4008"/>
    <w:multiLevelType w:val="hybridMultilevel"/>
    <w:tmpl w:val="00000000"/>
    <w:lvl w:ilvl="0">
      <w:start w:val="0"/>
      <w:numFmt w:val="bullet"/>
      <w:lvlText w:val=""/>
      <w:lvlJc w:val="left"/>
      <w:pPr>
        <w:ind w:left="3330" w:hanging="630"/>
      </w:pPr>
      <w:rPr>
        <w:rFonts w:hint="default"/>
        <w:w w:val="100"/>
        <w:position w:val="-2"/>
      </w:rPr>
    </w:lvl>
    <w:lvl w:ilvl="1">
      <w:start w:val="0"/>
      <w:numFmt w:val="bullet"/>
      <w:lvlText w:val="•"/>
      <w:lvlJc w:val="left"/>
      <w:pPr>
        <w:ind w:left="4791" w:hanging="630"/>
      </w:pPr>
      <w:rPr>
        <w:rFonts w:hint="default"/>
      </w:rPr>
    </w:lvl>
    <w:lvl w:ilvl="2">
      <w:start w:val="0"/>
      <w:numFmt w:val="bullet"/>
      <w:lvlText w:val="•"/>
      <w:lvlJc w:val="left"/>
      <w:pPr>
        <w:ind w:left="6243" w:hanging="630"/>
      </w:pPr>
      <w:rPr>
        <w:rFonts w:hint="default"/>
      </w:rPr>
    </w:lvl>
    <w:lvl w:ilvl="3">
      <w:start w:val="0"/>
      <w:numFmt w:val="bullet"/>
      <w:lvlText w:val="•"/>
      <w:lvlJc w:val="left"/>
      <w:pPr>
        <w:ind w:left="7695" w:hanging="630"/>
      </w:pPr>
      <w:rPr>
        <w:rFonts w:hint="default"/>
      </w:rPr>
    </w:lvl>
    <w:lvl w:ilvl="4">
      <w:start w:val="0"/>
      <w:numFmt w:val="bullet"/>
      <w:lvlText w:val="•"/>
      <w:lvlJc w:val="left"/>
      <w:pPr>
        <w:ind w:left="9147" w:hanging="630"/>
      </w:pPr>
      <w:rPr>
        <w:rFonts w:hint="default"/>
      </w:rPr>
    </w:lvl>
    <w:lvl w:ilvl="5">
      <w:start w:val="0"/>
      <w:numFmt w:val="bullet"/>
      <w:lvlText w:val="•"/>
      <w:lvlJc w:val="left"/>
      <w:pPr>
        <w:ind w:left="10599" w:hanging="630"/>
      </w:pPr>
      <w:rPr>
        <w:rFonts w:hint="default"/>
      </w:rPr>
    </w:lvl>
    <w:lvl w:ilvl="6">
      <w:start w:val="0"/>
      <w:numFmt w:val="bullet"/>
      <w:lvlText w:val="•"/>
      <w:lvlJc w:val="left"/>
      <w:pPr>
        <w:ind w:left="12051" w:hanging="630"/>
      </w:pPr>
      <w:rPr>
        <w:rFonts w:hint="default"/>
      </w:rPr>
    </w:lvl>
    <w:lvl w:ilvl="7">
      <w:start w:val="0"/>
      <w:numFmt w:val="bullet"/>
      <w:lvlText w:val="•"/>
      <w:lvlJc w:val="left"/>
      <w:pPr>
        <w:ind w:left="13503" w:hanging="630"/>
      </w:pPr>
      <w:rPr>
        <w:rFonts w:hint="default"/>
      </w:rPr>
    </w:lvl>
    <w:lvl w:ilvl="8">
      <w:start w:val="0"/>
      <w:numFmt w:val="bullet"/>
      <w:lvlText w:val="•"/>
      <w:lvlJc w:val="left"/>
      <w:pPr>
        <w:ind w:left="14955" w:hanging="630"/>
      </w:pPr>
      <w:rPr>
        <w:rFonts w:hint="default"/>
      </w:rPr>
    </w:lvl>
  </w:abstractNum>
  <w:abstractNum w:abstractNumId="1">
    <w:nsid w:val="0B6E21A3"/>
    <w:multiLevelType w:val="hybridMultilevel"/>
    <w:tmpl w:val="00000000"/>
    <w:lvl w:ilvl="0">
      <w:start w:val="3"/>
      <w:numFmt w:val="decimal"/>
      <w:lvlText w:val="%1"/>
      <w:lvlJc w:val="left"/>
      <w:pPr>
        <w:ind w:left="3751" w:hanging="512"/>
        <w:jc w:val="left"/>
      </w:pPr>
      <w:rPr>
        <w:rFonts w:hint="default"/>
      </w:rPr>
    </w:lvl>
    <w:lvl w:ilvl="1">
      <w:start w:val="1"/>
      <w:numFmt w:val="decimal"/>
      <w:lvlText w:val="%1.%2"/>
      <w:lvlJc w:val="left"/>
      <w:pPr>
        <w:ind w:left="3751" w:hanging="512"/>
        <w:jc w:val="left"/>
      </w:pPr>
      <w:rPr>
        <w:rFonts w:ascii="微软雅黑" w:eastAsia="微软雅黑" w:hAnsi="微软雅黑" w:cs="微软雅黑" w:hint="default"/>
        <w:spacing w:val="-1"/>
        <w:w w:val="100"/>
        <w:sz w:val="34"/>
        <w:szCs w:val="34"/>
      </w:rPr>
    </w:lvl>
    <w:lvl w:ilvl="2">
      <w:start w:val="0"/>
      <w:numFmt w:val="bullet"/>
      <w:lvlText w:val="•"/>
      <w:lvlJc w:val="left"/>
      <w:pPr>
        <w:ind w:left="6579" w:hanging="512"/>
      </w:pPr>
      <w:rPr>
        <w:rFonts w:hint="default"/>
      </w:rPr>
    </w:lvl>
    <w:lvl w:ilvl="3">
      <w:start w:val="0"/>
      <w:numFmt w:val="bullet"/>
      <w:lvlText w:val="•"/>
      <w:lvlJc w:val="left"/>
      <w:pPr>
        <w:ind w:left="7989" w:hanging="512"/>
      </w:pPr>
      <w:rPr>
        <w:rFonts w:hint="default"/>
      </w:rPr>
    </w:lvl>
    <w:lvl w:ilvl="4">
      <w:start w:val="0"/>
      <w:numFmt w:val="bullet"/>
      <w:lvlText w:val="•"/>
      <w:lvlJc w:val="left"/>
      <w:pPr>
        <w:ind w:left="9399" w:hanging="512"/>
      </w:pPr>
      <w:rPr>
        <w:rFonts w:hint="default"/>
      </w:rPr>
    </w:lvl>
    <w:lvl w:ilvl="5">
      <w:start w:val="0"/>
      <w:numFmt w:val="bullet"/>
      <w:lvlText w:val="•"/>
      <w:lvlJc w:val="left"/>
      <w:pPr>
        <w:ind w:left="10809" w:hanging="512"/>
      </w:pPr>
      <w:rPr>
        <w:rFonts w:hint="default"/>
      </w:rPr>
    </w:lvl>
    <w:lvl w:ilvl="6">
      <w:start w:val="0"/>
      <w:numFmt w:val="bullet"/>
      <w:lvlText w:val="•"/>
      <w:lvlJc w:val="left"/>
      <w:pPr>
        <w:ind w:left="12219" w:hanging="512"/>
      </w:pPr>
      <w:rPr>
        <w:rFonts w:hint="default"/>
      </w:rPr>
    </w:lvl>
    <w:lvl w:ilvl="7">
      <w:start w:val="0"/>
      <w:numFmt w:val="bullet"/>
      <w:lvlText w:val="•"/>
      <w:lvlJc w:val="left"/>
      <w:pPr>
        <w:ind w:left="13629" w:hanging="512"/>
      </w:pPr>
      <w:rPr>
        <w:rFonts w:hint="default"/>
      </w:rPr>
    </w:lvl>
    <w:lvl w:ilvl="8">
      <w:start w:val="0"/>
      <w:numFmt w:val="bullet"/>
      <w:lvlText w:val="•"/>
      <w:lvlJc w:val="left"/>
      <w:pPr>
        <w:ind w:left="15039" w:hanging="512"/>
      </w:pPr>
      <w:rPr>
        <w:rFonts w:hint="default"/>
      </w:rPr>
    </w:lvl>
  </w:abstractNum>
  <w:abstractNum w:abstractNumId="2">
    <w:nsid w:val="199E414E"/>
    <w:multiLevelType w:val="hybridMultilevel"/>
    <w:tmpl w:val="00000000"/>
    <w:lvl w:ilvl="0">
      <w:start w:val="1"/>
      <w:numFmt w:val="lowerLetter"/>
      <w:lvlText w:val="%1."/>
      <w:lvlJc w:val="left"/>
      <w:pPr>
        <w:ind w:left="2700" w:hanging="287"/>
        <w:jc w:val="left"/>
      </w:pPr>
      <w:rPr>
        <w:rFonts w:ascii="微软雅黑" w:eastAsia="微软雅黑" w:hAnsi="微软雅黑" w:cs="微软雅黑" w:hint="default"/>
        <w:spacing w:val="-1"/>
        <w:w w:val="100"/>
        <w:sz w:val="34"/>
        <w:szCs w:val="34"/>
      </w:rPr>
    </w:lvl>
    <w:lvl w:ilvl="1">
      <w:start w:val="0"/>
      <w:numFmt w:val="bullet"/>
      <w:lvlText w:val="•"/>
      <w:lvlJc w:val="left"/>
      <w:pPr>
        <w:ind w:left="4215" w:hanging="287"/>
      </w:pPr>
      <w:rPr>
        <w:rFonts w:hint="default"/>
      </w:rPr>
    </w:lvl>
    <w:lvl w:ilvl="2">
      <w:start w:val="0"/>
      <w:numFmt w:val="bullet"/>
      <w:lvlText w:val="•"/>
      <w:lvlJc w:val="left"/>
      <w:pPr>
        <w:ind w:left="5731" w:hanging="287"/>
      </w:pPr>
      <w:rPr>
        <w:rFonts w:hint="default"/>
      </w:rPr>
    </w:lvl>
    <w:lvl w:ilvl="3">
      <w:start w:val="0"/>
      <w:numFmt w:val="bullet"/>
      <w:lvlText w:val="•"/>
      <w:lvlJc w:val="left"/>
      <w:pPr>
        <w:ind w:left="7247" w:hanging="287"/>
      </w:pPr>
      <w:rPr>
        <w:rFonts w:hint="default"/>
      </w:rPr>
    </w:lvl>
    <w:lvl w:ilvl="4">
      <w:start w:val="0"/>
      <w:numFmt w:val="bullet"/>
      <w:lvlText w:val="•"/>
      <w:lvlJc w:val="left"/>
      <w:pPr>
        <w:ind w:left="8763" w:hanging="287"/>
      </w:pPr>
      <w:rPr>
        <w:rFonts w:hint="default"/>
      </w:rPr>
    </w:lvl>
    <w:lvl w:ilvl="5">
      <w:start w:val="0"/>
      <w:numFmt w:val="bullet"/>
      <w:lvlText w:val="•"/>
      <w:lvlJc w:val="left"/>
      <w:pPr>
        <w:ind w:left="10279" w:hanging="287"/>
      </w:pPr>
      <w:rPr>
        <w:rFonts w:hint="default"/>
      </w:rPr>
    </w:lvl>
    <w:lvl w:ilvl="6">
      <w:start w:val="0"/>
      <w:numFmt w:val="bullet"/>
      <w:lvlText w:val="•"/>
      <w:lvlJc w:val="left"/>
      <w:pPr>
        <w:ind w:left="11795" w:hanging="287"/>
      </w:pPr>
      <w:rPr>
        <w:rFonts w:hint="default"/>
      </w:rPr>
    </w:lvl>
    <w:lvl w:ilvl="7">
      <w:start w:val="0"/>
      <w:numFmt w:val="bullet"/>
      <w:lvlText w:val="•"/>
      <w:lvlJc w:val="left"/>
      <w:pPr>
        <w:ind w:left="13311" w:hanging="287"/>
      </w:pPr>
      <w:rPr>
        <w:rFonts w:hint="default"/>
      </w:rPr>
    </w:lvl>
    <w:lvl w:ilvl="8">
      <w:start w:val="0"/>
      <w:numFmt w:val="bullet"/>
      <w:lvlText w:val="•"/>
      <w:lvlJc w:val="left"/>
      <w:pPr>
        <w:ind w:left="14827" w:hanging="287"/>
      </w:pPr>
      <w:rPr>
        <w:rFonts w:hint="default"/>
      </w:rPr>
    </w:lvl>
  </w:abstractNum>
  <w:abstractNum w:abstractNumId="3">
    <w:nsid w:val="24A59C99"/>
    <w:multiLevelType w:val="hybridMultilevel"/>
    <w:tmpl w:val="00000000"/>
    <w:lvl w:ilvl="0">
      <w:start w:val="2"/>
      <w:numFmt w:val="decimal"/>
      <w:lvlText w:val="%1"/>
      <w:lvlJc w:val="left"/>
      <w:pPr>
        <w:ind w:left="2700" w:hanging="515"/>
        <w:jc w:val="left"/>
      </w:pPr>
      <w:rPr>
        <w:rFonts w:hint="default"/>
      </w:rPr>
    </w:lvl>
    <w:lvl w:ilvl="1">
      <w:start w:val="1"/>
      <w:numFmt w:val="decimal"/>
      <w:lvlText w:val="%1.%2"/>
      <w:lvlJc w:val="left"/>
      <w:pPr>
        <w:ind w:left="2700" w:hanging="515"/>
        <w:jc w:val="left"/>
      </w:pPr>
      <w:rPr>
        <w:rFonts w:ascii="微软雅黑" w:eastAsia="微软雅黑" w:hAnsi="微软雅黑" w:cs="微软雅黑" w:hint="default"/>
        <w:spacing w:val="-1"/>
        <w:w w:val="100"/>
        <w:sz w:val="34"/>
        <w:szCs w:val="34"/>
      </w:rPr>
    </w:lvl>
    <w:lvl w:ilvl="2">
      <w:start w:val="0"/>
      <w:numFmt w:val="bullet"/>
      <w:lvlText w:val="•"/>
      <w:lvlJc w:val="left"/>
      <w:pPr>
        <w:ind w:left="5731" w:hanging="515"/>
      </w:pPr>
      <w:rPr>
        <w:rFonts w:hint="default"/>
      </w:rPr>
    </w:lvl>
    <w:lvl w:ilvl="3">
      <w:start w:val="0"/>
      <w:numFmt w:val="bullet"/>
      <w:lvlText w:val="•"/>
      <w:lvlJc w:val="left"/>
      <w:pPr>
        <w:ind w:left="7247" w:hanging="515"/>
      </w:pPr>
      <w:rPr>
        <w:rFonts w:hint="default"/>
      </w:rPr>
    </w:lvl>
    <w:lvl w:ilvl="4">
      <w:start w:val="0"/>
      <w:numFmt w:val="bullet"/>
      <w:lvlText w:val="•"/>
      <w:lvlJc w:val="left"/>
      <w:pPr>
        <w:ind w:left="8763" w:hanging="515"/>
      </w:pPr>
      <w:rPr>
        <w:rFonts w:hint="default"/>
      </w:rPr>
    </w:lvl>
    <w:lvl w:ilvl="5">
      <w:start w:val="0"/>
      <w:numFmt w:val="bullet"/>
      <w:lvlText w:val="•"/>
      <w:lvlJc w:val="left"/>
      <w:pPr>
        <w:ind w:left="10279" w:hanging="515"/>
      </w:pPr>
      <w:rPr>
        <w:rFonts w:hint="default"/>
      </w:rPr>
    </w:lvl>
    <w:lvl w:ilvl="6">
      <w:start w:val="0"/>
      <w:numFmt w:val="bullet"/>
      <w:lvlText w:val="•"/>
      <w:lvlJc w:val="left"/>
      <w:pPr>
        <w:ind w:left="11795" w:hanging="515"/>
      </w:pPr>
      <w:rPr>
        <w:rFonts w:hint="default"/>
      </w:rPr>
    </w:lvl>
    <w:lvl w:ilvl="7">
      <w:start w:val="0"/>
      <w:numFmt w:val="bullet"/>
      <w:lvlText w:val="•"/>
      <w:lvlJc w:val="left"/>
      <w:pPr>
        <w:ind w:left="13311" w:hanging="515"/>
      </w:pPr>
      <w:rPr>
        <w:rFonts w:hint="default"/>
      </w:rPr>
    </w:lvl>
    <w:lvl w:ilvl="8">
      <w:start w:val="0"/>
      <w:numFmt w:val="bullet"/>
      <w:lvlText w:val="•"/>
      <w:lvlJc w:val="left"/>
      <w:pPr>
        <w:ind w:left="14827" w:hanging="515"/>
      </w:pPr>
      <w:rPr>
        <w:rFonts w:hint="default"/>
      </w:rPr>
    </w:lvl>
  </w:abstractNum>
  <w:abstractNum w:abstractNumId="4">
    <w:nsid w:val="4459D2F5"/>
    <w:multiLevelType w:val="hybridMultilevel"/>
    <w:tmpl w:val="00000000"/>
    <w:lvl w:ilvl="0">
      <w:start w:val="1"/>
      <w:numFmt w:val="lowerLetter"/>
      <w:lvlText w:val="%1."/>
      <w:lvlJc w:val="left"/>
      <w:pPr>
        <w:ind w:left="3706" w:hanging="287"/>
        <w:jc w:val="left"/>
      </w:pPr>
      <w:rPr>
        <w:rFonts w:ascii="微软雅黑" w:eastAsia="微软雅黑" w:hAnsi="微软雅黑" w:cs="微软雅黑" w:hint="default"/>
        <w:spacing w:val="-1"/>
        <w:w w:val="100"/>
        <w:sz w:val="34"/>
        <w:szCs w:val="34"/>
      </w:rPr>
    </w:lvl>
    <w:lvl w:ilvl="1">
      <w:start w:val="0"/>
      <w:numFmt w:val="bullet"/>
      <w:lvlText w:val="•"/>
      <w:lvlJc w:val="left"/>
      <w:pPr>
        <w:ind w:left="5115" w:hanging="287"/>
      </w:pPr>
      <w:rPr>
        <w:rFonts w:hint="default"/>
      </w:rPr>
    </w:lvl>
    <w:lvl w:ilvl="2">
      <w:start w:val="0"/>
      <w:numFmt w:val="bullet"/>
      <w:lvlText w:val="•"/>
      <w:lvlJc w:val="left"/>
      <w:pPr>
        <w:ind w:left="6531" w:hanging="287"/>
      </w:pPr>
      <w:rPr>
        <w:rFonts w:hint="default"/>
      </w:rPr>
    </w:lvl>
    <w:lvl w:ilvl="3">
      <w:start w:val="0"/>
      <w:numFmt w:val="bullet"/>
      <w:lvlText w:val="•"/>
      <w:lvlJc w:val="left"/>
      <w:pPr>
        <w:ind w:left="7947" w:hanging="287"/>
      </w:pPr>
      <w:rPr>
        <w:rFonts w:hint="default"/>
      </w:rPr>
    </w:lvl>
    <w:lvl w:ilvl="4">
      <w:start w:val="0"/>
      <w:numFmt w:val="bullet"/>
      <w:lvlText w:val="•"/>
      <w:lvlJc w:val="left"/>
      <w:pPr>
        <w:ind w:left="9363" w:hanging="287"/>
      </w:pPr>
      <w:rPr>
        <w:rFonts w:hint="default"/>
      </w:rPr>
    </w:lvl>
    <w:lvl w:ilvl="5">
      <w:start w:val="0"/>
      <w:numFmt w:val="bullet"/>
      <w:lvlText w:val="•"/>
      <w:lvlJc w:val="left"/>
      <w:pPr>
        <w:ind w:left="10779" w:hanging="287"/>
      </w:pPr>
      <w:rPr>
        <w:rFonts w:hint="default"/>
      </w:rPr>
    </w:lvl>
    <w:lvl w:ilvl="6">
      <w:start w:val="0"/>
      <w:numFmt w:val="bullet"/>
      <w:lvlText w:val="•"/>
      <w:lvlJc w:val="left"/>
      <w:pPr>
        <w:ind w:left="12195" w:hanging="287"/>
      </w:pPr>
      <w:rPr>
        <w:rFonts w:hint="default"/>
      </w:rPr>
    </w:lvl>
    <w:lvl w:ilvl="7">
      <w:start w:val="0"/>
      <w:numFmt w:val="bullet"/>
      <w:lvlText w:val="•"/>
      <w:lvlJc w:val="left"/>
      <w:pPr>
        <w:ind w:left="13611" w:hanging="287"/>
      </w:pPr>
      <w:rPr>
        <w:rFonts w:hint="default"/>
      </w:rPr>
    </w:lvl>
    <w:lvl w:ilvl="8">
      <w:start w:val="0"/>
      <w:numFmt w:val="bullet"/>
      <w:lvlText w:val="•"/>
      <w:lvlJc w:val="left"/>
      <w:pPr>
        <w:ind w:left="15027" w:hanging="287"/>
      </w:pPr>
      <w:rPr>
        <w:rFonts w:hint="default"/>
      </w:rPr>
    </w:lvl>
  </w:abstractNum>
  <w:abstractNum w:abstractNumId="5">
    <w:nsid w:val="48461B27"/>
    <w:multiLevelType w:val="hybridMultilevel"/>
    <w:tmpl w:val="00000000"/>
    <w:lvl w:ilvl="0">
      <w:start w:val="1"/>
      <w:numFmt w:val="decimal"/>
      <w:lvlText w:val="（%1）"/>
      <w:lvlJc w:val="left"/>
      <w:pPr>
        <w:ind w:left="2700" w:hanging="934"/>
        <w:jc w:val="left"/>
      </w:pPr>
      <w:rPr>
        <w:rFonts w:ascii="微软雅黑" w:eastAsia="微软雅黑" w:hAnsi="微软雅黑" w:cs="微软雅黑" w:hint="default"/>
        <w:spacing w:val="-58"/>
        <w:w w:val="100"/>
        <w:sz w:val="34"/>
        <w:szCs w:val="34"/>
      </w:rPr>
    </w:lvl>
    <w:lvl w:ilvl="1">
      <w:start w:val="0"/>
      <w:numFmt w:val="bullet"/>
      <w:lvlText w:val="•"/>
      <w:lvlJc w:val="left"/>
      <w:pPr>
        <w:ind w:left="4215" w:hanging="934"/>
      </w:pPr>
      <w:rPr>
        <w:rFonts w:hint="default"/>
      </w:rPr>
    </w:lvl>
    <w:lvl w:ilvl="2">
      <w:start w:val="0"/>
      <w:numFmt w:val="bullet"/>
      <w:lvlText w:val="•"/>
      <w:lvlJc w:val="left"/>
      <w:pPr>
        <w:ind w:left="5731" w:hanging="934"/>
      </w:pPr>
      <w:rPr>
        <w:rFonts w:hint="default"/>
      </w:rPr>
    </w:lvl>
    <w:lvl w:ilvl="3">
      <w:start w:val="0"/>
      <w:numFmt w:val="bullet"/>
      <w:lvlText w:val="•"/>
      <w:lvlJc w:val="left"/>
      <w:pPr>
        <w:ind w:left="7247" w:hanging="934"/>
      </w:pPr>
      <w:rPr>
        <w:rFonts w:hint="default"/>
      </w:rPr>
    </w:lvl>
    <w:lvl w:ilvl="4">
      <w:start w:val="0"/>
      <w:numFmt w:val="bullet"/>
      <w:lvlText w:val="•"/>
      <w:lvlJc w:val="left"/>
      <w:pPr>
        <w:ind w:left="8763" w:hanging="934"/>
      </w:pPr>
      <w:rPr>
        <w:rFonts w:hint="default"/>
      </w:rPr>
    </w:lvl>
    <w:lvl w:ilvl="5">
      <w:start w:val="0"/>
      <w:numFmt w:val="bullet"/>
      <w:lvlText w:val="•"/>
      <w:lvlJc w:val="left"/>
      <w:pPr>
        <w:ind w:left="10279" w:hanging="934"/>
      </w:pPr>
      <w:rPr>
        <w:rFonts w:hint="default"/>
      </w:rPr>
    </w:lvl>
    <w:lvl w:ilvl="6">
      <w:start w:val="0"/>
      <w:numFmt w:val="bullet"/>
      <w:lvlText w:val="•"/>
      <w:lvlJc w:val="left"/>
      <w:pPr>
        <w:ind w:left="11795" w:hanging="934"/>
      </w:pPr>
      <w:rPr>
        <w:rFonts w:hint="default"/>
      </w:rPr>
    </w:lvl>
    <w:lvl w:ilvl="7">
      <w:start w:val="0"/>
      <w:numFmt w:val="bullet"/>
      <w:lvlText w:val="•"/>
      <w:lvlJc w:val="left"/>
      <w:pPr>
        <w:ind w:left="13311" w:hanging="934"/>
      </w:pPr>
      <w:rPr>
        <w:rFonts w:hint="default"/>
      </w:rPr>
    </w:lvl>
    <w:lvl w:ilvl="8">
      <w:start w:val="0"/>
      <w:numFmt w:val="bullet"/>
      <w:lvlText w:val="•"/>
      <w:lvlJc w:val="left"/>
      <w:pPr>
        <w:ind w:left="14827" w:hanging="934"/>
      </w:pPr>
      <w:rPr>
        <w:rFonts w:hint="default"/>
      </w:rPr>
    </w:lvl>
  </w:abstractNum>
  <w:abstractNum w:abstractNumId="6">
    <w:nsid w:val="62C26960"/>
    <w:multiLevelType w:val="hybridMultilevel"/>
    <w:tmpl w:val="00000000"/>
    <w:lvl w:ilvl="0">
      <w:start w:val="0"/>
      <w:numFmt w:val="bullet"/>
      <w:lvlText w:val=""/>
      <w:lvlJc w:val="left"/>
      <w:pPr>
        <w:ind w:left="3330" w:hanging="630"/>
      </w:pPr>
      <w:rPr>
        <w:rFonts w:hint="default"/>
        <w:w w:val="100"/>
        <w:position w:val="-5"/>
      </w:rPr>
    </w:lvl>
    <w:lvl w:ilvl="1">
      <w:start w:val="0"/>
      <w:numFmt w:val="bullet"/>
      <w:lvlText w:val="•"/>
      <w:lvlJc w:val="left"/>
      <w:pPr>
        <w:ind w:left="4791" w:hanging="630"/>
      </w:pPr>
      <w:rPr>
        <w:rFonts w:hint="default"/>
      </w:rPr>
    </w:lvl>
    <w:lvl w:ilvl="2">
      <w:start w:val="0"/>
      <w:numFmt w:val="bullet"/>
      <w:lvlText w:val="•"/>
      <w:lvlJc w:val="left"/>
      <w:pPr>
        <w:ind w:left="6243" w:hanging="630"/>
      </w:pPr>
      <w:rPr>
        <w:rFonts w:hint="default"/>
      </w:rPr>
    </w:lvl>
    <w:lvl w:ilvl="3">
      <w:start w:val="0"/>
      <w:numFmt w:val="bullet"/>
      <w:lvlText w:val="•"/>
      <w:lvlJc w:val="left"/>
      <w:pPr>
        <w:ind w:left="7695" w:hanging="630"/>
      </w:pPr>
      <w:rPr>
        <w:rFonts w:hint="default"/>
      </w:rPr>
    </w:lvl>
    <w:lvl w:ilvl="4">
      <w:start w:val="0"/>
      <w:numFmt w:val="bullet"/>
      <w:lvlText w:val="•"/>
      <w:lvlJc w:val="left"/>
      <w:pPr>
        <w:ind w:left="9147" w:hanging="630"/>
      </w:pPr>
      <w:rPr>
        <w:rFonts w:hint="default"/>
      </w:rPr>
    </w:lvl>
    <w:lvl w:ilvl="5">
      <w:start w:val="0"/>
      <w:numFmt w:val="bullet"/>
      <w:lvlText w:val="•"/>
      <w:lvlJc w:val="left"/>
      <w:pPr>
        <w:ind w:left="10599" w:hanging="630"/>
      </w:pPr>
      <w:rPr>
        <w:rFonts w:hint="default"/>
      </w:rPr>
    </w:lvl>
    <w:lvl w:ilvl="6">
      <w:start w:val="0"/>
      <w:numFmt w:val="bullet"/>
      <w:lvlText w:val="•"/>
      <w:lvlJc w:val="left"/>
      <w:pPr>
        <w:ind w:left="12051" w:hanging="630"/>
      </w:pPr>
      <w:rPr>
        <w:rFonts w:hint="default"/>
      </w:rPr>
    </w:lvl>
    <w:lvl w:ilvl="7">
      <w:start w:val="0"/>
      <w:numFmt w:val="bullet"/>
      <w:lvlText w:val="•"/>
      <w:lvlJc w:val="left"/>
      <w:pPr>
        <w:ind w:left="13503" w:hanging="630"/>
      </w:pPr>
      <w:rPr>
        <w:rFonts w:hint="default"/>
      </w:rPr>
    </w:lvl>
    <w:lvl w:ilvl="8">
      <w:start w:val="0"/>
      <w:numFmt w:val="bullet"/>
      <w:lvlText w:val="•"/>
      <w:lvlJc w:val="left"/>
      <w:pPr>
        <w:ind w:left="14955" w:hanging="630"/>
      </w:pPr>
      <w:rPr>
        <w:rFonts w:hint="default"/>
      </w:rPr>
    </w:lvl>
  </w:abstractNum>
  <w:num w:numId="1">
    <w:abstractNumId w:val="2"/>
  </w:num>
  <w:num w:numId="2">
    <w:abstractNumId w:val="4"/>
  </w:num>
  <w:num w:numId="3">
    <w:abstractNumId w:val="1"/>
  </w:num>
  <w:num w:numId="4">
    <w:abstractNumId w:val="3"/>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微软雅黑" w:eastAsia="微软雅黑" w:hAnsi="微软雅黑" w:cs="微软雅黑"/>
    </w:rPr>
  </w:style>
  <w:style w:type="paragraph" w:styleId="Heading1">
    <w:name w:val="heading 1"/>
    <w:basedOn w:val="Normal"/>
    <w:uiPriority w:val="1"/>
    <w:qFormat/>
    <w:pPr>
      <w:ind w:left="4943" w:right="4943"/>
      <w:jc w:val="center"/>
      <w:outlineLvl w:val="0"/>
    </w:pPr>
    <w:rPr>
      <w:rFonts w:ascii="微软雅黑" w:eastAsia="微软雅黑" w:hAnsi="微软雅黑" w:cs="微软雅黑"/>
      <w:b/>
      <w:bCs/>
      <w:sz w:val="66"/>
      <w:szCs w:val="66"/>
    </w:rPr>
  </w:style>
  <w:style w:type="paragraph" w:styleId="Heading2">
    <w:name w:val="heading 2"/>
    <w:basedOn w:val="Normal"/>
    <w:uiPriority w:val="1"/>
    <w:qFormat/>
    <w:pPr>
      <w:ind w:left="3330"/>
      <w:outlineLvl w:val="1"/>
    </w:pPr>
    <w:rPr>
      <w:rFonts w:ascii="微软雅黑" w:eastAsia="微软雅黑" w:hAnsi="微软雅黑" w:cs="微软雅黑"/>
      <w:b/>
      <w:bCs/>
      <w:sz w:val="42"/>
      <w:szCs w:val="42"/>
    </w:rPr>
  </w:style>
  <w:style w:type="paragraph" w:styleId="Heading3">
    <w:name w:val="heading 3"/>
    <w:basedOn w:val="Normal"/>
    <w:uiPriority w:val="1"/>
    <w:qFormat/>
    <w:pPr>
      <w:ind w:left="2700"/>
      <w:outlineLvl w:val="2"/>
    </w:pPr>
    <w:rPr>
      <w:rFonts w:ascii="微软雅黑" w:eastAsia="微软雅黑" w:hAnsi="微软雅黑" w:cs="微软雅黑"/>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微软雅黑" w:eastAsia="微软雅黑" w:hAnsi="微软雅黑" w:cs="微软雅黑"/>
      <w:sz w:val="36"/>
      <w:szCs w:val="36"/>
    </w:rPr>
  </w:style>
  <w:style w:type="paragraph" w:styleId="ListParagraph">
    <w:name w:val="List Paragraph"/>
    <w:basedOn w:val="Normal"/>
    <w:uiPriority w:val="1"/>
    <w:qFormat/>
    <w:pPr>
      <w:ind w:left="2700" w:firstLine="719"/>
    </w:pPr>
    <w:rPr>
      <w:rFonts w:ascii="微软雅黑" w:eastAsia="微软雅黑" w:hAnsi="微软雅黑" w:cs="微软雅黑"/>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header" Target="header7.xml" /><Relationship Id="rId25" Type="http://schemas.openxmlformats.org/officeDocument/2006/relationships/footer" Target="footer7.xml" /><Relationship Id="rId26" Type="http://schemas.openxmlformats.org/officeDocument/2006/relationships/header" Target="header8.xml" /><Relationship Id="rId27" Type="http://schemas.openxmlformats.org/officeDocument/2006/relationships/footer" Target="footer8.xml" /><Relationship Id="rId28" Type="http://schemas.openxmlformats.org/officeDocument/2006/relationships/image" Target="media/image9.png"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9.xml" /><Relationship Id="rId31" Type="http://schemas.openxmlformats.org/officeDocument/2006/relationships/header" Target="header10.xml" /><Relationship Id="rId32" Type="http://schemas.openxmlformats.org/officeDocument/2006/relationships/footer" Target="footer10.xml" /><Relationship Id="rId33" Type="http://schemas.openxmlformats.org/officeDocument/2006/relationships/header" Target="header11.xml" /><Relationship Id="rId34" Type="http://schemas.openxmlformats.org/officeDocument/2006/relationships/footer" Target="footer11.xml" /><Relationship Id="rId35" Type="http://schemas.openxmlformats.org/officeDocument/2006/relationships/header" Target="header12.xml" /><Relationship Id="rId36" Type="http://schemas.openxmlformats.org/officeDocument/2006/relationships/footer" Target="footer12.xml" /><Relationship Id="rId37" Type="http://schemas.openxmlformats.org/officeDocument/2006/relationships/image" Target="media/image10.png" /><Relationship Id="rId38" Type="http://schemas.openxmlformats.org/officeDocument/2006/relationships/header" Target="header13.xml" /><Relationship Id="rId39" Type="http://schemas.openxmlformats.org/officeDocument/2006/relationships/footer" Target="footer13.xml" /><Relationship Id="rId4" Type="http://schemas.openxmlformats.org/officeDocument/2006/relationships/image" Target="media/image1.png" /><Relationship Id="rId40" Type="http://schemas.openxmlformats.org/officeDocument/2006/relationships/image" Target="media/image11.png" /><Relationship Id="rId41" Type="http://schemas.openxmlformats.org/officeDocument/2006/relationships/image" Target="media/image12.png" /><Relationship Id="rId42" Type="http://schemas.openxmlformats.org/officeDocument/2006/relationships/image" Target="media/image13.png" /><Relationship Id="rId43" Type="http://schemas.openxmlformats.org/officeDocument/2006/relationships/header" Target="header14.xml" /><Relationship Id="rId44" Type="http://schemas.openxmlformats.org/officeDocument/2006/relationships/footer" Target="footer14.xml" /><Relationship Id="rId45" Type="http://schemas.openxmlformats.org/officeDocument/2006/relationships/image" Target="media/image14.png" /><Relationship Id="rId46" Type="http://schemas.openxmlformats.org/officeDocument/2006/relationships/image" Target="media/image15.png" /><Relationship Id="rId47" Type="http://schemas.openxmlformats.org/officeDocument/2006/relationships/hyperlink" Target="https://d.book118.com/848131027037006030" TargetMode="External" /><Relationship Id="rId48" Type="http://schemas.openxmlformats.org/officeDocument/2006/relationships/header" Target="header15.xml" /><Relationship Id="rId49" Type="http://schemas.openxmlformats.org/officeDocument/2006/relationships/footer" Target="footer15.xml" /><Relationship Id="rId5" Type="http://schemas.openxmlformats.org/officeDocument/2006/relationships/header" Target="header1.xml"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2024-01-07T22:08:04Z</dcterms:created>
  <dcterms:modified xsi:type="dcterms:W3CDTF">2024-01-07T22:08:04Z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2022-11-05T00:00:00Z</vt:filetime>
  </property>
  <property fmtid="{D5CDD505-2E9C-101B-9397-08002B2CF9AE}" pid="3" name="LastSaved">
    <vt:filetime>2024-01-07T00:00:00Z</vt:filetime>
  </property>
</Properties>
</file>