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2018-2023年厦门演艺职业学院高职单招（数学／语文／英语）历年常考试题库含答案解析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生活在南北宋交替之际的诗人是（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《爱尔克的灯光》中故居照壁上的四个大字是（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A.礼义廉耻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B.光明正大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C.家门和顺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D.长宜子孙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A.20世纪30年代中国的农村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B.20世纪20年代中国的城市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C.20世纪30年代中国的城市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D.20世纪40年代中国的乡村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李斯的代表作是（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《选择与安排》一文选自朱光潜的论文集（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A.《悲剧心理学》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B.《谈美》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C.《谈文学》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D.《诗论》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先秦诸子散文中最富于浪漫色彩的是（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C.《荀子》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孟子在本文中用“五十步笑百步”讽刺（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A.胆小的逃兵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B.自己慢却要嘲笑别人的人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C.不行仁政的梁惠王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D.不行仁政的邻国国君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《种树郭橐驼传》一文中“故不我若也”一句从语法上看属于（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A.被动句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B.判断句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C.宾语前置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D.双宾语句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中国现代新诗发展史上有三个代表诗派，闻一多属于（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A.自由派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B.格律派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D.浪漫派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下列句子中，“且”字可译为“将近”的是（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A.外无待而犹死守，人相食且尽。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B.岂吾相不当侯邪？且固命也？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C.且臣结发而与匈奴战，今乃一得当单于。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D.虽食，且不下咽。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下列作品中，通篇采用寓言形式说理的是（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被称为“短篇小说之王”的是（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D.马克·吐温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下列诗句中化用了《诗经》中诗句的是（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A.对酒当歌，人生几何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B.山不厌高，海不厌深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C.呦呦鹿鸣，食野之苹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D.周公吐哺，天下归心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https://d.book118.com/855102240330011112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55102240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