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2024年冲击试验机行业趋势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77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一、质量管理与持续改进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_Toc20373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_Toc3989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二、可持续发展与绿色经营</w:t>
        </w:r>
        <w:r>
          <w:tab/>
        </w:r>
        <w:r>
          <w:fldChar w:fldCharType="begin"/>
        </w:r>
        <w:r>
          <w:instrText xml:space="preserve"> PAGEREF _Toc16461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_Toc10717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_Toc24883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三、冲击试验机行业财务管理分析</w:t>
        </w:r>
        <w:r>
          <w:tab/>
        </w:r>
        <w:r>
          <w:fldChar w:fldCharType="begin"/>
        </w:r>
        <w:r>
          <w:instrText xml:space="preserve"> PAGEREF _Toc19748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(一)、冲击试验机行业财务管理制度</w:t>
        </w:r>
        <w:r>
          <w:tab/>
        </w:r>
        <w:r>
          <w:fldChar w:fldCharType="begin"/>
        </w:r>
        <w:r>
          <w:instrText xml:space="preserve"> PAGEREF _Toc17765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(二)、冲击试验机行业经济效益分析</w:t>
        </w:r>
        <w:r>
          <w:tab/>
        </w:r>
        <w:r>
          <w:fldChar w:fldCharType="begin"/>
        </w:r>
        <w:r>
          <w:instrText xml:space="preserve"> PAGEREF _Toc4757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(三)、冲击试验机行业收入及成本核算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(四)、冲击试验机行业成本管理</w:t>
        </w:r>
        <w:r>
          <w:tab/>
        </w:r>
        <w:r>
          <w:fldChar w:fldCharType="begin"/>
        </w:r>
        <w:r>
          <w:instrText xml:space="preserve"> PAGEREF _Toc16227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四、制度运行与优化</w:t>
        </w:r>
        <w:r>
          <w:tab/>
        </w:r>
        <w:r>
          <w:fldChar w:fldCharType="begin"/>
        </w:r>
        <w:r>
          <w:instrText xml:space="preserve"> PAGEREF _Toc22375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_Toc1422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9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五、安全与劳动保护</w:t>
        </w:r>
        <w:r>
          <w:tab/>
        </w:r>
        <w:r>
          <w:fldChar w:fldCharType="begin"/>
        </w:r>
        <w:r>
          <w:instrText xml:space="preserve"> PAGEREF _Toc9195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_Toc28545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_Toc11019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六、制度运行与优化</w:t>
        </w:r>
        <w:r>
          <w:tab/>
        </w:r>
        <w:r>
          <w:fldChar w:fldCharType="begin"/>
        </w:r>
        <w:r>
          <w:instrText xml:space="preserve"> PAGEREF _Toc21434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_Toc24071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_Toc14663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七、资金筹措与投资分析</w:t>
        </w:r>
        <w:r>
          <w:tab/>
        </w:r>
        <w:r>
          <w:fldChar w:fldCharType="begin"/>
        </w:r>
        <w:r>
          <w:instrText xml:space="preserve"> PAGEREF _Toc25472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_Toc29084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八、项目技术流程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_Toc24356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9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_Toc23605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九、公司文化与社会责任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_Toc10451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_Toc13008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十、冲击试验机行业市场营销分析</w:t>
        </w:r>
        <w:r>
          <w:tab/>
        </w:r>
        <w:r>
          <w:fldChar w:fldCharType="begin"/>
        </w:r>
        <w:r>
          <w:instrText xml:space="preserve"> PAGEREF _Toc1088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(一)、冲击试验机行业市场营销总体思路</w:t>
        </w:r>
        <w:r>
          <w:tab/>
        </w:r>
        <w:r>
          <w:fldChar w:fldCharType="begin"/>
        </w:r>
        <w:r>
          <w:instrText xml:space="preserve"> PAGEREF _Toc5611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(二)、冲击试验机行业组织市场分析</w:t>
        </w:r>
        <w:r>
          <w:tab/>
        </w:r>
        <w:r>
          <w:fldChar w:fldCharType="begin"/>
        </w:r>
        <w:r>
          <w:instrText xml:space="preserve"> PAGEREF _Toc4715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(三)、冲击试验机行业目标市场营销战略</w:t>
        </w:r>
        <w:r>
          <w:tab/>
        </w:r>
        <w:r>
          <w:fldChar w:fldCharType="begin"/>
        </w:r>
        <w:r>
          <w:instrText xml:space="preserve"> PAGEREF _Toc32278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(四)、冲击试验机行业定价策略</w:t>
        </w:r>
        <w:r>
          <w:tab/>
        </w:r>
        <w:r>
          <w:fldChar w:fldCharType="begin"/>
        </w:r>
        <w:r>
          <w:instrText xml:space="preserve"> PAGEREF _Toc30340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(五)、冲击试验机行业促销策略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(六)、冲击试验机行业品牌策略</w:t>
        </w:r>
        <w:r>
          <w:tab/>
        </w:r>
        <w:r>
          <w:fldChar w:fldCharType="begin"/>
        </w:r>
        <w:r>
          <w:instrText xml:space="preserve"> PAGEREF _Toc27416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(七)、冲击试验机行业关系营销</w:t>
        </w:r>
        <w:r>
          <w:tab/>
        </w:r>
        <w:r>
          <w:fldChar w:fldCharType="begin"/>
        </w:r>
        <w:r>
          <w:instrText xml:space="preserve"> PAGEREF _Toc21890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(八)、冲击试验机行业体验营销</w:t>
        </w:r>
        <w:r>
          <w:tab/>
        </w:r>
        <w:r>
          <w:fldChar w:fldCharType="begin"/>
        </w:r>
        <w:r>
          <w:instrText xml:space="preserve"> PAGEREF _Toc3111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(九)、冲击试验机行业互联网营销</w:t>
        </w:r>
        <w:r>
          <w:tab/>
        </w:r>
        <w:r>
          <w:fldChar w:fldCharType="begin"/>
        </w:r>
        <w:r>
          <w:instrText xml:space="preserve"> PAGEREF _Toc10429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十一、冲击试验机行业制度建设与执行</w:t>
        </w:r>
        <w:r>
          <w:tab/>
        </w:r>
        <w:r>
          <w:fldChar w:fldCharType="begin"/>
        </w:r>
        <w:r>
          <w:instrText xml:space="preserve"> PAGEREF _Toc27349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_Toc32667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_Toc25228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_Toc30511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_Toc23441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十二、冲击试验机行业公司治理与社会责任</w:t>
        </w:r>
        <w:r>
          <w:tab/>
        </w:r>
        <w:r>
          <w:fldChar w:fldCharType="begin"/>
        </w:r>
        <w:r>
          <w:instrText xml:space="preserve"> PAGEREF _Toc30587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_Toc30914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_Toc9548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_Toc16443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_Toc14517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https://d.book118.com/855232200133011043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3930B66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55232200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