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line="254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before="254" w:line="291" w:lineRule="auto"/>
        <w:ind w:left="2873" w:hanging="2710"/>
        <w:outlineLvl w:val="0"/>
        <w:rPr>
          <w:rFonts w:ascii="黑体" w:eastAsia="黑体" w:hAnsi="黑体" w:cs="黑体"/>
          <w:sz w:val="78"/>
          <w:szCs w:val="78"/>
        </w:rPr>
      </w:pPr>
      <w:r>
        <w:rPr>
          <w:rFonts w:ascii="黑体" w:eastAsia="黑体" w:hAnsi="黑体" w:cs="黑体"/>
          <w:spacing w:val="8"/>
          <w:sz w:val="78"/>
          <w:szCs w:val="78"/>
        </w:rPr>
        <w:t>国内建设项目</w:t>
      </w:r>
      <w:r>
        <w:rPr>
          <w:rFonts w:ascii="黑体" w:eastAsia="黑体" w:hAnsi="黑体" w:cs="黑体"/>
          <w:spacing w:val="-75"/>
          <w:sz w:val="78"/>
          <w:szCs w:val="78"/>
        </w:rPr>
        <w:t xml:space="preserve"> </w:t>
      </w:r>
      <w:r>
        <w:rPr>
          <w:sz w:val="78"/>
          <w:szCs w:val="78"/>
        </w:rPr>
        <w:t>PPP</w:t>
      </w:r>
      <w:r>
        <w:rPr>
          <w:spacing w:val="105"/>
          <w:sz w:val="78"/>
          <w:szCs w:val="78"/>
        </w:rPr>
        <w:t xml:space="preserve"> </w:t>
      </w:r>
      <w:r>
        <w:rPr>
          <w:rFonts w:ascii="黑体" w:eastAsia="黑体" w:hAnsi="黑体" w:cs="黑体"/>
          <w:spacing w:val="8"/>
          <w:sz w:val="78"/>
          <w:szCs w:val="78"/>
        </w:rPr>
        <w:t>模</w:t>
      </w:r>
      <w:r>
        <w:rPr>
          <w:rFonts w:ascii="黑体" w:eastAsia="黑体" w:hAnsi="黑体" w:cs="黑体"/>
          <w:spacing w:val="-163"/>
          <w:sz w:val="78"/>
          <w:szCs w:val="78"/>
        </w:rPr>
        <w:t xml:space="preserve"> </w:t>
      </w:r>
      <w:r>
        <w:rPr>
          <w:rFonts w:ascii="黑体" w:eastAsia="黑体" w:hAnsi="黑体" w:cs="黑体"/>
          <w:spacing w:val="8"/>
          <w:sz w:val="78"/>
          <w:szCs w:val="78"/>
        </w:rPr>
        <w:t>式</w:t>
      </w:r>
      <w:r>
        <w:rPr>
          <w:rFonts w:ascii="黑体" w:eastAsia="黑体" w:hAnsi="黑体" w:cs="黑体"/>
          <w:sz w:val="78"/>
          <w:szCs w:val="78"/>
        </w:rPr>
        <w:t xml:space="preserve"> </w:t>
      </w:r>
      <w:r>
        <w:rPr>
          <w:rFonts w:ascii="黑体" w:eastAsia="黑体" w:hAnsi="黑体" w:cs="黑体"/>
          <w:spacing w:val="41"/>
          <w:sz w:val="78"/>
          <w:szCs w:val="78"/>
        </w:rPr>
        <w:t>实务案例</w:t>
      </w: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spacing w:before="94" w:line="223" w:lineRule="auto"/>
        <w:ind w:left="3127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b/>
          <w:bCs/>
          <w:spacing w:val="41"/>
          <w:sz w:val="29"/>
          <w:szCs w:val="29"/>
        </w:rPr>
        <w:t>日期：2015年11月</w:t>
      </w:r>
    </w:p>
    <w:p>
      <w:pPr>
        <w:spacing w:line="223" w:lineRule="auto"/>
        <w:rPr>
          <w:rFonts w:ascii="黑体" w:eastAsia="黑体" w:hAnsi="黑体" w:cs="黑体"/>
          <w:sz w:val="29"/>
          <w:szCs w:val="29"/>
        </w:rPr>
        <w:sectPr>
          <w:pgSz w:w="11910" w:h="16840"/>
          <w:pgMar w:top="1431" w:right="1229" w:bottom="0" w:left="1786" w:header="0" w:footer="0" w:gutter="0"/>
          <w:cols w:space="708"/>
        </w:sectPr>
      </w:pPr>
    </w:p>
    <w:p>
      <w:pPr>
        <w:pStyle w:val="BodyText"/>
        <w:spacing w:line="468" w:lineRule="auto"/>
      </w:pPr>
    </w:p>
    <w:p>
      <w:pPr>
        <w:spacing w:before="72" w:line="222" w:lineRule="auto"/>
        <w:ind w:left="3916"/>
        <w:rPr>
          <w:rFonts w:ascii="黑体" w:eastAsia="黑体" w:hAnsi="黑体" w:cs="黑体"/>
          <w:sz w:val="22"/>
          <w:szCs w:val="22"/>
        </w:rPr>
      </w:pPr>
      <w:r>
        <w:rPr>
          <w:rFonts w:ascii="黑体" w:eastAsia="黑体" w:hAnsi="黑体" w:cs="黑体"/>
          <w:b/>
          <w:bCs/>
          <w:color w:val="175194"/>
          <w:spacing w:val="-21"/>
          <w:sz w:val="22"/>
          <w:szCs w:val="22"/>
        </w:rPr>
        <w:t>目</w:t>
      </w:r>
      <w:r>
        <w:rPr>
          <w:rFonts w:ascii="黑体" w:eastAsia="黑体" w:hAnsi="黑体" w:cs="黑体"/>
          <w:color w:val="175194"/>
          <w:spacing w:val="31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color w:val="175194"/>
          <w:spacing w:val="-21"/>
          <w:sz w:val="22"/>
          <w:szCs w:val="22"/>
        </w:rPr>
        <w:t>录</w:t>
      </w:r>
    </w:p>
    <w:p>
      <w:pPr>
        <w:tabs>
          <w:tab w:val="right" w:leader="dot" w:pos="8285"/>
        </w:tabs>
        <w:spacing w:before="54" w:line="221" w:lineRule="auto"/>
        <w:ind w:left="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5"/>
          <w:sz w:val="22"/>
          <w:szCs w:val="22"/>
        </w:rPr>
        <w:t>背景介绍</w:t>
      </w:r>
      <w:r>
        <w:rPr>
          <w:rFonts w:ascii="黑体" w:eastAsia="黑体" w:hAnsi="黑体" w:cs="黑体"/>
          <w:b/>
          <w:bCs/>
          <w:sz w:val="22"/>
          <w:szCs w:val="22"/>
        </w:rPr>
        <w:tab/>
      </w:r>
      <w:r>
        <w:rPr>
          <w:rFonts w:ascii="黑体" w:eastAsia="黑体" w:hAnsi="黑体" w:cs="黑体"/>
          <w:spacing w:val="-51"/>
          <w:sz w:val="22"/>
          <w:szCs w:val="22"/>
        </w:rPr>
        <w:t xml:space="preserve"> </w:t>
      </w:r>
      <w:hyperlink w:anchor="bookmark1" w:history="1">
        <w:r>
          <w:rPr>
            <w:rFonts w:ascii="Times New Roman" w:eastAsia="Times New Roman" w:hAnsi="Times New Roman" w:cs="Times New Roman"/>
            <w:b/>
            <w:bCs/>
            <w:sz w:val="22"/>
            <w:szCs w:val="22"/>
          </w:rPr>
          <w:t>5</w:t>
        </w:r>
      </w:hyperlink>
    </w:p>
    <w:p>
      <w:pPr>
        <w:tabs>
          <w:tab w:val="right" w:leader="dot" w:pos="8295"/>
        </w:tabs>
        <w:spacing w:before="155" w:line="219" w:lineRule="auto"/>
        <w:ind w:left="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20"/>
          <w:sz w:val="22"/>
          <w:szCs w:val="22"/>
        </w:rPr>
        <w:t>案例1:杭州地铁1号线工程</w:t>
      </w:r>
      <w:r>
        <w:rPr>
          <w:rFonts w:ascii="黑体" w:eastAsia="黑体" w:hAnsi="黑体" w:cs="黑体"/>
          <w:spacing w:val="-85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r>
        <w:rPr>
          <w:rFonts w:ascii="黑体" w:eastAsia="黑体" w:hAnsi="黑体" w:cs="黑体"/>
          <w:spacing w:val="-31"/>
          <w:sz w:val="22"/>
          <w:szCs w:val="22"/>
        </w:rPr>
        <w:t xml:space="preserve"> </w:t>
      </w:r>
      <w:hyperlink w:anchor="bookmark2" w:history="1">
        <w:r>
          <w:rPr>
            <w:rFonts w:ascii="Times New Roman" w:eastAsia="Times New Roman" w:hAnsi="Times New Roman" w:cs="Times New Roman"/>
            <w:b/>
            <w:bCs/>
            <w:sz w:val="22"/>
            <w:szCs w:val="22"/>
          </w:rPr>
          <w:t>8</w:t>
        </w:r>
      </w:hyperlink>
    </w:p>
    <w:p>
      <w:pPr>
        <w:tabs>
          <w:tab w:val="right" w:leader="dot" w:pos="8287"/>
        </w:tabs>
        <w:spacing w:before="170" w:line="221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4"/>
          <w:sz w:val="22"/>
          <w:szCs w:val="22"/>
        </w:rPr>
        <w:t>一、项目概况</w:t>
      </w:r>
      <w:r>
        <w:rPr>
          <w:rFonts w:ascii="黑体" w:eastAsia="黑体" w:hAnsi="黑体" w:cs="黑体"/>
          <w:spacing w:val="-85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r>
        <w:rPr>
          <w:rFonts w:ascii="黑体" w:eastAsia="黑体" w:hAnsi="黑体" w:cs="黑体"/>
          <w:spacing w:val="-21"/>
          <w:sz w:val="22"/>
          <w:szCs w:val="22"/>
        </w:rPr>
        <w:t xml:space="preserve"> </w:t>
      </w:r>
      <w:hyperlink w:anchor="bookmark3" w:history="1">
        <w:r>
          <w:rPr>
            <w:rFonts w:ascii="Times New Roman" w:eastAsia="Times New Roman" w:hAnsi="Times New Roman" w:cs="Times New Roman"/>
            <w:b/>
            <w:bCs/>
            <w:sz w:val="22"/>
            <w:szCs w:val="22"/>
          </w:rPr>
          <w:t>8</w:t>
        </w:r>
      </w:hyperlink>
    </w:p>
    <w:p>
      <w:pPr>
        <w:tabs>
          <w:tab w:val="right" w:leader="dot" w:pos="8275"/>
        </w:tabs>
        <w:spacing w:before="157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二</w:t>
      </w:r>
      <w:r>
        <w:rPr>
          <w:rFonts w:ascii="黑体" w:eastAsia="黑体" w:hAnsi="黑体" w:cs="黑体"/>
          <w:spacing w:val="-31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、运作模式</w:t>
      </w:r>
      <w:r>
        <w:rPr>
          <w:rFonts w:ascii="黑体" w:eastAsia="黑体" w:hAnsi="黑体" w:cs="黑体"/>
          <w:spacing w:val="-86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r>
        <w:rPr>
          <w:rFonts w:ascii="黑体" w:eastAsia="黑体" w:hAnsi="黑体" w:cs="黑体"/>
          <w:spacing w:val="-71"/>
          <w:sz w:val="22"/>
          <w:szCs w:val="22"/>
        </w:rPr>
        <w:t xml:space="preserve"> </w:t>
      </w:r>
      <w:hyperlink w:anchor="bookmark4" w:history="1">
        <w:r>
          <w:rPr>
            <w:rFonts w:ascii="Times New Roman" w:eastAsia="Times New Roman" w:hAnsi="Times New Roman" w:cs="Times New Roman"/>
            <w:b/>
            <w:bCs/>
            <w:sz w:val="22"/>
            <w:szCs w:val="22"/>
          </w:rPr>
          <w:t>9</w:t>
        </w:r>
      </w:hyperlink>
    </w:p>
    <w:p>
      <w:pPr>
        <w:tabs>
          <w:tab w:val="right" w:leader="dot" w:pos="8297"/>
        </w:tabs>
        <w:spacing w:before="155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8"/>
          <w:sz w:val="22"/>
          <w:szCs w:val="22"/>
        </w:rPr>
        <w:t>三</w:t>
      </w:r>
      <w:r>
        <w:rPr>
          <w:rFonts w:ascii="黑体" w:eastAsia="黑体" w:hAnsi="黑体" w:cs="黑体"/>
          <w:spacing w:val="-22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8"/>
          <w:sz w:val="22"/>
          <w:szCs w:val="22"/>
        </w:rPr>
        <w:t>、经验借鉴</w:t>
      </w:r>
      <w:r>
        <w:rPr>
          <w:rFonts w:ascii="黑体" w:eastAsia="黑体" w:hAnsi="黑体" w:cs="黑体"/>
          <w:spacing w:val="-89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5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12</w:t>
        </w:r>
      </w:hyperlink>
    </w:p>
    <w:p>
      <w:pPr>
        <w:tabs>
          <w:tab w:val="right" w:leader="dot" w:pos="8307"/>
        </w:tabs>
        <w:spacing w:before="145" w:line="222" w:lineRule="auto"/>
        <w:ind w:left="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12"/>
          <w:sz w:val="22"/>
          <w:szCs w:val="22"/>
        </w:rPr>
        <w:t>案例2:杭州市文一路地下通道(保做北路~紫</w:t>
      </w:r>
      <w:r>
        <w:rPr>
          <w:rFonts w:ascii="黑体" w:eastAsia="黑体" w:hAnsi="黑体" w:cs="黑体"/>
          <w:b/>
          <w:bCs/>
          <w:spacing w:val="11"/>
          <w:sz w:val="22"/>
          <w:szCs w:val="22"/>
        </w:rPr>
        <w:t>金港路)工程</w:t>
      </w:r>
      <w:r>
        <w:rPr>
          <w:rFonts w:ascii="黑体" w:eastAsia="黑体" w:hAnsi="黑体" w:cs="黑体"/>
          <w:spacing w:val="-85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6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13</w:t>
        </w:r>
      </w:hyperlink>
    </w:p>
    <w:p>
      <w:pPr>
        <w:tabs>
          <w:tab w:val="right" w:leader="dot" w:pos="8279"/>
        </w:tabs>
        <w:spacing w:before="155" w:line="221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8"/>
          <w:sz w:val="22"/>
          <w:szCs w:val="22"/>
        </w:rPr>
        <w:t>一、项目概况</w:t>
      </w:r>
      <w:r>
        <w:rPr>
          <w:rFonts w:ascii="黑体" w:eastAsia="黑体" w:hAnsi="黑体" w:cs="黑体"/>
          <w:spacing w:val="-71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7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13</w:t>
        </w:r>
      </w:hyperlink>
    </w:p>
    <w:p>
      <w:pPr>
        <w:tabs>
          <w:tab w:val="right" w:leader="dot" w:pos="8289"/>
        </w:tabs>
        <w:spacing w:before="157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1"/>
          <w:sz w:val="22"/>
          <w:szCs w:val="22"/>
        </w:rPr>
        <w:t>二、运作模式</w:t>
      </w:r>
      <w:r>
        <w:rPr>
          <w:rFonts w:ascii="黑体" w:eastAsia="黑体" w:hAnsi="黑体" w:cs="黑体"/>
          <w:spacing w:val="-84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8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14</w:t>
        </w:r>
      </w:hyperlink>
    </w:p>
    <w:p>
      <w:pPr>
        <w:tabs>
          <w:tab w:val="right" w:leader="dot" w:pos="8259"/>
        </w:tabs>
        <w:spacing w:before="166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6"/>
          <w:sz w:val="22"/>
          <w:szCs w:val="22"/>
        </w:rPr>
        <w:t>三</w:t>
      </w:r>
      <w:r>
        <w:rPr>
          <w:rFonts w:ascii="黑体" w:eastAsia="黑体" w:hAnsi="黑体" w:cs="黑体"/>
          <w:spacing w:val="-34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6"/>
          <w:sz w:val="22"/>
          <w:szCs w:val="22"/>
        </w:rPr>
        <w:t>、经验借鉴</w:t>
      </w:r>
      <w:r>
        <w:rPr>
          <w:rFonts w:ascii="黑体" w:eastAsia="黑体" w:hAnsi="黑体" w:cs="黑体"/>
          <w:spacing w:val="-89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9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14</w:t>
        </w:r>
      </w:hyperlink>
    </w:p>
    <w:p>
      <w:pPr>
        <w:tabs>
          <w:tab w:val="right" w:leader="dot" w:pos="8297"/>
        </w:tabs>
        <w:spacing w:before="145" w:line="221" w:lineRule="auto"/>
        <w:ind w:left="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4"/>
          <w:sz w:val="22"/>
          <w:szCs w:val="22"/>
        </w:rPr>
        <w:t>案列3:绍兴市嵊新污水处理一期工程、提标改造工程及污泥处置工程</w:t>
      </w:r>
      <w:r>
        <w:rPr>
          <w:rFonts w:ascii="黑体" w:eastAsia="黑体" w:hAnsi="黑体" w:cs="黑体"/>
          <w:spacing w:val="-80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10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15</w:t>
        </w:r>
      </w:hyperlink>
    </w:p>
    <w:p>
      <w:pPr>
        <w:tabs>
          <w:tab w:val="right" w:leader="dot" w:pos="8257"/>
        </w:tabs>
        <w:spacing w:before="170" w:line="221" w:lineRule="auto"/>
        <w:ind w:left="21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-14"/>
          <w:sz w:val="22"/>
          <w:szCs w:val="22"/>
        </w:rPr>
        <w:t>一</w:t>
      </w:r>
      <w:r>
        <w:rPr>
          <w:rFonts w:ascii="黑体" w:eastAsia="黑体" w:hAnsi="黑体" w:cs="黑体"/>
          <w:spacing w:val="-28"/>
          <w:sz w:val="22"/>
          <w:szCs w:val="22"/>
        </w:rPr>
        <w:t xml:space="preserve"> </w:t>
      </w:r>
      <w:r>
        <w:rPr>
          <w:rFonts w:ascii="黑体" w:eastAsia="黑体" w:hAnsi="黑体" w:cs="黑体"/>
          <w:spacing w:val="-14"/>
          <w:sz w:val="22"/>
          <w:szCs w:val="22"/>
        </w:rPr>
        <w:t>、项目概况</w:t>
      </w:r>
      <w:r>
        <w:rPr>
          <w:rFonts w:ascii="黑体" w:eastAsia="黑体" w:hAnsi="黑体" w:cs="黑体"/>
          <w:spacing w:val="-89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11" w:history="1">
        <w:r>
          <w:rPr>
            <w:rFonts w:ascii="Times New Roman" w:eastAsia="Times New Roman" w:hAnsi="Times New Roman" w:cs="Times New Roman"/>
            <w:spacing w:val="-5"/>
            <w:sz w:val="22"/>
            <w:szCs w:val="22"/>
          </w:rPr>
          <w:t>15</w:t>
        </w:r>
      </w:hyperlink>
    </w:p>
    <w:p>
      <w:pPr>
        <w:tabs>
          <w:tab w:val="right" w:leader="dot" w:pos="8289"/>
        </w:tabs>
        <w:spacing w:before="154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1"/>
          <w:sz w:val="22"/>
          <w:szCs w:val="22"/>
        </w:rPr>
        <w:t>二、运作模式</w:t>
      </w:r>
      <w:r>
        <w:rPr>
          <w:rFonts w:ascii="黑体" w:eastAsia="黑体" w:hAnsi="黑体" w:cs="黑体"/>
          <w:spacing w:val="-84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12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16</w:t>
        </w:r>
      </w:hyperlink>
    </w:p>
    <w:p>
      <w:pPr>
        <w:tabs>
          <w:tab w:val="right" w:leader="dot" w:pos="8259"/>
        </w:tabs>
        <w:spacing w:before="155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6"/>
          <w:sz w:val="22"/>
          <w:szCs w:val="22"/>
        </w:rPr>
        <w:t>三</w:t>
      </w:r>
      <w:r>
        <w:rPr>
          <w:rFonts w:ascii="黑体" w:eastAsia="黑体" w:hAnsi="黑体" w:cs="黑体"/>
          <w:spacing w:val="-34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6"/>
          <w:sz w:val="22"/>
          <w:szCs w:val="22"/>
        </w:rPr>
        <w:t>、经验借鉴</w:t>
      </w:r>
      <w:r>
        <w:rPr>
          <w:rFonts w:ascii="黑体" w:eastAsia="黑体" w:hAnsi="黑体" w:cs="黑体"/>
          <w:spacing w:val="-89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13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16</w:t>
        </w:r>
      </w:hyperlink>
    </w:p>
    <w:p>
      <w:pPr>
        <w:tabs>
          <w:tab w:val="right" w:leader="dot" w:pos="8297"/>
        </w:tabs>
        <w:spacing w:before="155" w:line="222" w:lineRule="auto"/>
        <w:ind w:left="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8"/>
          <w:sz w:val="22"/>
          <w:szCs w:val="22"/>
        </w:rPr>
        <w:t>案例4:常山县天马污水处理厂改扩建工程</w:t>
      </w:r>
      <w:r>
        <w:rPr>
          <w:rFonts w:ascii="黑体" w:eastAsia="黑体" w:hAnsi="黑体" w:cs="黑体"/>
          <w:spacing w:val="-70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14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17</w:t>
        </w:r>
      </w:hyperlink>
    </w:p>
    <w:p>
      <w:pPr>
        <w:tabs>
          <w:tab w:val="right" w:leader="dot" w:pos="8269"/>
        </w:tabs>
        <w:spacing w:before="145" w:line="221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8"/>
          <w:sz w:val="22"/>
          <w:szCs w:val="22"/>
        </w:rPr>
        <w:t>一、项目概况</w:t>
      </w:r>
      <w:r>
        <w:rPr>
          <w:rFonts w:ascii="黑体" w:eastAsia="黑体" w:hAnsi="黑体" w:cs="黑体"/>
          <w:spacing w:val="-71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15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17</w:t>
        </w:r>
      </w:hyperlink>
    </w:p>
    <w:p>
      <w:pPr>
        <w:tabs>
          <w:tab w:val="right" w:leader="dot" w:pos="8259"/>
        </w:tabs>
        <w:spacing w:before="168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二</w:t>
      </w:r>
      <w:r>
        <w:rPr>
          <w:rFonts w:ascii="黑体" w:eastAsia="黑体" w:hAnsi="黑体" w:cs="黑体"/>
          <w:spacing w:val="-31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、运作模式</w:t>
      </w:r>
      <w:r>
        <w:rPr>
          <w:rFonts w:ascii="黑体" w:eastAsia="黑体" w:hAnsi="黑体" w:cs="黑体"/>
          <w:spacing w:val="-86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16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17</w:t>
        </w:r>
      </w:hyperlink>
    </w:p>
    <w:p>
      <w:pPr>
        <w:tabs>
          <w:tab w:val="right" w:leader="dot" w:pos="8287"/>
        </w:tabs>
        <w:spacing w:before="165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2"/>
          <w:sz w:val="22"/>
          <w:szCs w:val="22"/>
        </w:rPr>
        <w:t>三、经验借鉴</w:t>
      </w:r>
      <w:r>
        <w:rPr>
          <w:rFonts w:ascii="黑体" w:eastAsia="黑体" w:hAnsi="黑体" w:cs="黑体"/>
          <w:spacing w:val="-87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17" w:history="1">
        <w:r>
          <w:rPr>
            <w:rFonts w:ascii="Times New Roman" w:eastAsia="Times New Roman" w:hAnsi="Times New Roman" w:cs="Times New Roman"/>
            <w:b/>
            <w:bCs/>
            <w:spacing w:val="-9"/>
            <w:sz w:val="22"/>
            <w:szCs w:val="22"/>
          </w:rPr>
          <w:t>17</w:t>
        </w:r>
      </w:hyperlink>
    </w:p>
    <w:p>
      <w:pPr>
        <w:tabs>
          <w:tab w:val="right" w:leader="dot" w:pos="8307"/>
        </w:tabs>
        <w:spacing w:before="144" w:line="220" w:lineRule="auto"/>
        <w:ind w:left="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10"/>
          <w:sz w:val="22"/>
          <w:szCs w:val="22"/>
        </w:rPr>
        <w:t>案例5:玉环县生活垃圾焚烧发电一期工程</w:t>
      </w:r>
      <w:r>
        <w:rPr>
          <w:rFonts w:ascii="黑体" w:eastAsia="黑体" w:hAnsi="黑体" w:cs="黑体"/>
          <w:spacing w:val="-78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18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18</w:t>
        </w:r>
      </w:hyperlink>
    </w:p>
    <w:p>
      <w:pPr>
        <w:tabs>
          <w:tab w:val="right" w:leader="dot" w:pos="8279"/>
        </w:tabs>
        <w:spacing w:before="149" w:line="221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4"/>
          <w:sz w:val="22"/>
          <w:szCs w:val="22"/>
        </w:rPr>
        <w:t>一、项目概况</w:t>
      </w:r>
      <w:r>
        <w:rPr>
          <w:rFonts w:ascii="黑体" w:eastAsia="黑体" w:hAnsi="黑体" w:cs="黑体"/>
          <w:spacing w:val="-85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19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18</w:t>
        </w:r>
      </w:hyperlink>
    </w:p>
    <w:p>
      <w:pPr>
        <w:tabs>
          <w:tab w:val="right" w:leader="dot" w:pos="8289"/>
        </w:tabs>
        <w:spacing w:before="167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1"/>
          <w:sz w:val="22"/>
          <w:szCs w:val="22"/>
        </w:rPr>
        <w:t>二、运作模式</w:t>
      </w:r>
      <w:r>
        <w:rPr>
          <w:rFonts w:ascii="黑体" w:eastAsia="黑体" w:hAnsi="黑体" w:cs="黑体"/>
          <w:spacing w:val="-84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20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18</w:t>
        </w:r>
      </w:hyperlink>
    </w:p>
    <w:p>
      <w:pPr>
        <w:tabs>
          <w:tab w:val="right" w:leader="dot" w:pos="8297"/>
        </w:tabs>
        <w:spacing w:before="164" w:line="219" w:lineRule="auto"/>
        <w:ind w:left="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41"/>
          <w:sz w:val="22"/>
          <w:szCs w:val="22"/>
        </w:rPr>
        <w:t>案例6:北京地铁4号线项目</w:t>
      </w:r>
      <w:r>
        <w:rPr>
          <w:rFonts w:ascii="黑体" w:eastAsia="黑体" w:hAnsi="黑体" w:cs="黑体"/>
          <w:b/>
          <w:bCs/>
          <w:sz w:val="22"/>
          <w:szCs w:val="22"/>
        </w:rPr>
        <w:tab/>
      </w:r>
      <w:hyperlink w:anchor="bookmark21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19</w:t>
        </w:r>
      </w:hyperlink>
    </w:p>
    <w:p>
      <w:pPr>
        <w:tabs>
          <w:tab w:val="right" w:leader="dot" w:pos="8297"/>
        </w:tabs>
        <w:spacing w:before="150" w:line="221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1"/>
          <w:sz w:val="22"/>
          <w:szCs w:val="22"/>
        </w:rPr>
        <w:t>一、项目概况</w:t>
      </w:r>
      <w:r>
        <w:rPr>
          <w:rFonts w:ascii="黑体" w:eastAsia="黑体" w:hAnsi="黑体" w:cs="黑体"/>
          <w:spacing w:val="-84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22" w:history="1">
        <w:r>
          <w:rPr>
            <w:rFonts w:ascii="Times New Roman" w:eastAsia="Times New Roman" w:hAnsi="Times New Roman" w:cs="Times New Roman"/>
            <w:b/>
            <w:bCs/>
            <w:spacing w:val="-1"/>
            <w:sz w:val="22"/>
            <w:szCs w:val="22"/>
          </w:rPr>
          <w:t>19</w:t>
        </w:r>
      </w:hyperlink>
    </w:p>
    <w:p>
      <w:pPr>
        <w:tabs>
          <w:tab w:val="right" w:leader="dot" w:pos="8287"/>
        </w:tabs>
        <w:spacing w:before="157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1"/>
          <w:sz w:val="22"/>
          <w:szCs w:val="22"/>
        </w:rPr>
        <w:t>二、运作模式</w:t>
      </w:r>
      <w:r>
        <w:rPr>
          <w:rFonts w:ascii="黑体" w:eastAsia="黑体" w:hAnsi="黑体" w:cs="黑体"/>
          <w:spacing w:val="-84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23" w:history="1">
        <w:r>
          <w:rPr>
            <w:rFonts w:ascii="Times New Roman" w:eastAsia="Times New Roman" w:hAnsi="Times New Roman" w:cs="Times New Roman"/>
            <w:b/>
            <w:bCs/>
            <w:spacing w:val="3"/>
            <w:sz w:val="22"/>
            <w:szCs w:val="22"/>
          </w:rPr>
          <w:t>20</w:t>
        </w:r>
      </w:hyperlink>
    </w:p>
    <w:p>
      <w:pPr>
        <w:tabs>
          <w:tab w:val="right" w:leader="dot" w:pos="8307"/>
        </w:tabs>
        <w:spacing w:before="156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三</w:t>
      </w:r>
      <w:r>
        <w:rPr>
          <w:rFonts w:ascii="黑体" w:eastAsia="黑体" w:hAnsi="黑体" w:cs="黑体"/>
          <w:spacing w:val="-29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、借鉴价值</w:t>
      </w:r>
      <w:r>
        <w:rPr>
          <w:rFonts w:ascii="黑体" w:eastAsia="黑体" w:hAnsi="黑体" w:cs="黑体"/>
          <w:spacing w:val="-88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24" w:history="1">
        <w:r>
          <w:rPr>
            <w:rFonts w:ascii="Times New Roman" w:eastAsia="Times New Roman" w:hAnsi="Times New Roman" w:cs="Times New Roman"/>
            <w:b/>
            <w:bCs/>
            <w:spacing w:val="3"/>
            <w:sz w:val="22"/>
            <w:szCs w:val="22"/>
          </w:rPr>
          <w:t>23</w:t>
        </w:r>
      </w:hyperlink>
    </w:p>
    <w:p>
      <w:pPr>
        <w:tabs>
          <w:tab w:val="right" w:leader="dot" w:pos="8307"/>
        </w:tabs>
        <w:spacing w:before="157" w:line="220" w:lineRule="auto"/>
        <w:ind w:left="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9"/>
          <w:sz w:val="22"/>
          <w:szCs w:val="22"/>
        </w:rPr>
        <w:t>案例7:大理市生活垃圾处置城乡一体化系统工程</w:t>
      </w:r>
      <w:r>
        <w:rPr>
          <w:rFonts w:ascii="黑体" w:eastAsia="黑体" w:hAnsi="黑体" w:cs="黑体"/>
          <w:spacing w:val="-80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25" w:history="1">
        <w:r>
          <w:rPr>
            <w:rFonts w:ascii="Times New Roman" w:eastAsia="Times New Roman" w:hAnsi="Times New Roman" w:cs="Times New Roman"/>
            <w:sz w:val="22"/>
            <w:szCs w:val="22"/>
          </w:rPr>
          <w:t>26</w:t>
        </w:r>
      </w:hyperlink>
    </w:p>
    <w:p>
      <w:pPr>
        <w:tabs>
          <w:tab w:val="right" w:leader="dot" w:pos="8287"/>
        </w:tabs>
        <w:spacing w:before="155" w:line="221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4"/>
          <w:sz w:val="22"/>
          <w:szCs w:val="22"/>
        </w:rPr>
        <w:t>一、项目概况</w:t>
      </w:r>
      <w:r>
        <w:rPr>
          <w:rFonts w:ascii="黑体" w:eastAsia="黑体" w:hAnsi="黑体" w:cs="黑体"/>
          <w:spacing w:val="-85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26" w:history="1">
        <w:r>
          <w:rPr>
            <w:rFonts w:ascii="Times New Roman" w:eastAsia="Times New Roman" w:hAnsi="Times New Roman" w:cs="Times New Roman"/>
            <w:b/>
            <w:bCs/>
            <w:spacing w:val="3"/>
            <w:sz w:val="22"/>
            <w:szCs w:val="22"/>
          </w:rPr>
          <w:t>26</w:t>
        </w:r>
      </w:hyperlink>
    </w:p>
    <w:p>
      <w:pPr>
        <w:tabs>
          <w:tab w:val="right" w:leader="dot" w:pos="8277"/>
        </w:tabs>
        <w:spacing w:before="151" w:line="222" w:lineRule="auto"/>
        <w:ind w:left="21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-6"/>
          <w:sz w:val="22"/>
          <w:szCs w:val="22"/>
        </w:rPr>
        <w:t>二、运作模式</w:t>
      </w:r>
      <w:r>
        <w:rPr>
          <w:rFonts w:ascii="黑体" w:eastAsia="黑体" w:hAnsi="黑体" w:cs="黑体"/>
          <w:spacing w:val="-66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27" w:history="1">
        <w:r>
          <w:rPr>
            <w:rFonts w:ascii="Times New Roman" w:eastAsia="Times New Roman" w:hAnsi="Times New Roman" w:cs="Times New Roman"/>
            <w:sz w:val="22"/>
            <w:szCs w:val="22"/>
          </w:rPr>
          <w:t>27</w:t>
        </w:r>
      </w:hyperlink>
    </w:p>
    <w:p>
      <w:pPr>
        <w:tabs>
          <w:tab w:val="right" w:leader="dot" w:pos="8297"/>
        </w:tabs>
        <w:spacing w:before="162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三</w:t>
      </w:r>
      <w:r>
        <w:rPr>
          <w:rFonts w:ascii="黑体" w:eastAsia="黑体" w:hAnsi="黑体" w:cs="黑体"/>
          <w:spacing w:val="-29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、借鉴价值</w:t>
      </w:r>
      <w:r>
        <w:rPr>
          <w:rFonts w:ascii="黑体" w:eastAsia="黑体" w:hAnsi="黑体" w:cs="黑体"/>
          <w:spacing w:val="-88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28" w:history="1">
        <w:r>
          <w:rPr>
            <w:rFonts w:ascii="Times New Roman" w:eastAsia="Times New Roman" w:hAnsi="Times New Roman" w:cs="Times New Roman"/>
            <w:b/>
            <w:bCs/>
            <w:spacing w:val="3"/>
            <w:sz w:val="22"/>
            <w:szCs w:val="22"/>
          </w:rPr>
          <w:t>29</w:t>
        </w:r>
      </w:hyperlink>
    </w:p>
    <w:p>
      <w:pPr>
        <w:tabs>
          <w:tab w:val="right" w:leader="dot" w:pos="8300"/>
        </w:tabs>
        <w:spacing w:before="155" w:line="221" w:lineRule="auto"/>
        <w:ind w:left="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12"/>
          <w:sz w:val="22"/>
          <w:szCs w:val="22"/>
        </w:rPr>
        <w:t>案例8:固安工业园区新型城镇化项目</w:t>
      </w:r>
      <w:r>
        <w:rPr>
          <w:rFonts w:ascii="黑体" w:eastAsia="黑体" w:hAnsi="黑体" w:cs="黑体"/>
          <w:b/>
          <w:bCs/>
          <w:sz w:val="22"/>
          <w:szCs w:val="22"/>
        </w:rPr>
        <w:tab/>
      </w:r>
      <w:hyperlink w:anchor="bookmark29" w:history="1">
        <w:r>
          <w:rPr>
            <w:rFonts w:ascii="Times New Roman" w:eastAsia="Times New Roman" w:hAnsi="Times New Roman" w:cs="Times New Roman"/>
            <w:b/>
            <w:bCs/>
            <w:spacing w:val="4"/>
            <w:sz w:val="22"/>
            <w:szCs w:val="22"/>
          </w:rPr>
          <w:t>30</w:t>
        </w:r>
      </w:hyperlink>
    </w:p>
    <w:p>
      <w:pPr>
        <w:tabs>
          <w:tab w:val="right" w:leader="dot" w:pos="8280"/>
        </w:tabs>
        <w:spacing w:before="156" w:line="221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4"/>
          <w:sz w:val="22"/>
          <w:szCs w:val="22"/>
        </w:rPr>
        <w:t>一、项目概况</w:t>
      </w:r>
      <w:r>
        <w:rPr>
          <w:rFonts w:ascii="黑体" w:eastAsia="黑体" w:hAnsi="黑体" w:cs="黑体"/>
          <w:spacing w:val="-85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30" w:history="1">
        <w:r>
          <w:rPr>
            <w:rFonts w:ascii="Times New Roman" w:eastAsia="Times New Roman" w:hAnsi="Times New Roman" w:cs="Times New Roman"/>
            <w:b/>
            <w:bCs/>
            <w:spacing w:val="4"/>
            <w:sz w:val="22"/>
            <w:szCs w:val="22"/>
          </w:rPr>
          <w:t>30</w:t>
        </w:r>
      </w:hyperlink>
    </w:p>
    <w:p>
      <w:pPr>
        <w:tabs>
          <w:tab w:val="right" w:leader="dot" w:pos="8270"/>
        </w:tabs>
        <w:spacing w:before="158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二</w:t>
      </w:r>
      <w:r>
        <w:rPr>
          <w:rFonts w:ascii="黑体" w:eastAsia="黑体" w:hAnsi="黑体" w:cs="黑体"/>
          <w:spacing w:val="-31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、运作模式</w:t>
      </w:r>
      <w:r>
        <w:rPr>
          <w:rFonts w:ascii="黑体" w:eastAsia="黑体" w:hAnsi="黑体" w:cs="黑体"/>
          <w:spacing w:val="-86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31" w:history="1">
        <w:r>
          <w:rPr>
            <w:rFonts w:ascii="Times New Roman" w:eastAsia="Times New Roman" w:hAnsi="Times New Roman" w:cs="Times New Roman"/>
            <w:b/>
            <w:bCs/>
            <w:spacing w:val="4"/>
            <w:sz w:val="22"/>
            <w:szCs w:val="22"/>
          </w:rPr>
          <w:t>31</w:t>
        </w:r>
      </w:hyperlink>
    </w:p>
    <w:p>
      <w:pPr>
        <w:spacing w:line="222" w:lineRule="auto"/>
        <w:rPr>
          <w:rFonts w:ascii="Times New Roman" w:eastAsia="Times New Roman" w:hAnsi="Times New Roman" w:cs="Times New Roman"/>
          <w:sz w:val="22"/>
          <w:szCs w:val="22"/>
        </w:rPr>
        <w:sectPr>
          <w:footerReference w:type="default" r:id="rId4"/>
          <w:pgSz w:w="11910" w:h="16840"/>
          <w:pgMar w:top="1431" w:right="1786" w:bottom="1390" w:left="1786" w:header="0" w:footer="1192" w:gutter="0"/>
          <w:pgNumType w:start="2"/>
          <w:cols w:space="708"/>
        </w:sectPr>
      </w:pPr>
    </w:p>
    <w:p>
      <w:pPr>
        <w:tabs>
          <w:tab w:val="right" w:leader="dot" w:pos="8305"/>
        </w:tabs>
        <w:spacing w:before="72" w:line="221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z w:val="22"/>
          <w:szCs w:val="22"/>
        </w:rPr>
        <w:t>三、实施效果</w:t>
      </w:r>
      <w:r>
        <w:rPr>
          <w:rFonts w:ascii="黑体" w:eastAsia="黑体" w:hAnsi="黑体" w:cs="黑体"/>
          <w:spacing w:val="-89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32" w:history="1">
        <w:r>
          <w:rPr>
            <w:rFonts w:ascii="Times New Roman" w:eastAsia="Times New Roman" w:hAnsi="Times New Roman" w:cs="Times New Roman"/>
            <w:b/>
            <w:bCs/>
            <w:spacing w:val="4"/>
            <w:sz w:val="22"/>
            <w:szCs w:val="22"/>
          </w:rPr>
          <w:t>34</w:t>
        </w:r>
      </w:hyperlink>
    </w:p>
    <w:p>
      <w:pPr>
        <w:tabs>
          <w:tab w:val="right" w:leader="dot" w:pos="8290"/>
        </w:tabs>
        <w:spacing w:before="160" w:line="222" w:lineRule="auto"/>
        <w:ind w:left="22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1"/>
          <w:sz w:val="22"/>
          <w:szCs w:val="22"/>
        </w:rPr>
        <w:t>四、借鉴价值</w:t>
      </w:r>
      <w:r>
        <w:rPr>
          <w:rFonts w:ascii="黑体" w:eastAsia="黑体" w:hAnsi="黑体" w:cs="黑体"/>
          <w:spacing w:val="-88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33" w:history="1">
        <w:r>
          <w:rPr>
            <w:rFonts w:ascii="Times New Roman" w:eastAsia="Times New Roman" w:hAnsi="Times New Roman" w:cs="Times New Roman"/>
            <w:spacing w:val="-1"/>
            <w:sz w:val="22"/>
            <w:szCs w:val="22"/>
          </w:rPr>
          <w:t>35</w:t>
        </w:r>
      </w:hyperlink>
    </w:p>
    <w:p>
      <w:pPr>
        <w:tabs>
          <w:tab w:val="right" w:leader="dot" w:pos="8300"/>
        </w:tabs>
        <w:spacing w:before="155" w:line="222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11"/>
          <w:sz w:val="22"/>
          <w:szCs w:val="22"/>
        </w:rPr>
        <w:t>案例9:合肥市王小郢污水处理厂资产权益转让项目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34" w:history="1">
        <w:r>
          <w:rPr>
            <w:rFonts w:ascii="Times New Roman" w:eastAsia="Times New Roman" w:hAnsi="Times New Roman" w:cs="Times New Roman"/>
            <w:spacing w:val="-1"/>
            <w:sz w:val="22"/>
            <w:szCs w:val="22"/>
          </w:rPr>
          <w:t>35</w:t>
        </w:r>
      </w:hyperlink>
    </w:p>
    <w:p>
      <w:pPr>
        <w:tabs>
          <w:tab w:val="right" w:leader="dot" w:pos="8295"/>
        </w:tabs>
        <w:spacing w:before="161" w:line="221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5"/>
          <w:sz w:val="22"/>
          <w:szCs w:val="22"/>
        </w:rPr>
        <w:t>一</w:t>
      </w:r>
      <w:r>
        <w:rPr>
          <w:rFonts w:ascii="黑体" w:eastAsia="黑体" w:hAnsi="黑体" w:cs="黑体"/>
          <w:spacing w:val="-15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5"/>
          <w:sz w:val="22"/>
          <w:szCs w:val="22"/>
        </w:rPr>
        <w:t>、项目概况</w:t>
      </w:r>
      <w:r>
        <w:rPr>
          <w:rFonts w:ascii="黑体" w:eastAsia="黑体" w:hAnsi="黑体" w:cs="黑体"/>
          <w:spacing w:val="-83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35" w:history="1">
        <w:r>
          <w:rPr>
            <w:rFonts w:ascii="Times New Roman" w:eastAsia="Times New Roman" w:hAnsi="Times New Roman" w:cs="Times New Roman"/>
            <w:b/>
            <w:bCs/>
            <w:spacing w:val="4"/>
            <w:sz w:val="22"/>
            <w:szCs w:val="22"/>
          </w:rPr>
          <w:t>35</w:t>
        </w:r>
      </w:hyperlink>
    </w:p>
    <w:p>
      <w:pPr>
        <w:tabs>
          <w:tab w:val="right" w:leader="dot" w:pos="8285"/>
        </w:tabs>
        <w:spacing w:before="147" w:line="222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2"/>
          <w:sz w:val="22"/>
          <w:szCs w:val="22"/>
        </w:rPr>
        <w:t>二、运作模式</w:t>
      </w:r>
      <w:r>
        <w:rPr>
          <w:rFonts w:ascii="黑体" w:eastAsia="黑体" w:hAnsi="黑体" w:cs="黑体"/>
          <w:spacing w:val="-86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36" w:history="1">
        <w:r>
          <w:rPr>
            <w:rFonts w:ascii="Times New Roman" w:eastAsia="Times New Roman" w:hAnsi="Times New Roman" w:cs="Times New Roman"/>
            <w:b/>
            <w:bCs/>
            <w:spacing w:val="-6"/>
            <w:sz w:val="22"/>
            <w:szCs w:val="22"/>
          </w:rPr>
          <w:t>36</w:t>
        </w:r>
      </w:hyperlink>
    </w:p>
    <w:p>
      <w:pPr>
        <w:tabs>
          <w:tab w:val="right" w:leader="dot" w:pos="8285"/>
        </w:tabs>
        <w:spacing w:before="155" w:line="222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三</w:t>
      </w:r>
      <w:r>
        <w:rPr>
          <w:rFonts w:ascii="黑体" w:eastAsia="黑体" w:hAnsi="黑体" w:cs="黑体"/>
          <w:spacing w:val="-29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、借鉴价值</w:t>
      </w:r>
      <w:r>
        <w:rPr>
          <w:rFonts w:ascii="黑体" w:eastAsia="黑体" w:hAnsi="黑体" w:cs="黑体"/>
          <w:spacing w:val="-88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37" w:history="1">
        <w:r>
          <w:rPr>
            <w:rFonts w:ascii="Times New Roman" w:eastAsia="Times New Roman" w:hAnsi="Times New Roman" w:cs="Times New Roman"/>
            <w:b/>
            <w:bCs/>
            <w:spacing w:val="4"/>
            <w:sz w:val="22"/>
            <w:szCs w:val="22"/>
          </w:rPr>
          <w:t>39</w:t>
        </w:r>
      </w:hyperlink>
    </w:p>
    <w:p>
      <w:pPr>
        <w:tabs>
          <w:tab w:val="right" w:leader="dot" w:pos="8287"/>
        </w:tabs>
        <w:spacing w:before="156" w:line="222" w:lineRule="auto"/>
        <w:ind w:left="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9"/>
          <w:sz w:val="22"/>
          <w:szCs w:val="22"/>
        </w:rPr>
        <w:t>案例10:江西峡江水利枢纽工程项目</w:t>
      </w:r>
      <w:r>
        <w:rPr>
          <w:rFonts w:ascii="黑体" w:eastAsia="黑体" w:hAnsi="黑体" w:cs="黑体"/>
          <w:b/>
          <w:bCs/>
          <w:sz w:val="22"/>
          <w:szCs w:val="22"/>
        </w:rPr>
        <w:tab/>
      </w:r>
      <w:hyperlink w:anchor="bookmark38" w:history="1">
        <w:r>
          <w:rPr>
            <w:rFonts w:ascii="Times New Roman" w:eastAsia="Times New Roman" w:hAnsi="Times New Roman" w:cs="Times New Roman"/>
            <w:b/>
            <w:bCs/>
            <w:spacing w:val="-6"/>
            <w:sz w:val="22"/>
            <w:szCs w:val="22"/>
          </w:rPr>
          <w:t>40</w:t>
        </w:r>
      </w:hyperlink>
    </w:p>
    <w:p>
      <w:pPr>
        <w:tabs>
          <w:tab w:val="right" w:leader="dot" w:pos="8284"/>
        </w:tabs>
        <w:spacing w:before="155" w:line="221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4"/>
          <w:sz w:val="22"/>
          <w:szCs w:val="22"/>
        </w:rPr>
        <w:t>一、项目概况</w:t>
      </w:r>
      <w:r>
        <w:rPr>
          <w:rFonts w:ascii="黑体" w:eastAsia="黑体" w:hAnsi="黑体" w:cs="黑体"/>
          <w:spacing w:val="-85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39" w:history="1">
        <w:r>
          <w:rPr>
            <w:rFonts w:ascii="Times New Roman" w:eastAsia="Times New Roman" w:hAnsi="Times New Roman" w:cs="Times New Roman"/>
            <w:b/>
            <w:bCs/>
            <w:spacing w:val="3"/>
            <w:sz w:val="22"/>
            <w:szCs w:val="22"/>
          </w:rPr>
          <w:t>40</w:t>
        </w:r>
      </w:hyperlink>
    </w:p>
    <w:p>
      <w:pPr>
        <w:tabs>
          <w:tab w:val="right" w:leader="dot" w:pos="8284"/>
        </w:tabs>
        <w:spacing w:before="157" w:line="222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3"/>
          <w:sz w:val="22"/>
          <w:szCs w:val="22"/>
        </w:rPr>
        <w:t>二</w:t>
      </w:r>
      <w:r>
        <w:rPr>
          <w:rFonts w:ascii="黑体" w:eastAsia="黑体" w:hAnsi="黑体" w:cs="黑体"/>
          <w:spacing w:val="-34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3"/>
          <w:sz w:val="22"/>
          <w:szCs w:val="22"/>
        </w:rPr>
        <w:t>、项目运作模式</w:t>
      </w:r>
      <w:r>
        <w:rPr>
          <w:rFonts w:ascii="黑体" w:eastAsia="黑体" w:hAnsi="黑体" w:cs="黑体"/>
          <w:spacing w:val="-85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40" w:history="1">
        <w:r>
          <w:rPr>
            <w:rFonts w:ascii="Times New Roman" w:eastAsia="Times New Roman" w:hAnsi="Times New Roman" w:cs="Times New Roman"/>
            <w:b/>
            <w:bCs/>
            <w:spacing w:val="3"/>
            <w:sz w:val="22"/>
            <w:szCs w:val="22"/>
          </w:rPr>
          <w:t>40</w:t>
        </w:r>
      </w:hyperlink>
    </w:p>
    <w:p>
      <w:pPr>
        <w:tabs>
          <w:tab w:val="right" w:leader="dot" w:pos="8314"/>
        </w:tabs>
        <w:spacing w:before="157" w:line="223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z w:val="22"/>
          <w:szCs w:val="22"/>
        </w:rPr>
        <w:t>三、借鉴意义</w:t>
      </w:r>
      <w:r>
        <w:rPr>
          <w:rFonts w:ascii="黑体" w:eastAsia="黑体" w:hAnsi="黑体" w:cs="黑体"/>
          <w:spacing w:val="-89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41" w:history="1">
        <w:r>
          <w:rPr>
            <w:rFonts w:ascii="Times New Roman" w:eastAsia="Times New Roman" w:hAnsi="Times New Roman" w:cs="Times New Roman"/>
            <w:b/>
            <w:bCs/>
            <w:spacing w:val="3"/>
            <w:sz w:val="22"/>
            <w:szCs w:val="22"/>
          </w:rPr>
          <w:t>41</w:t>
        </w:r>
      </w:hyperlink>
    </w:p>
    <w:p>
      <w:pPr>
        <w:tabs>
          <w:tab w:val="right" w:leader="dot" w:pos="8285"/>
        </w:tabs>
        <w:spacing w:before="155" w:line="221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8"/>
          <w:sz w:val="22"/>
          <w:szCs w:val="22"/>
        </w:rPr>
        <w:t>案例11:酒泉市城区热电联产集中供热项目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42" w:history="1">
        <w:r>
          <w:rPr>
            <w:rFonts w:ascii="Times New Roman" w:eastAsia="Times New Roman" w:hAnsi="Times New Roman" w:cs="Times New Roman"/>
            <w:spacing w:val="1"/>
            <w:sz w:val="22"/>
            <w:szCs w:val="22"/>
          </w:rPr>
          <w:t>42</w:t>
        </w:r>
      </w:hyperlink>
    </w:p>
    <w:p>
      <w:pPr>
        <w:tabs>
          <w:tab w:val="right" w:leader="dot" w:pos="8294"/>
        </w:tabs>
        <w:spacing w:before="153" w:line="221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5"/>
          <w:sz w:val="22"/>
          <w:szCs w:val="22"/>
        </w:rPr>
        <w:t>一</w:t>
      </w:r>
      <w:r>
        <w:rPr>
          <w:rFonts w:ascii="黑体" w:eastAsia="黑体" w:hAnsi="黑体" w:cs="黑体"/>
          <w:spacing w:val="-15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5"/>
          <w:sz w:val="22"/>
          <w:szCs w:val="22"/>
        </w:rPr>
        <w:t>、项目概况</w:t>
      </w:r>
      <w:r>
        <w:rPr>
          <w:rFonts w:ascii="黑体" w:eastAsia="黑体" w:hAnsi="黑体" w:cs="黑体"/>
          <w:spacing w:val="-83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43" w:history="1">
        <w:r>
          <w:rPr>
            <w:rFonts w:ascii="Times New Roman" w:eastAsia="Times New Roman" w:hAnsi="Times New Roman" w:cs="Times New Roman"/>
            <w:b/>
            <w:bCs/>
            <w:spacing w:val="3"/>
            <w:sz w:val="22"/>
            <w:szCs w:val="22"/>
          </w:rPr>
          <w:t>42</w:t>
        </w:r>
      </w:hyperlink>
    </w:p>
    <w:p>
      <w:pPr>
        <w:tabs>
          <w:tab w:val="right" w:leader="dot" w:pos="8285"/>
        </w:tabs>
        <w:spacing w:before="161" w:line="222" w:lineRule="auto"/>
        <w:ind w:left="22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-14"/>
          <w:sz w:val="22"/>
          <w:szCs w:val="22"/>
        </w:rPr>
        <w:t>二</w:t>
      </w:r>
      <w:r>
        <w:rPr>
          <w:rFonts w:ascii="黑体" w:eastAsia="黑体" w:hAnsi="黑体" w:cs="黑体"/>
          <w:spacing w:val="-28"/>
          <w:sz w:val="22"/>
          <w:szCs w:val="22"/>
        </w:rPr>
        <w:t xml:space="preserve"> </w:t>
      </w:r>
      <w:r>
        <w:rPr>
          <w:rFonts w:ascii="黑体" w:eastAsia="黑体" w:hAnsi="黑体" w:cs="黑体"/>
          <w:spacing w:val="-14"/>
          <w:sz w:val="22"/>
          <w:szCs w:val="22"/>
        </w:rPr>
        <w:t>、运作模式</w:t>
      </w:r>
      <w:r>
        <w:rPr>
          <w:rFonts w:ascii="黑体" w:eastAsia="黑体" w:hAnsi="黑体" w:cs="黑体"/>
          <w:spacing w:val="-89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44" w:history="1">
        <w:r>
          <w:rPr>
            <w:rFonts w:ascii="Times New Roman" w:eastAsia="Times New Roman" w:hAnsi="Times New Roman" w:cs="Times New Roman"/>
            <w:spacing w:val="1"/>
            <w:sz w:val="22"/>
            <w:szCs w:val="22"/>
          </w:rPr>
          <w:t>43</w:t>
        </w:r>
      </w:hyperlink>
    </w:p>
    <w:p>
      <w:pPr>
        <w:tabs>
          <w:tab w:val="right" w:leader="dot" w:pos="8264"/>
        </w:tabs>
        <w:spacing w:before="152" w:line="222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2"/>
          <w:sz w:val="22"/>
          <w:szCs w:val="22"/>
        </w:rPr>
        <w:t>三、借鉴价值</w:t>
      </w:r>
      <w:r>
        <w:rPr>
          <w:rFonts w:ascii="黑体" w:eastAsia="黑体" w:hAnsi="黑体" w:cs="黑体"/>
          <w:spacing w:val="-87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45" w:history="1">
        <w:r>
          <w:rPr>
            <w:rFonts w:ascii="Times New Roman" w:eastAsia="Times New Roman" w:hAnsi="Times New Roman" w:cs="Times New Roman"/>
            <w:b/>
            <w:bCs/>
            <w:spacing w:val="3"/>
            <w:sz w:val="22"/>
            <w:szCs w:val="22"/>
          </w:rPr>
          <w:t>46</w:t>
        </w:r>
      </w:hyperlink>
    </w:p>
    <w:p>
      <w:pPr>
        <w:tabs>
          <w:tab w:val="right" w:leader="dot" w:pos="8284"/>
        </w:tabs>
        <w:spacing w:before="156" w:line="222" w:lineRule="auto"/>
        <w:ind w:left="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10"/>
          <w:sz w:val="22"/>
          <w:szCs w:val="22"/>
        </w:rPr>
        <w:t>案例12:陕西南沟门水利枢纽工程项目</w:t>
      </w:r>
      <w:r>
        <w:rPr>
          <w:rFonts w:ascii="黑体" w:eastAsia="黑体" w:hAnsi="黑体" w:cs="黑体"/>
          <w:b/>
          <w:bCs/>
          <w:sz w:val="22"/>
          <w:szCs w:val="22"/>
        </w:rPr>
        <w:tab/>
      </w:r>
      <w:r>
        <w:rPr>
          <w:rFonts w:ascii="黑体" w:eastAsia="黑体" w:hAnsi="黑体" w:cs="黑体"/>
          <w:spacing w:val="-61"/>
          <w:sz w:val="22"/>
          <w:szCs w:val="22"/>
        </w:rPr>
        <w:t xml:space="preserve"> </w:t>
      </w:r>
      <w:hyperlink w:anchor="bookmark46" w:history="1">
        <w:r>
          <w:rPr>
            <w:rFonts w:ascii="Times New Roman" w:eastAsia="Times New Roman" w:hAnsi="Times New Roman" w:cs="Times New Roman"/>
            <w:b/>
            <w:bCs/>
            <w:spacing w:val="-2"/>
            <w:sz w:val="22"/>
            <w:szCs w:val="22"/>
          </w:rPr>
          <w:t>47</w:t>
        </w:r>
      </w:hyperlink>
    </w:p>
    <w:p>
      <w:pPr>
        <w:tabs>
          <w:tab w:val="right" w:leader="dot" w:pos="8294"/>
        </w:tabs>
        <w:spacing w:before="155" w:line="221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5"/>
          <w:sz w:val="22"/>
          <w:szCs w:val="22"/>
        </w:rPr>
        <w:t>一</w:t>
      </w:r>
      <w:r>
        <w:rPr>
          <w:rFonts w:ascii="黑体" w:eastAsia="黑体" w:hAnsi="黑体" w:cs="黑体"/>
          <w:spacing w:val="-15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5"/>
          <w:sz w:val="22"/>
          <w:szCs w:val="22"/>
        </w:rPr>
        <w:t>、项目概况</w:t>
      </w:r>
      <w:r>
        <w:rPr>
          <w:rFonts w:ascii="黑体" w:eastAsia="黑体" w:hAnsi="黑体" w:cs="黑体"/>
          <w:spacing w:val="-83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47" w:history="1">
        <w:r>
          <w:rPr>
            <w:rFonts w:ascii="Times New Roman" w:eastAsia="Times New Roman" w:hAnsi="Times New Roman" w:cs="Times New Roman"/>
            <w:b/>
            <w:bCs/>
            <w:spacing w:val="3"/>
            <w:sz w:val="22"/>
            <w:szCs w:val="22"/>
          </w:rPr>
          <w:t>47</w:t>
        </w:r>
      </w:hyperlink>
    </w:p>
    <w:p>
      <w:pPr>
        <w:tabs>
          <w:tab w:val="right" w:leader="dot" w:pos="8285"/>
        </w:tabs>
        <w:spacing w:before="160" w:line="222" w:lineRule="auto"/>
        <w:ind w:left="22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1"/>
          <w:sz w:val="22"/>
          <w:szCs w:val="22"/>
        </w:rPr>
        <w:t>二、项目运作模式</w:t>
      </w:r>
      <w:r>
        <w:rPr>
          <w:rFonts w:ascii="黑体" w:eastAsia="黑体" w:hAnsi="黑体" w:cs="黑体"/>
          <w:spacing w:val="-89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48" w:history="1">
        <w:r>
          <w:rPr>
            <w:rFonts w:ascii="Times New Roman" w:eastAsia="Times New Roman" w:hAnsi="Times New Roman" w:cs="Times New Roman"/>
            <w:spacing w:val="1"/>
            <w:sz w:val="22"/>
            <w:szCs w:val="22"/>
          </w:rPr>
          <w:t>48</w:t>
        </w:r>
      </w:hyperlink>
    </w:p>
    <w:p>
      <w:pPr>
        <w:tabs>
          <w:tab w:val="right" w:leader="dot" w:pos="8304"/>
        </w:tabs>
        <w:spacing w:before="154" w:line="223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三、</w:t>
      </w:r>
      <w:r>
        <w:rPr>
          <w:rFonts w:ascii="黑体" w:eastAsia="黑体" w:hAnsi="黑体" w:cs="黑体"/>
          <w:spacing w:val="-40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借鉴意义</w:t>
      </w:r>
      <w:r>
        <w:rPr>
          <w:rFonts w:ascii="黑体" w:eastAsia="黑体" w:hAnsi="黑体" w:cs="黑体"/>
          <w:spacing w:val="-77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49" w:history="1">
        <w:r>
          <w:rPr>
            <w:rFonts w:ascii="Times New Roman" w:eastAsia="Times New Roman" w:hAnsi="Times New Roman" w:cs="Times New Roman"/>
            <w:b/>
            <w:bCs/>
            <w:spacing w:val="3"/>
            <w:sz w:val="22"/>
            <w:szCs w:val="22"/>
          </w:rPr>
          <w:t>49</w:t>
        </w:r>
      </w:hyperlink>
    </w:p>
    <w:p>
      <w:pPr>
        <w:tabs>
          <w:tab w:val="right" w:leader="dot" w:pos="8299"/>
        </w:tabs>
        <w:spacing w:before="156" w:line="222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19"/>
          <w:sz w:val="22"/>
          <w:szCs w:val="22"/>
        </w:rPr>
        <w:t>案例13:深圳大运中心项目</w:t>
      </w:r>
      <w:r>
        <w:rPr>
          <w:rFonts w:ascii="黑体" w:eastAsia="黑体" w:hAnsi="黑体" w:cs="黑体"/>
          <w:sz w:val="22"/>
          <w:szCs w:val="22"/>
        </w:rPr>
        <w:tab/>
      </w:r>
      <w:r>
        <w:rPr>
          <w:rFonts w:ascii="黑体" w:eastAsia="黑体" w:hAnsi="黑体" w:cs="黑体"/>
          <w:spacing w:val="-55"/>
          <w:sz w:val="22"/>
          <w:szCs w:val="22"/>
        </w:rPr>
        <w:t xml:space="preserve"> </w:t>
      </w:r>
      <w:hyperlink w:anchor="bookmark50" w:history="1">
        <w:r>
          <w:rPr>
            <w:rFonts w:ascii="Times New Roman" w:eastAsia="Times New Roman" w:hAnsi="Times New Roman" w:cs="Times New Roman"/>
            <w:spacing w:val="-3"/>
            <w:sz w:val="22"/>
            <w:szCs w:val="22"/>
          </w:rPr>
          <w:t>50</w:t>
        </w:r>
      </w:hyperlink>
    </w:p>
    <w:p>
      <w:pPr>
        <w:tabs>
          <w:tab w:val="right" w:leader="dot" w:pos="8299"/>
        </w:tabs>
        <w:spacing w:before="145" w:line="221" w:lineRule="auto"/>
        <w:ind w:left="22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-4"/>
          <w:sz w:val="22"/>
          <w:szCs w:val="22"/>
        </w:rPr>
        <w:t>一、项目概况</w:t>
      </w:r>
      <w:r>
        <w:rPr>
          <w:rFonts w:ascii="黑体" w:eastAsia="黑体" w:hAnsi="黑体" w:cs="黑体"/>
          <w:spacing w:val="-68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51" w:history="1">
        <w:r>
          <w:rPr>
            <w:rFonts w:ascii="Times New Roman" w:eastAsia="Times New Roman" w:hAnsi="Times New Roman" w:cs="Times New Roman"/>
            <w:spacing w:val="-2"/>
            <w:sz w:val="22"/>
            <w:szCs w:val="22"/>
          </w:rPr>
          <w:t>50</w:t>
        </w:r>
      </w:hyperlink>
    </w:p>
    <w:p>
      <w:pPr>
        <w:tabs>
          <w:tab w:val="right" w:leader="dot" w:pos="8299"/>
        </w:tabs>
        <w:spacing w:before="167" w:line="222" w:lineRule="auto"/>
        <w:ind w:left="22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3"/>
          <w:sz w:val="22"/>
          <w:szCs w:val="22"/>
        </w:rPr>
        <w:t>二、运作模式</w:t>
      </w:r>
      <w:r>
        <w:rPr>
          <w:rFonts w:ascii="黑体" w:eastAsia="黑体" w:hAnsi="黑体" w:cs="黑体"/>
          <w:spacing w:val="-89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52" w:history="1">
        <w:r>
          <w:rPr>
            <w:rFonts w:ascii="Times New Roman" w:eastAsia="Times New Roman" w:hAnsi="Times New Roman" w:cs="Times New Roman"/>
            <w:spacing w:val="-2"/>
            <w:sz w:val="22"/>
            <w:szCs w:val="22"/>
          </w:rPr>
          <w:t>50</w:t>
        </w:r>
      </w:hyperlink>
    </w:p>
    <w:p>
      <w:pPr>
        <w:tabs>
          <w:tab w:val="right" w:leader="dot" w:pos="8259"/>
        </w:tabs>
        <w:spacing w:before="145" w:line="222" w:lineRule="auto"/>
        <w:ind w:left="22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-5"/>
          <w:sz w:val="22"/>
          <w:szCs w:val="22"/>
        </w:rPr>
        <w:t>三、借鉴价值</w:t>
      </w:r>
      <w:r>
        <w:rPr>
          <w:rFonts w:ascii="黑体" w:eastAsia="黑体" w:hAnsi="黑体" w:cs="黑体"/>
          <w:spacing w:val="-72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53" w:history="1">
        <w:r>
          <w:rPr>
            <w:rFonts w:ascii="Times New Roman" w:eastAsia="Times New Roman" w:hAnsi="Times New Roman" w:cs="Times New Roman"/>
            <w:spacing w:val="-2"/>
            <w:sz w:val="22"/>
            <w:szCs w:val="22"/>
          </w:rPr>
          <w:t>53</w:t>
        </w:r>
      </w:hyperlink>
    </w:p>
    <w:p>
      <w:pPr>
        <w:tabs>
          <w:tab w:val="right" w:leader="dot" w:pos="8299"/>
        </w:tabs>
        <w:spacing w:before="155" w:line="220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9"/>
          <w:sz w:val="22"/>
          <w:szCs w:val="22"/>
        </w:rPr>
        <w:t>案例14:苏州市吴中静脉园垃圾焚烧发电项目</w:t>
      </w:r>
      <w:r>
        <w:rPr>
          <w:rFonts w:ascii="黑体" w:eastAsia="黑体" w:hAnsi="黑体" w:cs="黑体"/>
          <w:sz w:val="22"/>
          <w:szCs w:val="22"/>
        </w:rPr>
        <w:tab/>
      </w:r>
      <w:r>
        <w:rPr>
          <w:rFonts w:ascii="黑体" w:eastAsia="黑体" w:hAnsi="黑体" w:cs="黑体"/>
          <w:spacing w:val="-5"/>
          <w:sz w:val="22"/>
          <w:szCs w:val="22"/>
        </w:rPr>
        <w:t xml:space="preserve"> </w:t>
      </w:r>
      <w:hyperlink w:anchor="bookmark54" w:history="1">
        <w:r>
          <w:rPr>
            <w:rFonts w:ascii="Times New Roman" w:eastAsia="Times New Roman" w:hAnsi="Times New Roman" w:cs="Times New Roman"/>
            <w:spacing w:val="-3"/>
            <w:sz w:val="22"/>
            <w:szCs w:val="22"/>
          </w:rPr>
          <w:t>53</w:t>
        </w:r>
      </w:hyperlink>
    </w:p>
    <w:p>
      <w:pPr>
        <w:tabs>
          <w:tab w:val="right" w:leader="dot" w:pos="8289"/>
        </w:tabs>
        <w:spacing w:before="168" w:line="221" w:lineRule="auto"/>
        <w:ind w:left="22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-1"/>
          <w:sz w:val="22"/>
          <w:szCs w:val="22"/>
        </w:rPr>
        <w:t>一、项目概况</w:t>
      </w:r>
      <w:r>
        <w:rPr>
          <w:rFonts w:ascii="黑体" w:eastAsia="黑体" w:hAnsi="黑体" w:cs="黑体"/>
          <w:spacing w:val="-86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55" w:history="1">
        <w:r>
          <w:rPr>
            <w:rFonts w:ascii="Times New Roman" w:eastAsia="Times New Roman" w:hAnsi="Times New Roman" w:cs="Times New Roman"/>
            <w:spacing w:val="-2"/>
            <w:sz w:val="22"/>
            <w:szCs w:val="22"/>
          </w:rPr>
          <w:t>53</w:t>
        </w:r>
      </w:hyperlink>
    </w:p>
    <w:p>
      <w:pPr>
        <w:tabs>
          <w:tab w:val="right" w:leader="dot" w:pos="8269"/>
        </w:tabs>
        <w:spacing w:before="147" w:line="222" w:lineRule="auto"/>
        <w:ind w:left="22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1"/>
          <w:sz w:val="22"/>
          <w:szCs w:val="22"/>
        </w:rPr>
        <w:t>二、运作模式</w:t>
      </w:r>
      <w:r>
        <w:rPr>
          <w:rFonts w:ascii="黑体" w:eastAsia="黑体" w:hAnsi="黑体" w:cs="黑体"/>
          <w:spacing w:val="-88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56" w:history="1">
        <w:r>
          <w:rPr>
            <w:rFonts w:ascii="Times New Roman" w:eastAsia="Times New Roman" w:hAnsi="Times New Roman" w:cs="Times New Roman"/>
            <w:spacing w:val="-2"/>
            <w:sz w:val="22"/>
            <w:szCs w:val="22"/>
          </w:rPr>
          <w:t>55</w:t>
        </w:r>
      </w:hyperlink>
    </w:p>
    <w:p>
      <w:pPr>
        <w:tabs>
          <w:tab w:val="right" w:leader="dot" w:pos="8282"/>
        </w:tabs>
        <w:spacing w:before="162" w:line="222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三</w:t>
      </w:r>
      <w:r>
        <w:rPr>
          <w:rFonts w:ascii="黑体" w:eastAsia="黑体" w:hAnsi="黑体" w:cs="黑体"/>
          <w:spacing w:val="-29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、借鉴价值</w:t>
      </w:r>
      <w:r>
        <w:rPr>
          <w:rFonts w:ascii="黑体" w:eastAsia="黑体" w:hAnsi="黑体" w:cs="黑体"/>
          <w:spacing w:val="-88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57" w:history="1">
        <w:r>
          <w:rPr>
            <w:rFonts w:ascii="Times New Roman" w:eastAsia="Times New Roman" w:hAnsi="Times New Roman" w:cs="Times New Roman"/>
            <w:b/>
            <w:bCs/>
            <w:spacing w:val="2"/>
            <w:sz w:val="22"/>
            <w:szCs w:val="22"/>
          </w:rPr>
          <w:t>57</w:t>
        </w:r>
      </w:hyperlink>
    </w:p>
    <w:p>
      <w:pPr>
        <w:tabs>
          <w:tab w:val="right" w:leader="dot" w:pos="8299"/>
        </w:tabs>
        <w:spacing w:before="158" w:line="221" w:lineRule="auto"/>
        <w:ind w:left="1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spacing w:val="12"/>
          <w:sz w:val="22"/>
          <w:szCs w:val="22"/>
        </w:rPr>
        <w:t>案例15:天津市北水业公司部分股权转让项目</w:t>
      </w:r>
      <w:r>
        <w:rPr>
          <w:rFonts w:ascii="黑体" w:eastAsia="黑体" w:hAnsi="黑体" w:cs="黑体"/>
          <w:sz w:val="22"/>
          <w:szCs w:val="22"/>
        </w:rPr>
        <w:tab/>
      </w:r>
      <w:r>
        <w:rPr>
          <w:rFonts w:ascii="黑体" w:eastAsia="黑体" w:hAnsi="黑体" w:cs="黑体"/>
          <w:spacing w:val="-55"/>
          <w:sz w:val="22"/>
          <w:szCs w:val="22"/>
        </w:rPr>
        <w:t xml:space="preserve"> </w:t>
      </w:r>
      <w:hyperlink w:anchor="bookmark58" w:history="1">
        <w:r>
          <w:rPr>
            <w:rFonts w:ascii="Times New Roman" w:eastAsia="Times New Roman" w:hAnsi="Times New Roman" w:cs="Times New Roman"/>
            <w:spacing w:val="-3"/>
            <w:sz w:val="22"/>
            <w:szCs w:val="22"/>
          </w:rPr>
          <w:t>59</w:t>
        </w:r>
      </w:hyperlink>
    </w:p>
    <w:p>
      <w:pPr>
        <w:tabs>
          <w:tab w:val="right" w:leader="dot" w:pos="8262"/>
        </w:tabs>
        <w:spacing w:before="154" w:line="221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4"/>
          <w:sz w:val="22"/>
          <w:szCs w:val="22"/>
        </w:rPr>
        <w:t>一、项目概况</w:t>
      </w:r>
      <w:r>
        <w:rPr>
          <w:rFonts w:ascii="黑体" w:eastAsia="黑体" w:hAnsi="黑体" w:cs="黑体"/>
          <w:spacing w:val="-85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59" w:history="1">
        <w:r>
          <w:rPr>
            <w:rFonts w:ascii="Times New Roman" w:eastAsia="Times New Roman" w:hAnsi="Times New Roman" w:cs="Times New Roman"/>
            <w:b/>
            <w:bCs/>
            <w:spacing w:val="2"/>
            <w:sz w:val="22"/>
            <w:szCs w:val="22"/>
          </w:rPr>
          <w:t>59</w:t>
        </w:r>
      </w:hyperlink>
    </w:p>
    <w:p>
      <w:pPr>
        <w:tabs>
          <w:tab w:val="right" w:leader="dot" w:pos="8282"/>
        </w:tabs>
        <w:spacing w:before="157" w:line="222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二</w:t>
      </w:r>
      <w:r>
        <w:rPr>
          <w:rFonts w:ascii="黑体" w:eastAsia="黑体" w:hAnsi="黑体" w:cs="黑体"/>
          <w:spacing w:val="-31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、运作模式</w:t>
      </w:r>
      <w:r>
        <w:rPr>
          <w:rFonts w:ascii="黑体" w:eastAsia="黑体" w:hAnsi="黑体" w:cs="黑体"/>
          <w:spacing w:val="-86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60" w:history="1">
        <w:r>
          <w:rPr>
            <w:rFonts w:ascii="Times New Roman" w:eastAsia="Times New Roman" w:hAnsi="Times New Roman" w:cs="Times New Roman"/>
            <w:b/>
            <w:bCs/>
            <w:spacing w:val="2"/>
            <w:sz w:val="22"/>
            <w:szCs w:val="22"/>
          </w:rPr>
          <w:t>59</w:t>
        </w:r>
      </w:hyperlink>
    </w:p>
    <w:p>
      <w:pPr>
        <w:tabs>
          <w:tab w:val="right" w:leader="dot" w:pos="8280"/>
        </w:tabs>
        <w:spacing w:before="156" w:line="222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三</w:t>
      </w:r>
      <w:r>
        <w:rPr>
          <w:rFonts w:ascii="黑体" w:eastAsia="黑体" w:hAnsi="黑体" w:cs="黑体"/>
          <w:spacing w:val="-29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、借鉴价值</w:t>
      </w:r>
      <w:r>
        <w:rPr>
          <w:rFonts w:ascii="黑体" w:eastAsia="黑体" w:hAnsi="黑体" w:cs="黑体"/>
          <w:spacing w:val="-88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61" w:history="1">
        <w:r>
          <w:rPr>
            <w:rFonts w:ascii="Times New Roman" w:eastAsia="Times New Roman" w:hAnsi="Times New Roman" w:cs="Times New Roman"/>
            <w:b/>
            <w:bCs/>
            <w:spacing w:val="1"/>
            <w:sz w:val="22"/>
            <w:szCs w:val="22"/>
          </w:rPr>
          <w:t>64</w:t>
        </w:r>
      </w:hyperlink>
    </w:p>
    <w:p>
      <w:pPr>
        <w:tabs>
          <w:tab w:val="right" w:leader="dot" w:pos="8300"/>
        </w:tabs>
        <w:spacing w:before="145" w:line="222" w:lineRule="auto"/>
        <w:ind w:left="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6"/>
          <w:sz w:val="22"/>
          <w:szCs w:val="22"/>
        </w:rPr>
        <w:t>案例16:渭南市天然气利用工程项目</w:t>
      </w:r>
      <w:r>
        <w:rPr>
          <w:rFonts w:ascii="黑体" w:eastAsia="黑体" w:hAnsi="黑体" w:cs="黑体"/>
          <w:b/>
          <w:bCs/>
          <w:sz w:val="22"/>
          <w:szCs w:val="22"/>
        </w:rPr>
        <w:tab/>
      </w:r>
      <w:hyperlink w:anchor="bookmark62" w:history="1">
        <w:r>
          <w:rPr>
            <w:rFonts w:ascii="Times New Roman" w:eastAsia="Times New Roman" w:hAnsi="Times New Roman" w:cs="Times New Roman"/>
            <w:b/>
            <w:bCs/>
            <w:spacing w:val="1"/>
            <w:sz w:val="22"/>
            <w:szCs w:val="22"/>
          </w:rPr>
          <w:t>65</w:t>
        </w:r>
      </w:hyperlink>
    </w:p>
    <w:p>
      <w:pPr>
        <w:tabs>
          <w:tab w:val="right" w:leader="dot" w:pos="8285"/>
        </w:tabs>
        <w:spacing w:before="155" w:line="221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8"/>
          <w:sz w:val="22"/>
          <w:szCs w:val="22"/>
        </w:rPr>
        <w:t>一、项目概况</w:t>
      </w:r>
      <w:r>
        <w:rPr>
          <w:rFonts w:ascii="黑体" w:eastAsia="黑体" w:hAnsi="黑体" w:cs="黑体"/>
          <w:spacing w:val="-71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63" w:history="1">
        <w:r>
          <w:rPr>
            <w:rFonts w:ascii="Times New Roman" w:eastAsia="Times New Roman" w:hAnsi="Times New Roman" w:cs="Times New Roman"/>
            <w:b/>
            <w:bCs/>
            <w:spacing w:val="-11"/>
            <w:sz w:val="22"/>
            <w:szCs w:val="22"/>
          </w:rPr>
          <w:t>65</w:t>
        </w:r>
      </w:hyperlink>
    </w:p>
    <w:p>
      <w:pPr>
        <w:tabs>
          <w:tab w:val="right" w:leader="dot" w:pos="8240"/>
        </w:tabs>
        <w:spacing w:before="157" w:line="222" w:lineRule="auto"/>
        <w:ind w:left="223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8"/>
          <w:sz w:val="22"/>
          <w:szCs w:val="22"/>
        </w:rPr>
        <w:t>二、运作模式</w:t>
      </w:r>
      <w:r>
        <w:rPr>
          <w:rFonts w:ascii="黑体" w:eastAsia="黑体" w:hAnsi="黑体" w:cs="黑体"/>
          <w:spacing w:val="-71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64" w:history="1">
        <w:r>
          <w:rPr>
            <w:rFonts w:ascii="Times New Roman" w:eastAsia="Times New Roman" w:hAnsi="Times New Roman" w:cs="Times New Roman"/>
            <w:b/>
            <w:bCs/>
            <w:spacing w:val="1"/>
            <w:sz w:val="22"/>
            <w:szCs w:val="22"/>
          </w:rPr>
          <w:t>66</w:t>
        </w:r>
      </w:hyperlink>
    </w:p>
    <w:p>
      <w:pPr>
        <w:spacing w:line="222" w:lineRule="auto"/>
        <w:rPr>
          <w:rFonts w:ascii="Times New Roman" w:eastAsia="Times New Roman" w:hAnsi="Times New Roman" w:cs="Times New Roman"/>
          <w:sz w:val="22"/>
          <w:szCs w:val="22"/>
        </w:rPr>
        <w:sectPr>
          <w:footerReference w:type="default" r:id="rId5"/>
          <w:pgSz w:w="11910" w:h="16840"/>
          <w:pgMar w:top="1431" w:right="1786" w:bottom="1393" w:left="1779" w:header="0" w:footer="1194" w:gutter="0"/>
          <w:pgNumType w:start="3"/>
          <w:cols w:space="708"/>
        </w:sectPr>
      </w:pPr>
    </w:p>
    <w:p>
      <w:pPr>
        <w:tabs>
          <w:tab w:val="right" w:leader="dot" w:pos="8289"/>
        </w:tabs>
        <w:spacing w:before="73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z w:val="22"/>
          <w:szCs w:val="22"/>
        </w:rPr>
        <w:t>三、借鉴价值</w:t>
      </w:r>
      <w:r>
        <w:rPr>
          <w:rFonts w:ascii="黑体" w:eastAsia="黑体" w:hAnsi="黑体" w:cs="黑体"/>
          <w:spacing w:val="-88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65" w:history="1">
        <w:r>
          <w:rPr>
            <w:rFonts w:ascii="Times New Roman" w:eastAsia="Times New Roman" w:hAnsi="Times New Roman" w:cs="Times New Roman"/>
            <w:b/>
            <w:bCs/>
            <w:spacing w:val="-11"/>
            <w:sz w:val="22"/>
            <w:szCs w:val="22"/>
          </w:rPr>
          <w:t>68</w:t>
        </w:r>
      </w:hyperlink>
    </w:p>
    <w:p>
      <w:pPr>
        <w:tabs>
          <w:tab w:val="right" w:leader="dot" w:pos="8295"/>
        </w:tabs>
        <w:spacing w:before="144" w:line="221" w:lineRule="auto"/>
        <w:ind w:left="2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6"/>
          <w:sz w:val="22"/>
          <w:szCs w:val="22"/>
        </w:rPr>
        <w:t>案例17:张家界市杨家溪污水处理厂项目</w:t>
      </w:r>
      <w:r>
        <w:rPr>
          <w:rFonts w:ascii="黑体" w:eastAsia="黑体" w:hAnsi="黑体" w:cs="黑体"/>
          <w:b/>
          <w:bCs/>
          <w:sz w:val="22"/>
          <w:szCs w:val="22"/>
        </w:rPr>
        <w:tab/>
      </w:r>
      <w:r>
        <w:rPr>
          <w:rFonts w:ascii="黑体" w:eastAsia="黑体" w:hAnsi="黑体" w:cs="黑体"/>
          <w:spacing w:val="-10"/>
          <w:sz w:val="22"/>
          <w:szCs w:val="22"/>
        </w:rPr>
        <w:t xml:space="preserve"> </w:t>
      </w:r>
      <w:hyperlink w:anchor="bookmark66" w:history="1">
        <w:r>
          <w:rPr>
            <w:rFonts w:ascii="Times New Roman" w:eastAsia="Times New Roman" w:hAnsi="Times New Roman" w:cs="Times New Roman"/>
            <w:b/>
            <w:bCs/>
            <w:spacing w:val="-3"/>
            <w:sz w:val="22"/>
            <w:szCs w:val="22"/>
          </w:rPr>
          <w:t>69</w:t>
        </w:r>
      </w:hyperlink>
    </w:p>
    <w:p>
      <w:pPr>
        <w:tabs>
          <w:tab w:val="right" w:leader="dot" w:pos="8290"/>
        </w:tabs>
        <w:spacing w:before="166" w:line="221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一</w:t>
      </w:r>
      <w:r>
        <w:rPr>
          <w:rFonts w:ascii="黑体" w:eastAsia="黑体" w:hAnsi="黑体" w:cs="黑体"/>
          <w:spacing w:val="-21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、项目概况</w:t>
      </w:r>
      <w:r>
        <w:rPr>
          <w:rFonts w:ascii="黑体" w:eastAsia="黑体" w:hAnsi="黑体" w:cs="黑体"/>
          <w:spacing w:val="-86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67" w:history="1">
        <w:r>
          <w:rPr>
            <w:rFonts w:ascii="Times New Roman" w:eastAsia="Times New Roman" w:hAnsi="Times New Roman" w:cs="Times New Roman"/>
            <w:b/>
            <w:bCs/>
            <w:spacing w:val="-8"/>
            <w:sz w:val="22"/>
            <w:szCs w:val="22"/>
          </w:rPr>
          <w:t>69</w:t>
        </w:r>
      </w:hyperlink>
    </w:p>
    <w:p>
      <w:pPr>
        <w:tabs>
          <w:tab w:val="right" w:leader="dot" w:pos="8265"/>
        </w:tabs>
        <w:spacing w:before="157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4"/>
          <w:sz w:val="22"/>
          <w:szCs w:val="22"/>
        </w:rPr>
        <w:t>二、运作模式</w:t>
      </w:r>
      <w:r>
        <w:rPr>
          <w:rFonts w:ascii="黑体" w:eastAsia="黑体" w:hAnsi="黑体" w:cs="黑体"/>
          <w:spacing w:val="-85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68" w:history="1">
        <w:r>
          <w:rPr>
            <w:rFonts w:ascii="Times New Roman" w:eastAsia="Times New Roman" w:hAnsi="Times New Roman" w:cs="Times New Roman"/>
            <w:b/>
            <w:bCs/>
            <w:spacing w:val="2"/>
            <w:sz w:val="22"/>
            <w:szCs w:val="22"/>
          </w:rPr>
          <w:t>70</w:t>
        </w:r>
      </w:hyperlink>
    </w:p>
    <w:p>
      <w:pPr>
        <w:tabs>
          <w:tab w:val="right" w:leader="dot" w:pos="8285"/>
        </w:tabs>
        <w:spacing w:before="155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三</w:t>
      </w:r>
      <w:r>
        <w:rPr>
          <w:rFonts w:ascii="黑体" w:eastAsia="黑体" w:hAnsi="黑体" w:cs="黑体"/>
          <w:spacing w:val="-29"/>
          <w:sz w:val="22"/>
          <w:szCs w:val="22"/>
        </w:rPr>
        <w:t xml:space="preserve"> </w:t>
      </w:r>
      <w:r>
        <w:rPr>
          <w:rFonts w:ascii="黑体" w:eastAsia="黑体" w:hAnsi="黑体" w:cs="黑体"/>
          <w:b/>
          <w:bCs/>
          <w:spacing w:val="-17"/>
          <w:sz w:val="22"/>
          <w:szCs w:val="22"/>
        </w:rPr>
        <w:t>、借鉴价值</w:t>
      </w:r>
      <w:r>
        <w:rPr>
          <w:rFonts w:ascii="黑体" w:eastAsia="黑体" w:hAnsi="黑体" w:cs="黑体"/>
          <w:spacing w:val="-88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69" w:history="1">
        <w:r>
          <w:rPr>
            <w:rFonts w:ascii="Times New Roman" w:eastAsia="Times New Roman" w:hAnsi="Times New Roman" w:cs="Times New Roman"/>
            <w:b/>
            <w:bCs/>
            <w:spacing w:val="2"/>
            <w:sz w:val="22"/>
            <w:szCs w:val="22"/>
          </w:rPr>
          <w:t>71</w:t>
        </w:r>
      </w:hyperlink>
    </w:p>
    <w:p>
      <w:pPr>
        <w:tabs>
          <w:tab w:val="right" w:leader="dot" w:pos="8285"/>
        </w:tabs>
        <w:spacing w:before="155" w:line="221" w:lineRule="auto"/>
        <w:ind w:left="2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7"/>
          <w:sz w:val="22"/>
          <w:szCs w:val="22"/>
        </w:rPr>
        <w:t>案例18:重庆涪陵至丰都高速公路项目</w:t>
      </w:r>
      <w:r>
        <w:rPr>
          <w:rFonts w:ascii="黑体" w:eastAsia="黑体" w:hAnsi="黑体" w:cs="黑体"/>
          <w:b/>
          <w:bCs/>
          <w:sz w:val="22"/>
          <w:szCs w:val="22"/>
        </w:rPr>
        <w:tab/>
      </w:r>
      <w:r>
        <w:rPr>
          <w:rFonts w:ascii="黑体" w:eastAsia="黑体" w:hAnsi="黑体" w:cs="黑体"/>
          <w:spacing w:val="-21"/>
          <w:sz w:val="22"/>
          <w:szCs w:val="22"/>
        </w:rPr>
        <w:t xml:space="preserve"> </w:t>
      </w:r>
      <w:hyperlink w:anchor="bookmark70" w:history="1">
        <w:r>
          <w:rPr>
            <w:rFonts w:ascii="Times New Roman" w:eastAsia="Times New Roman" w:hAnsi="Times New Roman" w:cs="Times New Roman"/>
            <w:b/>
            <w:bCs/>
            <w:spacing w:val="-2"/>
            <w:sz w:val="22"/>
            <w:szCs w:val="22"/>
          </w:rPr>
          <w:t>73</w:t>
        </w:r>
      </w:hyperlink>
    </w:p>
    <w:p>
      <w:pPr>
        <w:tabs>
          <w:tab w:val="right" w:leader="dot" w:pos="8275"/>
        </w:tabs>
        <w:spacing w:before="146" w:line="221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8"/>
          <w:sz w:val="22"/>
          <w:szCs w:val="22"/>
        </w:rPr>
        <w:t>一、项目概况</w:t>
      </w:r>
      <w:r>
        <w:rPr>
          <w:rFonts w:ascii="黑体" w:eastAsia="黑体" w:hAnsi="黑体" w:cs="黑体"/>
          <w:spacing w:val="-71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71" w:history="1">
        <w:r>
          <w:rPr>
            <w:rFonts w:ascii="Times New Roman" w:eastAsia="Times New Roman" w:hAnsi="Times New Roman" w:cs="Times New Roman"/>
            <w:b/>
            <w:bCs/>
            <w:spacing w:val="2"/>
            <w:sz w:val="22"/>
            <w:szCs w:val="22"/>
          </w:rPr>
          <w:t>73</w:t>
        </w:r>
      </w:hyperlink>
    </w:p>
    <w:p>
      <w:pPr>
        <w:tabs>
          <w:tab w:val="right" w:leader="dot" w:pos="8275"/>
        </w:tabs>
        <w:spacing w:before="158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pacing w:val="-8"/>
          <w:sz w:val="22"/>
          <w:szCs w:val="22"/>
        </w:rPr>
        <w:t>二、运作模式</w:t>
      </w:r>
      <w:r>
        <w:rPr>
          <w:rFonts w:ascii="黑体" w:eastAsia="黑体" w:hAnsi="黑体" w:cs="黑体"/>
          <w:spacing w:val="-71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72" w:history="1">
        <w:r>
          <w:rPr>
            <w:rFonts w:ascii="Times New Roman" w:eastAsia="Times New Roman" w:hAnsi="Times New Roman" w:cs="Times New Roman"/>
            <w:b/>
            <w:bCs/>
            <w:spacing w:val="2"/>
            <w:sz w:val="22"/>
            <w:szCs w:val="22"/>
          </w:rPr>
          <w:t>74</w:t>
        </w:r>
      </w:hyperlink>
    </w:p>
    <w:p>
      <w:pPr>
        <w:tabs>
          <w:tab w:val="right" w:leader="dot" w:pos="8287"/>
        </w:tabs>
        <w:spacing w:before="165" w:line="222" w:lineRule="auto"/>
        <w:ind w:left="21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黑体" w:eastAsia="黑体" w:hAnsi="黑体" w:cs="黑体"/>
          <w:b/>
          <w:bCs/>
          <w:sz w:val="22"/>
          <w:szCs w:val="22"/>
        </w:rPr>
        <w:t>三、借鉴价值</w:t>
      </w:r>
      <w:r>
        <w:rPr>
          <w:rFonts w:ascii="黑体" w:eastAsia="黑体" w:hAnsi="黑体" w:cs="黑体"/>
          <w:spacing w:val="-88"/>
          <w:sz w:val="22"/>
          <w:szCs w:val="22"/>
        </w:rPr>
        <w:t xml:space="preserve"> </w:t>
      </w:r>
      <w:r>
        <w:rPr>
          <w:rFonts w:ascii="黑体" w:eastAsia="黑体" w:hAnsi="黑体" w:cs="黑体"/>
          <w:sz w:val="22"/>
          <w:szCs w:val="22"/>
        </w:rPr>
        <w:tab/>
      </w:r>
      <w:hyperlink w:anchor="bookmark73" w:history="1">
        <w:r>
          <w:rPr>
            <w:rFonts w:ascii="Times New Roman" w:eastAsia="Times New Roman" w:hAnsi="Times New Roman" w:cs="Times New Roman"/>
            <w:b/>
            <w:bCs/>
            <w:spacing w:val="-6"/>
            <w:sz w:val="22"/>
            <w:szCs w:val="22"/>
          </w:rPr>
          <w:t>77</w:t>
        </w:r>
      </w:hyperlink>
    </w:p>
    <w:p>
      <w:pPr>
        <w:spacing w:line="222" w:lineRule="auto"/>
        <w:rPr>
          <w:rFonts w:ascii="Times New Roman" w:eastAsia="Times New Roman" w:hAnsi="Times New Roman" w:cs="Times New Roman"/>
          <w:sz w:val="22"/>
          <w:szCs w:val="22"/>
        </w:rPr>
        <w:sectPr>
          <w:footerReference w:type="default" r:id="rId6"/>
          <w:pgSz w:w="11910" w:h="16840"/>
          <w:pgMar w:top="1431" w:right="1786" w:bottom="1390" w:left="1786" w:header="0" w:footer="1192" w:gutter="0"/>
          <w:pgNumType w:start="4"/>
          <w:cols w:space="708"/>
        </w:sectPr>
      </w:pPr>
    </w:p>
    <w:p>
      <w:pPr>
        <w:spacing w:before="113" w:line="221" w:lineRule="auto"/>
        <w:ind w:left="577"/>
        <w:rPr>
          <w:rFonts w:ascii="黑体" w:eastAsia="黑体" w:hAnsi="黑体" w:cs="黑体"/>
          <w:sz w:val="27"/>
          <w:szCs w:val="27"/>
        </w:rPr>
      </w:pPr>
      <w:bookmarkStart w:id="0" w:name="bookmark1"/>
      <w:bookmarkEnd w:id="0"/>
      <w:r>
        <w:rPr>
          <w:rFonts w:ascii="黑体" w:eastAsia="黑体" w:hAnsi="黑体" w:cs="黑体"/>
          <w:b/>
          <w:bCs/>
          <w:spacing w:val="4"/>
          <w:sz w:val="27"/>
          <w:szCs w:val="27"/>
        </w:rPr>
        <w:t>背景说明</w:t>
      </w:r>
    </w:p>
    <w:p>
      <w:pPr>
        <w:pStyle w:val="BodyText"/>
        <w:spacing w:line="347" w:lineRule="auto"/>
      </w:pPr>
    </w:p>
    <w:p>
      <w:pPr>
        <w:spacing w:before="88" w:line="301" w:lineRule="auto"/>
        <w:ind w:left="13" w:right="89" w:firstLine="560"/>
        <w:rPr>
          <w:rFonts w:ascii="仿宋" w:eastAsia="仿宋" w:hAnsi="仿宋" w:cs="仿宋"/>
          <w:sz w:val="27"/>
          <w:szCs w:val="27"/>
        </w:rPr>
      </w:pP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3"/>
          <w:sz w:val="27"/>
          <w:szCs w:val="27"/>
        </w:rPr>
        <w:t>模式即</w:t>
      </w:r>
      <w:r>
        <w:rPr>
          <w:rFonts w:ascii="仿宋" w:eastAsia="仿宋" w:hAnsi="仿宋" w:cs="仿宋"/>
          <w:spacing w:val="-19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Public</w:t>
      </w:r>
      <w:r>
        <w:rPr>
          <w:rFonts w:ascii="宋体" w:eastAsia="宋体" w:hAnsi="宋体" w:cs="宋体"/>
          <w:spacing w:val="3"/>
          <w:sz w:val="27"/>
          <w:szCs w:val="27"/>
        </w:rPr>
        <w:t>—</w:t>
      </w:r>
      <w:r>
        <w:rPr>
          <w:rFonts w:ascii="宋体" w:eastAsia="宋体" w:hAnsi="宋体" w:cs="宋体"/>
          <w:sz w:val="27"/>
          <w:szCs w:val="27"/>
        </w:rPr>
        <w:t>Private</w:t>
      </w:r>
      <w:r>
        <w:rPr>
          <w:rFonts w:ascii="宋体" w:eastAsia="宋体" w:hAnsi="宋体" w:cs="宋体"/>
          <w:spacing w:val="3"/>
          <w:sz w:val="27"/>
          <w:szCs w:val="27"/>
        </w:rPr>
        <w:t>—</w:t>
      </w:r>
      <w:r>
        <w:rPr>
          <w:rFonts w:ascii="宋体" w:eastAsia="宋体" w:hAnsi="宋体" w:cs="宋体"/>
          <w:sz w:val="27"/>
          <w:szCs w:val="27"/>
        </w:rPr>
        <w:t>Partnership</w:t>
      </w:r>
      <w:r>
        <w:rPr>
          <w:rFonts w:ascii="宋体" w:eastAsia="宋体" w:hAnsi="宋体" w:cs="宋体"/>
          <w:spacing w:val="3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3"/>
          <w:sz w:val="27"/>
          <w:szCs w:val="27"/>
        </w:rPr>
        <w:t>的字母缩写，通常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译为“公共私营合作制”,是指政府与私人组织之</w:t>
      </w:r>
      <w:r>
        <w:rPr>
          <w:rFonts w:ascii="仿宋" w:eastAsia="仿宋" w:hAnsi="仿宋" w:cs="仿宋"/>
          <w:spacing w:val="9"/>
          <w:sz w:val="27"/>
          <w:szCs w:val="27"/>
        </w:rPr>
        <w:t>间，为了合作建设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城市基础设施项目，或是为了提供某种公共物品和服务，</w:t>
      </w:r>
      <w:r>
        <w:rPr>
          <w:rFonts w:ascii="仿宋" w:eastAsia="仿宋" w:hAnsi="仿宋" w:cs="仿宋"/>
          <w:spacing w:val="49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2"/>
          <w:sz w:val="27"/>
          <w:szCs w:val="27"/>
        </w:rPr>
        <w:t>以特许权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协议为基础，彼此之间形成一种伙伴式的合作关系，并通过签署合同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来明确双方的权利和义务，以确保合作的顺利完成，最终使合作各方</w:t>
      </w:r>
    </w:p>
    <w:p>
      <w:pPr>
        <w:spacing w:before="1" w:line="220" w:lineRule="auto"/>
        <w:ind w:left="1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达到比预期单独行动更为有利的结果。</w:t>
      </w:r>
    </w:p>
    <w:p>
      <w:pPr>
        <w:spacing w:before="110" w:line="300" w:lineRule="auto"/>
        <w:ind w:left="13" w:firstLine="5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z w:val="27"/>
          <w:szCs w:val="27"/>
        </w:rPr>
        <w:t xml:space="preserve">广义的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PPP </w:t>
      </w:r>
      <w:r>
        <w:rPr>
          <w:rFonts w:ascii="仿宋" w:eastAsia="仿宋" w:hAnsi="仿宋" w:cs="仿宋"/>
          <w:sz w:val="27"/>
          <w:szCs w:val="27"/>
        </w:rPr>
        <w:t xml:space="preserve">可以理解为一系列项目融资模式的总称，包含 </w:t>
      </w:r>
      <w:r>
        <w:rPr>
          <w:rFonts w:ascii="Times New Roman" w:eastAsia="Times New Roman" w:hAnsi="Times New Roman" w:cs="Times New Roman"/>
          <w:sz w:val="27"/>
          <w:szCs w:val="27"/>
        </w:rPr>
        <w:t>BOT</w:t>
      </w:r>
      <w:r>
        <w:rPr>
          <w:rFonts w:ascii="宋体" w:eastAsia="宋体" w:hAnsi="宋体" w:cs="宋体"/>
          <w:sz w:val="27"/>
          <w:szCs w:val="27"/>
        </w:rPr>
        <w:t>、</w:t>
      </w:r>
      <w:r>
        <w:rPr>
          <w:rFonts w:ascii="宋体" w:eastAsia="宋体" w:hAnsi="宋体" w:cs="宋体"/>
          <w:spacing w:val="6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7"/>
          <w:szCs w:val="27"/>
        </w:rPr>
        <w:t>TOT</w:t>
      </w:r>
      <w:r>
        <w:rPr>
          <w:rFonts w:ascii="宋体" w:eastAsia="宋体" w:hAnsi="宋体" w:cs="宋体"/>
          <w:spacing w:val="-1"/>
          <w:sz w:val="27"/>
          <w:szCs w:val="27"/>
        </w:rPr>
        <w:t>、</w:t>
      </w:r>
      <w:r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DBFO </w:t>
      </w:r>
      <w:r>
        <w:rPr>
          <w:rFonts w:ascii="仿宋" w:eastAsia="仿宋" w:hAnsi="仿宋" w:cs="仿宋"/>
          <w:spacing w:val="-1"/>
          <w:sz w:val="27"/>
          <w:szCs w:val="27"/>
        </w:rPr>
        <w:t>等多种模式。狭义的</w:t>
      </w:r>
      <w:r>
        <w:rPr>
          <w:rFonts w:ascii="Times New Roman" w:eastAsia="Times New Roman" w:hAnsi="Times New Roman" w:cs="Times New Roman"/>
          <w:spacing w:val="-1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-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1"/>
          <w:sz w:val="27"/>
          <w:szCs w:val="27"/>
        </w:rPr>
        <w:t>模式为政府针对具体项目特</w:t>
      </w:r>
      <w:r>
        <w:rPr>
          <w:rFonts w:ascii="仿宋" w:eastAsia="仿宋" w:hAnsi="仿宋" w:cs="仿宋"/>
          <w:spacing w:val="-2"/>
          <w:sz w:val="27"/>
          <w:szCs w:val="27"/>
        </w:rPr>
        <w:t xml:space="preserve">许新 </w:t>
      </w:r>
      <w:r>
        <w:rPr>
          <w:rFonts w:ascii="仿宋" w:eastAsia="仿宋" w:hAnsi="仿宋" w:cs="仿宋"/>
          <w:spacing w:val="5"/>
          <w:sz w:val="27"/>
          <w:szCs w:val="27"/>
        </w:rPr>
        <w:t xml:space="preserve">建一家项目公司，并对其提供扶持措施，然后，项目公司负责进行项 </w:t>
      </w:r>
      <w:r>
        <w:rPr>
          <w:rFonts w:ascii="仿宋" w:eastAsia="仿宋" w:hAnsi="仿宋" w:cs="仿宋"/>
          <w:spacing w:val="7"/>
          <w:sz w:val="27"/>
          <w:szCs w:val="27"/>
        </w:rPr>
        <w:t>目的融资和建设，融资来源包括项目资本金和</w:t>
      </w:r>
      <w:r>
        <w:rPr>
          <w:rFonts w:ascii="仿宋" w:eastAsia="仿宋" w:hAnsi="仿宋" w:cs="仿宋"/>
          <w:spacing w:val="6"/>
          <w:sz w:val="27"/>
          <w:szCs w:val="27"/>
        </w:rPr>
        <w:t>贷款；项目建成后，由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政府特许企业进行项目的开发和运营，而贷款人除了可以获得项目经</w:t>
      </w:r>
    </w:p>
    <w:p>
      <w:pPr>
        <w:spacing w:before="1" w:line="218" w:lineRule="auto"/>
        <w:ind w:left="1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营的直接收益外，还可获得通过政府扶持所转化的效</w:t>
      </w:r>
      <w:r>
        <w:rPr>
          <w:rFonts w:ascii="仿宋" w:eastAsia="仿宋" w:hAnsi="仿宋" w:cs="仿宋"/>
          <w:spacing w:val="6"/>
          <w:sz w:val="27"/>
          <w:szCs w:val="27"/>
        </w:rPr>
        <w:t>益。</w:t>
      </w:r>
    </w:p>
    <w:p>
      <w:pPr>
        <w:spacing w:before="123" w:line="441" w:lineRule="exact"/>
        <w:ind w:left="57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position w:val="12"/>
          <w:sz w:val="27"/>
          <w:szCs w:val="27"/>
        </w:rPr>
        <w:t>采用这种融资形式的实质是：政府通过给予私营公司长期的特许</w:t>
      </w:r>
    </w:p>
    <w:p>
      <w:pPr>
        <w:spacing w:line="221" w:lineRule="auto"/>
        <w:ind w:left="1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经营权和收益权来换取基础设施加快建设及有</w:t>
      </w:r>
      <w:r>
        <w:rPr>
          <w:rFonts w:ascii="仿宋" w:eastAsia="仿宋" w:hAnsi="仿宋" w:cs="仿宋"/>
          <w:spacing w:val="6"/>
          <w:sz w:val="27"/>
          <w:szCs w:val="27"/>
        </w:rPr>
        <w:t>效运营。</w:t>
      </w:r>
    </w:p>
    <w:p>
      <w:pPr>
        <w:spacing w:before="117" w:line="301" w:lineRule="auto"/>
        <w:ind w:left="13" w:right="78" w:firstLine="560"/>
        <w:rPr>
          <w:rFonts w:ascii="仿宋" w:eastAsia="仿宋" w:hAnsi="仿宋" w:cs="仿宋"/>
          <w:sz w:val="27"/>
          <w:szCs w:val="27"/>
        </w:rPr>
      </w:pP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2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模式起源于上个世纪80 年代的英国，广义</w:t>
      </w:r>
      <w:r>
        <w:rPr>
          <w:rFonts w:ascii="仿宋" w:eastAsia="仿宋" w:hAnsi="仿宋" w:cs="仿宋"/>
          <w:spacing w:val="-35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以授予私人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部门特许经营权为特征，包括</w:t>
      </w:r>
      <w:r>
        <w:rPr>
          <w:rFonts w:ascii="宋体" w:eastAsia="宋体" w:hAnsi="宋体" w:cs="宋体"/>
          <w:sz w:val="27"/>
          <w:szCs w:val="27"/>
        </w:rPr>
        <w:t>BOT</w:t>
      </w:r>
      <w:r>
        <w:rPr>
          <w:rFonts w:ascii="宋体" w:eastAsia="宋体" w:hAnsi="宋体" w:cs="宋体"/>
          <w:spacing w:val="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等多种形式。狭义的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是政府与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私人部门组成特殊目的机构</w:t>
      </w:r>
      <w:r>
        <w:rPr>
          <w:rFonts w:ascii="宋体" w:eastAsia="宋体" w:hAnsi="宋体" w:cs="宋体"/>
          <w:spacing w:val="6"/>
          <w:sz w:val="27"/>
          <w:szCs w:val="27"/>
        </w:rPr>
        <w:t>(</w:t>
      </w:r>
      <w:r>
        <w:rPr>
          <w:rFonts w:ascii="宋体" w:eastAsia="宋体" w:hAnsi="宋体" w:cs="宋体"/>
          <w:sz w:val="27"/>
          <w:szCs w:val="27"/>
        </w:rPr>
        <w:t>SPV</w:t>
      </w:r>
      <w:r>
        <w:rPr>
          <w:rFonts w:ascii="宋体" w:eastAsia="宋体" w:hAnsi="宋体" w:cs="宋体"/>
          <w:spacing w:val="6"/>
          <w:sz w:val="27"/>
          <w:szCs w:val="27"/>
        </w:rPr>
        <w:t>),</w:t>
      </w:r>
      <w:r>
        <w:rPr>
          <w:rFonts w:ascii="宋体" w:eastAsia="宋体" w:hAnsi="宋体" w:cs="宋体"/>
          <w:spacing w:val="6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引入社会资本，共同设计开发，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共同承担风险，全过程合作，期满后再移交政府的公共服务开发运营</w:t>
      </w:r>
    </w:p>
    <w:p>
      <w:pPr>
        <w:spacing w:line="223" w:lineRule="auto"/>
        <w:ind w:left="1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4"/>
          <w:sz w:val="27"/>
          <w:szCs w:val="27"/>
        </w:rPr>
        <w:t>方式。</w:t>
      </w:r>
    </w:p>
    <w:p>
      <w:pPr>
        <w:spacing w:before="110" w:line="301" w:lineRule="auto"/>
        <w:ind w:left="13" w:right="88" w:firstLine="560"/>
        <w:rPr>
          <w:rFonts w:ascii="仿宋" w:eastAsia="仿宋" w:hAnsi="仿宋" w:cs="仿宋"/>
          <w:sz w:val="27"/>
          <w:szCs w:val="27"/>
        </w:rPr>
      </w:pP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模式虽然是近几年才发展起来的，但在国外已经得</w:t>
      </w:r>
      <w:r>
        <w:rPr>
          <w:rFonts w:ascii="仿宋" w:eastAsia="仿宋" w:hAnsi="仿宋" w:cs="仿宋"/>
          <w:spacing w:val="5"/>
          <w:sz w:val="27"/>
          <w:szCs w:val="27"/>
        </w:rPr>
        <w:t>到了普遍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9"/>
          <w:sz w:val="27"/>
          <w:szCs w:val="27"/>
        </w:rPr>
        <w:t>的应用。1992年英国最早应用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1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9"/>
          <w:sz w:val="27"/>
          <w:szCs w:val="27"/>
        </w:rPr>
        <w:t>模式。英国75%的政府</w:t>
      </w:r>
      <w:r>
        <w:rPr>
          <w:rFonts w:ascii="仿宋" w:eastAsia="仿宋" w:hAnsi="仿宋" w:cs="仿宋"/>
          <w:spacing w:val="18"/>
          <w:sz w:val="27"/>
          <w:szCs w:val="27"/>
        </w:rPr>
        <w:t>管理者认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为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2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模式下的工程达到和超过价格与质量关系的要求，可节省17%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的资金。80%的工程项目按规定工期完成，常</w:t>
      </w:r>
      <w:r>
        <w:rPr>
          <w:rFonts w:ascii="仿宋" w:eastAsia="仿宋" w:hAnsi="仿宋" w:cs="仿宋"/>
          <w:spacing w:val="9"/>
          <w:sz w:val="27"/>
          <w:szCs w:val="27"/>
        </w:rPr>
        <w:t>规招标项目按期完成的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32"/>
          <w:sz w:val="27"/>
          <w:szCs w:val="27"/>
        </w:rPr>
        <w:t>只有30%;20%未按期完成的、拖延时间最长没有超过4个月。同</w:t>
      </w:r>
      <w:r>
        <w:rPr>
          <w:rFonts w:ascii="仿宋" w:eastAsia="仿宋" w:hAnsi="仿宋" w:cs="仿宋"/>
          <w:spacing w:val="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3"/>
          <w:sz w:val="27"/>
          <w:szCs w:val="27"/>
        </w:rPr>
        <w:t>时，80%的工程耗资均在预算之内，</w:t>
      </w:r>
      <w:r>
        <w:rPr>
          <w:rFonts w:ascii="仿宋" w:eastAsia="仿宋" w:hAnsi="仿宋" w:cs="仿宋"/>
          <w:spacing w:val="8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3"/>
          <w:sz w:val="27"/>
          <w:szCs w:val="27"/>
        </w:rPr>
        <w:t>一般传统招标方式只能达到2</w:t>
      </w:r>
      <w:r>
        <w:rPr>
          <w:rFonts w:ascii="仿宋" w:eastAsia="仿宋" w:hAnsi="仿宋" w:cs="仿宋"/>
          <w:spacing w:val="2"/>
          <w:sz w:val="27"/>
          <w:szCs w:val="27"/>
        </w:rPr>
        <w:t>5%;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20%超过预算的是因为政府提出调整工程方案。按照英国的经验，适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1"/>
          <w:sz w:val="27"/>
          <w:szCs w:val="27"/>
        </w:rPr>
        <w:t>于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1"/>
          <w:sz w:val="27"/>
          <w:szCs w:val="27"/>
        </w:rPr>
        <w:t>模式的工程包括：交通(公路、铁路、机场、港口)、卫生(医</w:t>
      </w:r>
    </w:p>
    <w:p>
      <w:pPr>
        <w:spacing w:before="1" w:line="221" w:lineRule="auto"/>
        <w:ind w:left="1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1"/>
          <w:sz w:val="27"/>
          <w:szCs w:val="27"/>
        </w:rPr>
        <w:t>院)、公共安全(监狱)、国防、教育(学校)、公共不动产管理。</w:t>
      </w:r>
    </w:p>
    <w:p>
      <w:pPr>
        <w:spacing w:before="116" w:line="458" w:lineRule="exact"/>
        <w:ind w:left="57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5"/>
          <w:position w:val="13"/>
          <w:sz w:val="27"/>
          <w:szCs w:val="27"/>
        </w:rPr>
        <w:t>智利是国家为平衡基础设施投资和公用事业急需改善的背景下</w:t>
      </w:r>
    </w:p>
    <w:p>
      <w:pPr>
        <w:spacing w:line="220" w:lineRule="auto"/>
        <w:ind w:left="1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3"/>
          <w:sz w:val="27"/>
          <w:szCs w:val="27"/>
        </w:rPr>
        <w:t>于1994年引进</w:t>
      </w:r>
      <w:r>
        <w:rPr>
          <w:rFonts w:ascii="仿宋" w:eastAsia="仿宋" w:hAnsi="仿宋" w:cs="仿宋"/>
          <w:spacing w:val="-44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-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模式的。结果是提高了基础设</w:t>
      </w:r>
      <w:r>
        <w:rPr>
          <w:rFonts w:ascii="仿宋" w:eastAsia="仿宋" w:hAnsi="仿宋" w:cs="仿宋"/>
          <w:spacing w:val="12"/>
          <w:sz w:val="27"/>
          <w:szCs w:val="27"/>
        </w:rPr>
        <w:t>施现代化程度，并</w:t>
      </w:r>
    </w:p>
    <w:p>
      <w:pPr>
        <w:spacing w:line="220" w:lineRule="auto"/>
        <w:rPr>
          <w:rFonts w:ascii="仿宋" w:eastAsia="仿宋" w:hAnsi="仿宋" w:cs="仿宋"/>
          <w:sz w:val="27"/>
          <w:szCs w:val="27"/>
        </w:rPr>
        <w:sectPr>
          <w:footerReference w:type="default" r:id="rId7"/>
          <w:pgSz w:w="11910" w:h="16840"/>
          <w:pgMar w:top="1431" w:right="1734" w:bottom="1337" w:left="1786" w:header="0" w:footer="1199" w:gutter="0"/>
          <w:pgNumType w:start="5"/>
          <w:cols w:space="708"/>
        </w:sectPr>
      </w:pPr>
    </w:p>
    <w:p>
      <w:pPr>
        <w:spacing w:before="115" w:line="301" w:lineRule="auto"/>
        <w:ind w:left="13" w:right="9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4"/>
          <w:sz w:val="27"/>
          <w:szCs w:val="27"/>
        </w:rPr>
        <w:t>获得充足资金投资到社会发展计划。至今已完成36个项目，投资额</w:t>
      </w:r>
      <w:r>
        <w:rPr>
          <w:rFonts w:ascii="仿宋" w:eastAsia="仿宋" w:hAnsi="仿宋" w:cs="仿宋"/>
          <w:spacing w:val="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8"/>
          <w:sz w:val="27"/>
          <w:szCs w:val="27"/>
        </w:rPr>
        <w:t>60亿美元。其中，24个交通领域工程、9个机场、2个监狱、1个水</w:t>
      </w:r>
      <w:r>
        <w:rPr>
          <w:rFonts w:ascii="仿宋" w:eastAsia="仿宋" w:hAnsi="仿宋" w:cs="仿宋"/>
          <w:spacing w:val="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8"/>
          <w:sz w:val="27"/>
          <w:szCs w:val="27"/>
        </w:rPr>
        <w:t>库。年投资规模由模式实施以前的3亿美元增加到17亿美元。葡萄</w:t>
      </w:r>
      <w:r>
        <w:rPr>
          <w:rFonts w:ascii="仿宋" w:eastAsia="仿宋" w:hAnsi="仿宋" w:cs="仿宋"/>
          <w:spacing w:val="9"/>
          <w:sz w:val="27"/>
          <w:szCs w:val="27"/>
        </w:rPr>
        <w:t xml:space="preserve"> 牙自1997年启动</w:t>
      </w:r>
      <w:r>
        <w:rPr>
          <w:rFonts w:ascii="仿宋" w:eastAsia="仿宋" w:hAnsi="仿宋" w:cs="仿宋"/>
          <w:spacing w:val="-40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5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模式，首先应用在公路网的建设上。至2006</w:t>
      </w:r>
      <w:r>
        <w:rPr>
          <w:rFonts w:ascii="仿宋" w:eastAsia="仿宋" w:hAnsi="仿宋" w:cs="仿宋"/>
          <w:spacing w:val="-3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年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1"/>
          <w:sz w:val="27"/>
          <w:szCs w:val="27"/>
        </w:rPr>
        <w:t>的10</w:t>
      </w:r>
      <w:r>
        <w:rPr>
          <w:rFonts w:ascii="仿宋" w:eastAsia="仿宋" w:hAnsi="仿宋" w:cs="仿宋"/>
          <w:spacing w:val="-2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1"/>
          <w:sz w:val="27"/>
          <w:szCs w:val="27"/>
        </w:rPr>
        <w:t>年期间，公路里程比原来增加一倍。除</w:t>
      </w:r>
      <w:r>
        <w:rPr>
          <w:rFonts w:ascii="仿宋" w:eastAsia="仿宋" w:hAnsi="仿宋" w:cs="仿宋"/>
          <w:spacing w:val="10"/>
          <w:sz w:val="27"/>
          <w:szCs w:val="27"/>
        </w:rPr>
        <w:t>公路以外，正在实施的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工程还包括医院的建设和运营、修建铁路和城市地铁。巴西于2004</w:t>
      </w:r>
      <w:r>
        <w:rPr>
          <w:rFonts w:ascii="仿宋" w:eastAsia="仿宋" w:hAnsi="仿宋" w:cs="仿宋"/>
          <w:spacing w:val="1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年12月通过“公私合营</w:t>
      </w:r>
      <w:r>
        <w:rPr>
          <w:rFonts w:ascii="仿宋" w:eastAsia="仿宋" w:hAnsi="仿宋" w:cs="仿宋"/>
          <w:spacing w:val="-32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10"/>
          <w:sz w:val="27"/>
          <w:szCs w:val="27"/>
        </w:rPr>
        <w:t>(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10"/>
          <w:sz w:val="27"/>
          <w:szCs w:val="27"/>
        </w:rPr>
        <w:t>)</w:t>
      </w:r>
      <w:r>
        <w:rPr>
          <w:rFonts w:ascii="宋体" w:eastAsia="宋体" w:hAnsi="宋体" w:cs="宋体"/>
          <w:spacing w:val="6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模式”法案，</w:t>
      </w:r>
      <w:r>
        <w:rPr>
          <w:rFonts w:ascii="仿宋" w:eastAsia="仿宋" w:hAnsi="仿宋" w:cs="仿宋"/>
          <w:spacing w:val="9"/>
          <w:sz w:val="27"/>
          <w:szCs w:val="27"/>
        </w:rPr>
        <w:t>该法对国家管理部门执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行</w:t>
      </w:r>
      <w:r>
        <w:rPr>
          <w:rFonts w:ascii="仿宋" w:eastAsia="仿宋" w:hAnsi="仿宋" w:cs="仿宋"/>
          <w:spacing w:val="-37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5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模式下的工程招投标和签订工程合同做出具体的规定。据巴西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计划部称，已经列入2004年一2007年四年发展规划中的23项公路、</w:t>
      </w:r>
      <w:r>
        <w:rPr>
          <w:rFonts w:ascii="仿宋" w:eastAsia="仿宋" w:hAnsi="仿宋" w:cs="仿宋"/>
          <w:spacing w:val="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9"/>
          <w:sz w:val="27"/>
          <w:szCs w:val="27"/>
        </w:rPr>
        <w:t xml:space="preserve">铁路、港口和灌溉工程将作为 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5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9"/>
          <w:sz w:val="27"/>
          <w:szCs w:val="27"/>
        </w:rPr>
        <w:t>模式的首批招标项目，总投资</w:t>
      </w:r>
    </w:p>
    <w:p>
      <w:pPr>
        <w:spacing w:line="222" w:lineRule="auto"/>
        <w:ind w:left="1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130.67亿雷亚尔。</w:t>
      </w:r>
    </w:p>
    <w:p>
      <w:pPr>
        <w:spacing w:before="109" w:line="301" w:lineRule="auto"/>
        <w:ind w:left="13" w:firstLine="57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8"/>
          <w:sz w:val="27"/>
          <w:szCs w:val="27"/>
        </w:rPr>
        <w:t>从国内来看，2015年10月20 日，国家发展改革委和全</w:t>
      </w:r>
      <w:r>
        <w:rPr>
          <w:rFonts w:ascii="仿宋" w:eastAsia="仿宋" w:hAnsi="仿宋" w:cs="仿宋"/>
          <w:spacing w:val="17"/>
          <w:sz w:val="27"/>
          <w:szCs w:val="27"/>
        </w:rPr>
        <w:t>国工商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联在北京举行政府和社会资本合作</w:t>
      </w:r>
      <w:r>
        <w:rPr>
          <w:rFonts w:ascii="宋体" w:eastAsia="宋体" w:hAnsi="宋体" w:cs="宋体"/>
          <w:spacing w:val="8"/>
          <w:sz w:val="27"/>
          <w:szCs w:val="27"/>
        </w:rPr>
        <w:t>(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8"/>
          <w:sz w:val="27"/>
          <w:szCs w:val="27"/>
        </w:rPr>
        <w:t>)</w:t>
      </w:r>
      <w:r>
        <w:rPr>
          <w:rFonts w:ascii="宋体" w:eastAsia="宋体" w:hAnsi="宋体" w:cs="宋体"/>
          <w:spacing w:val="-7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项目推介</w:t>
      </w:r>
      <w:r>
        <w:rPr>
          <w:rFonts w:ascii="仿宋" w:eastAsia="仿宋" w:hAnsi="仿宋" w:cs="仿宋"/>
          <w:spacing w:val="7"/>
          <w:sz w:val="27"/>
          <w:szCs w:val="27"/>
        </w:rPr>
        <w:t xml:space="preserve">电视电话会议，江 </w:t>
      </w:r>
      <w:r>
        <w:rPr>
          <w:rFonts w:ascii="仿宋" w:eastAsia="仿宋" w:hAnsi="仿宋" w:cs="仿宋"/>
          <w:spacing w:val="5"/>
          <w:sz w:val="27"/>
          <w:szCs w:val="27"/>
        </w:rPr>
        <w:t xml:space="preserve">苏、安徽、福建、江西、山东、湖北、贵州等七个省份在会上推出总 </w:t>
      </w:r>
      <w:r>
        <w:rPr>
          <w:rFonts w:ascii="仿宋" w:eastAsia="仿宋" w:hAnsi="仿宋" w:cs="仿宋"/>
          <w:spacing w:val="12"/>
          <w:sz w:val="27"/>
          <w:szCs w:val="27"/>
        </w:rPr>
        <w:t>投资约9400亿元的287个项目，涉及市政、公路、轨道交通、机场、</w:t>
      </w:r>
      <w:r>
        <w:rPr>
          <w:rFonts w:ascii="仿宋" w:eastAsia="仿宋" w:hAnsi="仿宋" w:cs="仿宋"/>
          <w:spacing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水利、能源等多个领域。江苏是较早探索</w:t>
      </w:r>
      <w:r>
        <w:rPr>
          <w:rFonts w:ascii="仿宋" w:eastAsia="仿宋" w:hAnsi="仿宋" w:cs="仿宋"/>
          <w:spacing w:val="-29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2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模式的省份之一，此次</w:t>
      </w:r>
      <w:r>
        <w:rPr>
          <w:rFonts w:ascii="仿宋" w:eastAsia="仿宋" w:hAnsi="仿宋" w:cs="仿宋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10"/>
          <w:sz w:val="27"/>
          <w:szCs w:val="27"/>
        </w:rPr>
        <w:t>重点推介50个项目，计划总投资近2400</w:t>
      </w:r>
      <w:r>
        <w:rPr>
          <w:rFonts w:ascii="仿宋" w:eastAsia="仿宋" w:hAnsi="仿宋" w:cs="仿宋"/>
          <w:spacing w:val="-3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亿元。江苏省发</w:t>
      </w:r>
      <w:r>
        <w:rPr>
          <w:rFonts w:ascii="仿宋" w:eastAsia="仿宋" w:hAnsi="仿宋" w:cs="仿宋"/>
          <w:spacing w:val="9"/>
          <w:sz w:val="27"/>
          <w:szCs w:val="27"/>
        </w:rPr>
        <w:t xml:space="preserve">改委有关负 </w:t>
      </w:r>
      <w:r>
        <w:rPr>
          <w:rFonts w:ascii="仿宋" w:eastAsia="仿宋" w:hAnsi="仿宋" w:cs="仿宋"/>
          <w:spacing w:val="-10"/>
          <w:sz w:val="27"/>
          <w:szCs w:val="27"/>
        </w:rPr>
        <w:t>责人在推介会上说，这些项目具有四大特点：</w:t>
      </w:r>
      <w:r>
        <w:rPr>
          <w:rFonts w:ascii="仿宋" w:eastAsia="仿宋" w:hAnsi="仿宋" w:cs="仿宋"/>
          <w:spacing w:val="8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11"/>
          <w:sz w:val="27"/>
          <w:szCs w:val="27"/>
        </w:rPr>
        <w:t>一是单体规模较大，平均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投资规模超过40</w:t>
      </w:r>
      <w:r>
        <w:rPr>
          <w:rFonts w:ascii="仿宋" w:eastAsia="仿宋" w:hAnsi="仿宋" w:cs="仿宋"/>
          <w:spacing w:val="-3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亿元；二是层次较高，多数项目</w:t>
      </w:r>
      <w:r>
        <w:rPr>
          <w:rFonts w:ascii="仿宋" w:eastAsia="仿宋" w:hAnsi="仿宋" w:cs="仿宋"/>
          <w:spacing w:val="1"/>
          <w:sz w:val="27"/>
          <w:szCs w:val="27"/>
        </w:rPr>
        <w:t xml:space="preserve">为省市县三级重大项 </w:t>
      </w:r>
      <w:r>
        <w:rPr>
          <w:rFonts w:ascii="仿宋" w:eastAsia="仿宋" w:hAnsi="仿宋" w:cs="仿宋"/>
          <w:spacing w:val="-12"/>
          <w:sz w:val="27"/>
          <w:szCs w:val="27"/>
        </w:rPr>
        <w:t>目；三是前景较好，收益较稳定，回报机制灵活，可操作性强，易于形成</w:t>
      </w:r>
    </w:p>
    <w:p>
      <w:pPr>
        <w:spacing w:line="220" w:lineRule="auto"/>
        <w:ind w:left="1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z w:val="27"/>
          <w:szCs w:val="27"/>
        </w:rPr>
        <w:t>多方共赢的合作成果。</w:t>
      </w:r>
    </w:p>
    <w:p>
      <w:pPr>
        <w:spacing w:before="122" w:line="300" w:lineRule="auto"/>
        <w:ind w:left="13" w:right="88" w:firstLine="57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仿宋" w:eastAsia="仿宋" w:hAnsi="仿宋" w:cs="仿宋"/>
          <w:spacing w:val="11"/>
          <w:sz w:val="27"/>
          <w:szCs w:val="27"/>
        </w:rPr>
        <w:t>模式突破了引入私人企业参与公共基础设施项目组织机构的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多种限制，可适用于城市供热等各类市政公用事业及道路、铁路、机</w:t>
      </w:r>
    </w:p>
    <w:p>
      <w:pPr>
        <w:spacing w:before="1" w:line="221" w:lineRule="auto"/>
        <w:ind w:left="1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sz w:val="27"/>
          <w:szCs w:val="27"/>
        </w:rPr>
        <w:t>场、医院、学校等。</w:t>
      </w:r>
    </w:p>
    <w:p>
      <w:pPr>
        <w:spacing w:before="110" w:line="302" w:lineRule="auto"/>
        <w:ind w:left="13" w:right="95" w:firstLine="57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"/>
          <w:sz w:val="27"/>
          <w:szCs w:val="27"/>
        </w:rPr>
        <w:t xml:space="preserve">十三五时期， 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-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"/>
          <w:sz w:val="27"/>
          <w:szCs w:val="27"/>
        </w:rPr>
        <w:t>模式在基础设施与公用事业项目中的应用</w:t>
      </w:r>
      <w:r>
        <w:rPr>
          <w:rFonts w:ascii="仿宋" w:eastAsia="仿宋" w:hAnsi="仿宋" w:cs="仿宋"/>
          <w:sz w:val="27"/>
          <w:szCs w:val="27"/>
        </w:rPr>
        <w:t xml:space="preserve">将得 </w:t>
      </w:r>
      <w:r>
        <w:rPr>
          <w:rFonts w:ascii="仿宋" w:eastAsia="仿宋" w:hAnsi="仿宋" w:cs="仿宋"/>
          <w:spacing w:val="-11"/>
          <w:sz w:val="27"/>
          <w:szCs w:val="27"/>
        </w:rPr>
        <w:t>以进一步推广：</w:t>
      </w:r>
      <w:r>
        <w:rPr>
          <w:rFonts w:ascii="仿宋" w:eastAsia="仿宋" w:hAnsi="仿宋" w:cs="仿宋"/>
          <w:spacing w:val="10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11"/>
          <w:sz w:val="27"/>
          <w:szCs w:val="27"/>
        </w:rPr>
        <w:t>一是制度环境的改善，  《基础设施和公用事业特许经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营管理办法》约束了地方政府违约责任；二是随</w:t>
      </w:r>
      <w:r>
        <w:rPr>
          <w:rFonts w:ascii="仿宋" w:eastAsia="仿宋" w:hAnsi="仿宋" w:cs="仿宋"/>
          <w:spacing w:val="5"/>
          <w:sz w:val="27"/>
          <w:szCs w:val="27"/>
        </w:rPr>
        <w:t>着成功项目的推广与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5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培训，地方政府和社会资本对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2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具体操作了解度提升</w:t>
      </w:r>
      <w:r>
        <w:rPr>
          <w:rFonts w:ascii="仿宋" w:eastAsia="仿宋" w:hAnsi="仿宋" w:cs="仿宋"/>
          <w:spacing w:val="9"/>
          <w:sz w:val="27"/>
          <w:szCs w:val="27"/>
        </w:rPr>
        <w:t>；三是政</w:t>
      </w:r>
    </w:p>
    <w:p>
      <w:pPr>
        <w:spacing w:before="1" w:line="222" w:lineRule="auto"/>
        <w:jc w:val="right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策引导，财政部设立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专项引导基金、对部分项目提供财税支持。</w:t>
      </w:r>
    </w:p>
    <w:p>
      <w:pPr>
        <w:spacing w:before="131" w:line="253" w:lineRule="auto"/>
        <w:ind w:left="13" w:firstLine="57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地方基建曾由城投企业主导，43 号文限制了融资平</w:t>
      </w:r>
      <w:r>
        <w:rPr>
          <w:rFonts w:ascii="仿宋" w:eastAsia="仿宋" w:hAnsi="仿宋" w:cs="仿宋"/>
          <w:spacing w:val="8"/>
          <w:sz w:val="27"/>
          <w:szCs w:val="27"/>
        </w:rPr>
        <w:t xml:space="preserve">台的政府融 </w:t>
      </w:r>
      <w:r>
        <w:rPr>
          <w:rFonts w:ascii="仿宋" w:eastAsia="仿宋" w:hAnsi="仿宋" w:cs="仿宋"/>
          <w:spacing w:val="6"/>
          <w:sz w:val="27"/>
          <w:szCs w:val="27"/>
        </w:rPr>
        <w:t>资职能，对于新建项目和未完工存量项目，优先安排</w:t>
      </w:r>
      <w:r>
        <w:rPr>
          <w:rFonts w:ascii="仿宋" w:eastAsia="仿宋" w:hAnsi="仿宋" w:cs="仿宋"/>
          <w:spacing w:val="-13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模式建设。</w:t>
      </w:r>
    </w:p>
    <w:p>
      <w:pPr>
        <w:spacing w:line="253" w:lineRule="auto"/>
        <w:rPr>
          <w:rFonts w:ascii="仿宋" w:eastAsia="仿宋" w:hAnsi="仿宋" w:cs="仿宋"/>
          <w:sz w:val="27"/>
          <w:szCs w:val="27"/>
        </w:rPr>
        <w:sectPr>
          <w:footerReference w:type="default" r:id="rId8"/>
          <w:pgSz w:w="11910" w:h="16840"/>
          <w:pgMar w:top="1431" w:right="1734" w:bottom="1338" w:left="1786" w:header="0" w:footer="1199" w:gutter="0"/>
          <w:pgNumType w:start="6"/>
          <w:cols w:space="708"/>
        </w:sectPr>
      </w:pPr>
    </w:p>
    <w:p>
      <w:pPr>
        <w:spacing w:before="114" w:line="443" w:lineRule="exact"/>
        <w:ind w:left="3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position w:val="12"/>
          <w:sz w:val="27"/>
          <w:szCs w:val="27"/>
        </w:rPr>
        <w:t>随着</w:t>
      </w:r>
      <w:r>
        <w:rPr>
          <w:rFonts w:ascii="仿宋" w:eastAsia="仿宋" w:hAnsi="仿宋" w:cs="仿宋"/>
          <w:spacing w:val="-33"/>
          <w:position w:val="1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position w:val="12"/>
          <w:sz w:val="27"/>
          <w:szCs w:val="27"/>
        </w:rPr>
        <w:t>PPP</w:t>
      </w:r>
      <w:r>
        <w:rPr>
          <w:rFonts w:ascii="仿宋" w:eastAsia="仿宋" w:hAnsi="仿宋" w:cs="仿宋"/>
          <w:spacing w:val="2"/>
          <w:position w:val="12"/>
          <w:sz w:val="27"/>
          <w:szCs w:val="27"/>
        </w:rPr>
        <w:t xml:space="preserve">签约率的提升， </w:t>
      </w:r>
      <w:r>
        <w:rPr>
          <w:rFonts w:ascii="Times New Roman" w:eastAsia="Times New Roman" w:hAnsi="Times New Roman" w:cs="Times New Roman"/>
          <w:position w:val="12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-13"/>
          <w:position w:val="1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position w:val="12"/>
          <w:sz w:val="27"/>
          <w:szCs w:val="27"/>
        </w:rPr>
        <w:t>模式对城投债的替代性增强，为资本市</w:t>
      </w:r>
    </w:p>
    <w:p>
      <w:pPr>
        <w:spacing w:line="222" w:lineRule="auto"/>
        <w:ind w:left="3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"/>
          <w:sz w:val="27"/>
          <w:szCs w:val="27"/>
        </w:rPr>
        <w:t>场提供投资机遇。</w:t>
      </w:r>
    </w:p>
    <w:p>
      <w:pPr>
        <w:pStyle w:val="BodyText"/>
        <w:spacing w:line="332" w:lineRule="auto"/>
      </w:pPr>
    </w:p>
    <w:p>
      <w:pPr>
        <w:spacing w:before="87" w:line="301" w:lineRule="auto"/>
        <w:ind w:left="33" w:right="32" w:firstLine="59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国内已经采用不同的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1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模式完成了多个项目，公司在市场开发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过程中，与政府部门相关的多个项目都涉及到了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3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模式。为了方便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公司领导及各单位决策使用，市场部整理了相关案例资料，</w:t>
      </w:r>
      <w:r>
        <w:rPr>
          <w:rFonts w:ascii="仿宋" w:eastAsia="仿宋" w:hAnsi="仿宋" w:cs="仿宋"/>
          <w:spacing w:val="4"/>
          <w:sz w:val="27"/>
          <w:szCs w:val="27"/>
        </w:rPr>
        <w:t>汇编成册</w:t>
      </w:r>
    </w:p>
    <w:p>
      <w:pPr>
        <w:spacing w:before="1" w:line="220" w:lineRule="auto"/>
        <w:ind w:left="3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>后供公司领导及各相关单位参考。</w:t>
      </w:r>
    </w:p>
    <w:p>
      <w:pPr>
        <w:spacing w:line="220" w:lineRule="auto"/>
        <w:rPr>
          <w:rFonts w:ascii="仿宋" w:eastAsia="仿宋" w:hAnsi="仿宋" w:cs="仿宋"/>
          <w:sz w:val="27"/>
          <w:szCs w:val="27"/>
        </w:rPr>
        <w:sectPr>
          <w:footerReference w:type="default" r:id="rId9"/>
          <w:pgSz w:w="11910" w:h="16840"/>
          <w:pgMar w:top="1431" w:right="1786" w:bottom="1337" w:left="1786" w:header="0" w:footer="1199" w:gutter="0"/>
          <w:pgNumType w:start="7"/>
          <w:cols w:space="708"/>
        </w:sectPr>
      </w:pPr>
    </w:p>
    <w:tbl>
      <w:tblPr>
        <w:tblStyle w:val="TableNormal0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70"/>
        <w:gridCol w:w="273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20" w:type="dxa"/>
            <w:tcBorders>
              <w:left w:val="nil"/>
            </w:tcBorders>
          </w:tcPr>
          <w:p>
            <w:pPr>
              <w:spacing w:before="11" w:line="219" w:lineRule="auto"/>
              <w:ind w:left="113"/>
              <w:rPr>
                <w:rFonts w:ascii="宋体" w:eastAsia="宋体" w:hAnsi="宋体" w:cs="宋体"/>
                <w:sz w:val="24"/>
                <w:szCs w:val="24"/>
              </w:rPr>
            </w:pPr>
            <w:bookmarkStart w:id="1" w:name="bookmark3"/>
            <w:bookmarkStart w:id="2" w:name="bookmark2"/>
            <w:bookmarkEnd w:id="1"/>
            <w:bookmarkEnd w:id="2"/>
            <w:r>
              <w:rPr>
                <w:rFonts w:ascii="宋体" w:eastAsia="宋体" w:hAnsi="宋体" w:cs="宋体"/>
                <w:b/>
                <w:bCs/>
                <w:spacing w:val="-5"/>
                <w:sz w:val="24"/>
                <w:szCs w:val="24"/>
              </w:rPr>
              <w:t>编号：</w:t>
            </w:r>
          </w:p>
          <w:p>
            <w:pPr>
              <w:spacing w:before="25" w:line="219" w:lineRule="auto"/>
              <w:ind w:left="123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spacing w:before="78" w:line="219" w:lineRule="auto"/>
              <w:ind w:left="268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color w:val="F40000"/>
                <w:spacing w:val="-4"/>
                <w:sz w:val="24"/>
                <w:szCs w:val="24"/>
              </w:rPr>
              <w:t>书山有路勤为径，学海无涯苦作舟</w:t>
            </w:r>
          </w:p>
        </w:tc>
        <w:tc>
          <w:tcPr>
            <w:tcW w:w="273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spacing w:before="78" w:line="219" w:lineRule="auto"/>
              <w:ind w:left="138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2"/>
                <w:sz w:val="24"/>
                <w:szCs w:val="24"/>
              </w:rPr>
              <w:t>页码：第8页共79页</w:t>
            </w:r>
          </w:p>
        </w:tc>
      </w:tr>
    </w:tbl>
    <w:p>
      <w:pPr>
        <w:pStyle w:val="BodyText"/>
        <w:spacing w:line="288" w:lineRule="auto"/>
      </w:pPr>
    </w:p>
    <w:p>
      <w:pPr>
        <w:spacing w:before="88" w:line="442" w:lineRule="exact"/>
        <w:ind w:left="137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29"/>
          <w:position w:val="12"/>
          <w:sz w:val="27"/>
          <w:szCs w:val="27"/>
        </w:rPr>
        <w:t>案例1:杭州地铁1号线工程</w:t>
      </w:r>
    </w:p>
    <w:p>
      <w:pPr>
        <w:spacing w:before="1" w:line="220" w:lineRule="auto"/>
        <w:ind w:left="137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2"/>
          <w:sz w:val="27"/>
          <w:szCs w:val="27"/>
        </w:rPr>
        <w:t>一、项目概况</w:t>
      </w:r>
    </w:p>
    <w:p>
      <w:pPr>
        <w:spacing w:before="98" w:line="283" w:lineRule="auto"/>
        <w:ind w:left="799" w:right="775" w:firstLine="57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0"/>
          <w:sz w:val="27"/>
          <w:szCs w:val="27"/>
        </w:rPr>
        <w:t>杭州地铁1号线工程为连接中心城核心区与江南、临平</w:t>
      </w:r>
      <w:r>
        <w:rPr>
          <w:rFonts w:ascii="仿宋" w:eastAsia="仿宋" w:hAnsi="仿宋" w:cs="仿宋"/>
          <w:spacing w:val="9"/>
          <w:sz w:val="27"/>
          <w:szCs w:val="27"/>
        </w:rPr>
        <w:t>、下沙副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城中心区的骨干线，线路全长47.97公里，其中地下线41.36</w:t>
      </w:r>
      <w:r>
        <w:rPr>
          <w:rFonts w:ascii="仿宋" w:eastAsia="仿宋" w:hAnsi="仿宋" w:cs="仿宋"/>
          <w:spacing w:val="-2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公里，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0"/>
          <w:sz w:val="27"/>
          <w:szCs w:val="27"/>
        </w:rPr>
        <w:t>高架线6.14公里，过渡段0.47公里；设车站30座，其中地下站27</w:t>
      </w:r>
      <w:r>
        <w:rPr>
          <w:rFonts w:ascii="仿宋" w:eastAsia="仿宋" w:hAnsi="仿宋" w:cs="仿宋"/>
          <w:spacing w:val="1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9"/>
          <w:sz w:val="27"/>
          <w:szCs w:val="27"/>
        </w:rPr>
        <w:t>座，高架站3座；车辆基地和停车场各1处、控制中</w:t>
      </w:r>
      <w:r>
        <w:rPr>
          <w:rFonts w:ascii="仿宋" w:eastAsia="仿宋" w:hAnsi="仿宋" w:cs="仿宋"/>
          <w:spacing w:val="18"/>
          <w:sz w:val="27"/>
          <w:szCs w:val="27"/>
        </w:rPr>
        <w:t>心1处。初期配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7"/>
          <w:sz w:val="27"/>
          <w:szCs w:val="27"/>
        </w:rPr>
        <w:t>车288辆。项目概算总投资为220.76</w:t>
      </w:r>
      <w:r>
        <w:rPr>
          <w:rFonts w:ascii="仿宋" w:eastAsia="仿宋" w:hAnsi="仿宋" w:cs="仿宋"/>
          <w:spacing w:val="16"/>
          <w:sz w:val="27"/>
          <w:szCs w:val="27"/>
        </w:rPr>
        <w:t>亿元。</w:t>
      </w:r>
    </w:p>
    <w:p>
      <w:pPr>
        <w:spacing w:before="138" w:line="301" w:lineRule="auto"/>
        <w:ind w:left="799" w:right="745" w:firstLine="57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5"/>
          <w:sz w:val="27"/>
          <w:szCs w:val="27"/>
        </w:rPr>
        <w:t>杭州地铁1</w:t>
      </w:r>
      <w:r>
        <w:rPr>
          <w:rFonts w:ascii="仿宋" w:eastAsia="仿宋" w:hAnsi="仿宋" w:cs="仿宋"/>
          <w:spacing w:val="-3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5"/>
          <w:sz w:val="27"/>
          <w:szCs w:val="27"/>
        </w:rPr>
        <w:t>号线工程前期工作开始于本世纪初。2002年6月6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日，经市委、市政府批准，杭州市地铁集团有限责任公司挂牌成立。</w:t>
      </w:r>
      <w:r>
        <w:rPr>
          <w:rFonts w:ascii="仿宋" w:eastAsia="仿宋" w:hAnsi="仿宋" w:cs="仿宋"/>
          <w:spacing w:val="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7"/>
          <w:sz w:val="27"/>
          <w:szCs w:val="27"/>
        </w:rPr>
        <w:t>2003年12月26日，地铁1号线试验段婺江路站</w:t>
      </w:r>
      <w:r>
        <w:rPr>
          <w:rFonts w:ascii="仿宋" w:eastAsia="仿宋" w:hAnsi="仿宋" w:cs="仿宋"/>
          <w:spacing w:val="16"/>
          <w:sz w:val="27"/>
          <w:szCs w:val="27"/>
        </w:rPr>
        <w:t>工程开工建设。2004</w:t>
      </w:r>
      <w:r>
        <w:rPr>
          <w:rFonts w:ascii="仿宋" w:eastAsia="仿宋" w:hAnsi="仿宋" w:cs="仿宋"/>
          <w:sz w:val="27"/>
          <w:szCs w:val="27"/>
        </w:rPr>
        <w:t xml:space="preserve"> 年</w:t>
      </w:r>
      <w:r>
        <w:rPr>
          <w:rFonts w:ascii="仿宋" w:eastAsia="仿宋" w:hAnsi="仿宋" w:cs="仿宋"/>
          <w:spacing w:val="-34"/>
          <w:sz w:val="27"/>
          <w:szCs w:val="27"/>
        </w:rPr>
        <w:t xml:space="preserve"> </w:t>
      </w:r>
      <w:r>
        <w:rPr>
          <w:rFonts w:ascii="仿宋" w:eastAsia="仿宋" w:hAnsi="仿宋" w:cs="仿宋"/>
          <w:sz w:val="27"/>
          <w:szCs w:val="27"/>
        </w:rPr>
        <w:t>2</w:t>
      </w:r>
      <w:r>
        <w:rPr>
          <w:rFonts w:ascii="仿宋" w:eastAsia="仿宋" w:hAnsi="仿宋" w:cs="仿宋"/>
          <w:spacing w:val="-26"/>
          <w:sz w:val="27"/>
          <w:szCs w:val="27"/>
        </w:rPr>
        <w:t xml:space="preserve"> </w:t>
      </w:r>
      <w:r>
        <w:rPr>
          <w:rFonts w:ascii="仿宋" w:eastAsia="仿宋" w:hAnsi="仿宋" w:cs="仿宋"/>
          <w:sz w:val="27"/>
          <w:szCs w:val="27"/>
        </w:rPr>
        <w:t>月</w:t>
      </w:r>
      <w:r>
        <w:rPr>
          <w:rFonts w:ascii="仿宋" w:eastAsia="仿宋" w:hAnsi="仿宋" w:cs="仿宋"/>
          <w:spacing w:val="-26"/>
          <w:sz w:val="27"/>
          <w:szCs w:val="27"/>
        </w:rPr>
        <w:t xml:space="preserve"> </w:t>
      </w:r>
      <w:r>
        <w:rPr>
          <w:rFonts w:ascii="仿宋" w:eastAsia="仿宋" w:hAnsi="仿宋" w:cs="仿宋"/>
          <w:sz w:val="27"/>
          <w:szCs w:val="27"/>
        </w:rPr>
        <w:t>1</w:t>
      </w:r>
      <w:r>
        <w:rPr>
          <w:rFonts w:ascii="仿宋" w:eastAsia="仿宋" w:hAnsi="仿宋" w:cs="仿宋"/>
          <w:spacing w:val="-26"/>
          <w:sz w:val="27"/>
          <w:szCs w:val="27"/>
        </w:rPr>
        <w:t xml:space="preserve"> </w:t>
      </w:r>
      <w:r>
        <w:rPr>
          <w:rFonts w:ascii="仿宋" w:eastAsia="仿宋" w:hAnsi="仿宋" w:cs="仿宋"/>
          <w:sz w:val="27"/>
          <w:szCs w:val="27"/>
        </w:rPr>
        <w:t xml:space="preserve">1 日-13 日，国家发改委委托中咨公司，对《杭州市城市快  </w:t>
      </w:r>
      <w:r>
        <w:rPr>
          <w:rFonts w:ascii="仿宋" w:eastAsia="仿宋" w:hAnsi="仿宋" w:cs="仿宋"/>
          <w:spacing w:val="13"/>
          <w:sz w:val="27"/>
          <w:szCs w:val="27"/>
        </w:rPr>
        <w:t xml:space="preserve">速轨道交通建设规划》进行了评审，建设规划通过专家评审。2005 </w:t>
      </w:r>
      <w:r>
        <w:rPr>
          <w:rFonts w:ascii="仿宋" w:eastAsia="仿宋" w:hAnsi="仿宋" w:cs="仿宋"/>
          <w:spacing w:val="12"/>
          <w:sz w:val="27"/>
          <w:szCs w:val="27"/>
        </w:rPr>
        <w:t>年</w:t>
      </w:r>
      <w:r>
        <w:rPr>
          <w:rFonts w:ascii="仿宋" w:eastAsia="仿宋" w:hAnsi="仿宋" w:cs="仿宋"/>
          <w:spacing w:val="-3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6</w:t>
      </w:r>
      <w:r>
        <w:rPr>
          <w:rFonts w:ascii="仿宋" w:eastAsia="仿宋" w:hAnsi="仿宋" w:cs="仿宋"/>
          <w:spacing w:val="-2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月</w:t>
      </w:r>
      <w:r>
        <w:rPr>
          <w:rFonts w:ascii="仿宋" w:eastAsia="仿宋" w:hAnsi="仿宋" w:cs="仿宋"/>
          <w:spacing w:val="-2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 xml:space="preserve">1日，国务院批准了杭州市地铁项目建设规划，6月6日，国 </w:t>
      </w:r>
      <w:r>
        <w:rPr>
          <w:rFonts w:ascii="仿宋" w:eastAsia="仿宋" w:hAnsi="仿宋" w:cs="仿宋"/>
          <w:spacing w:val="5"/>
          <w:sz w:val="27"/>
          <w:szCs w:val="27"/>
        </w:rPr>
        <w:t xml:space="preserve">家发改委正式下发了《关于审批杭州市城市快速轨道交通建设规划的 </w:t>
      </w:r>
      <w:r>
        <w:rPr>
          <w:rFonts w:ascii="仿宋" w:eastAsia="仿宋" w:hAnsi="仿宋" w:cs="仿宋"/>
          <w:spacing w:val="25"/>
          <w:sz w:val="27"/>
          <w:szCs w:val="27"/>
        </w:rPr>
        <w:t xml:space="preserve">请示的通知》,1号线工程正式立项。2007年2月7日，地铁1号线 </w:t>
      </w:r>
      <w:r>
        <w:rPr>
          <w:rFonts w:ascii="仿宋" w:eastAsia="仿宋" w:hAnsi="仿宋" w:cs="仿宋"/>
          <w:spacing w:val="17"/>
          <w:sz w:val="27"/>
          <w:szCs w:val="27"/>
        </w:rPr>
        <w:t xml:space="preserve">工程初步设计通过浙江省发改委批复。项目于2007年3月28日开工 </w:t>
      </w:r>
      <w:r>
        <w:rPr>
          <w:rFonts w:ascii="仿宋" w:eastAsia="仿宋" w:hAnsi="仿宋" w:cs="仿宋"/>
          <w:spacing w:val="22"/>
          <w:sz w:val="27"/>
          <w:szCs w:val="27"/>
        </w:rPr>
        <w:t>建设，于2012年11月24日开始试运营。日均客流稳步递增，已由</w:t>
      </w:r>
    </w:p>
    <w:p>
      <w:pPr>
        <w:spacing w:before="1" w:line="220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7"/>
          <w:sz w:val="27"/>
          <w:szCs w:val="27"/>
        </w:rPr>
        <w:t>试运行之初的日均14万人次攀升到目前日均41万人次。</w:t>
      </w:r>
    </w:p>
    <w:p>
      <w:pPr>
        <w:spacing w:before="117" w:line="302" w:lineRule="auto"/>
        <w:ind w:left="799" w:right="819" w:firstLine="57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1"/>
          <w:sz w:val="27"/>
          <w:szCs w:val="27"/>
        </w:rPr>
        <w:t xml:space="preserve">项目采用 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1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1"/>
          <w:sz w:val="27"/>
          <w:szCs w:val="27"/>
        </w:rPr>
        <w:t>模式，由香港铁路有限公司(以下简称港铁公司)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5"/>
          <w:sz w:val="27"/>
          <w:szCs w:val="27"/>
        </w:rPr>
        <w:t>和杭州地铁集团成立特许经营公司——杭州杭港地铁有限公司</w:t>
      </w:r>
      <w:r>
        <w:rPr>
          <w:rFonts w:ascii="仿宋" w:eastAsia="仿宋" w:hAnsi="仿宋" w:cs="仿宋"/>
          <w:spacing w:val="14"/>
          <w:sz w:val="27"/>
          <w:szCs w:val="27"/>
        </w:rPr>
        <w:t>负责</w:t>
      </w:r>
    </w:p>
    <w:p>
      <w:pPr>
        <w:spacing w:before="1" w:line="223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4"/>
          <w:sz w:val="27"/>
          <w:szCs w:val="27"/>
        </w:rPr>
        <w:t>运营。</w:t>
      </w:r>
    </w:p>
    <w:p>
      <w:pPr>
        <w:spacing w:before="113" w:line="301" w:lineRule="auto"/>
        <w:ind w:left="799" w:right="775" w:firstLine="57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实践表明，杭州地铁1号线工程采用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仿宋" w:eastAsia="仿宋" w:hAnsi="仿宋" w:cs="仿宋"/>
          <w:spacing w:val="6"/>
          <w:sz w:val="27"/>
          <w:szCs w:val="27"/>
        </w:rPr>
        <w:t>模式取得了明显的成效： 一是有力推进了杭州市投融资体制改革，促进政府基础设施融资的多</w:t>
      </w:r>
      <w:r>
        <w:rPr>
          <w:rFonts w:ascii="仿宋" w:eastAsia="仿宋" w:hAnsi="仿宋" w:cs="仿宋"/>
          <w:spacing w:val="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元化，有效减轻政府当期基础建设投入和长期的财政补贴负担；二是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克服地铁经验及人才不足的困难，能够更快、更好的学习掌握先进地</w:t>
      </w:r>
      <w:r>
        <w:rPr>
          <w:rFonts w:ascii="仿宋" w:eastAsia="仿宋" w:hAnsi="仿宋" w:cs="仿宋"/>
          <w:spacing w:val="1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铁建设、运营和管理经验；三是推进了轨道交通设施的市场化进程，</w:t>
      </w:r>
      <w:r>
        <w:rPr>
          <w:rFonts w:ascii="仿宋" w:eastAsia="仿宋" w:hAnsi="仿宋" w:cs="仿宋"/>
          <w:spacing w:val="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实现轨道交通行业体制机制的创新；四是促进行业标准体系的建立和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政府监管体系的完善，进而取得轨道交通经济效益和社会效益均衡发</w:t>
      </w:r>
    </w:p>
    <w:p>
      <w:pPr>
        <w:spacing w:line="224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4"/>
          <w:sz w:val="27"/>
          <w:szCs w:val="27"/>
        </w:rPr>
        <w:t>展。</w:t>
      </w:r>
    </w:p>
    <w:p>
      <w:pPr>
        <w:spacing w:line="224" w:lineRule="auto"/>
        <w:rPr>
          <w:rFonts w:ascii="仿宋" w:eastAsia="仿宋" w:hAnsi="仿宋" w:cs="仿宋"/>
          <w:sz w:val="27"/>
          <w:szCs w:val="27"/>
        </w:rPr>
        <w:sectPr>
          <w:footerReference w:type="default" r:id="rId10"/>
          <w:pgSz w:w="11910" w:h="16840"/>
          <w:pgMar w:top="845" w:right="989" w:bottom="1182" w:left="999" w:header="0" w:footer="969" w:gutter="0"/>
          <w:pgNumType w:start="8"/>
          <w:cols w:space="708"/>
        </w:sectPr>
      </w:pPr>
    </w:p>
    <w:tbl>
      <w:tblPr>
        <w:tblStyle w:val="TableNormal1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70"/>
        <w:gridCol w:w="273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20" w:type="dxa"/>
            <w:tcBorders>
              <w:left w:val="nil"/>
            </w:tcBorders>
          </w:tcPr>
          <w:p>
            <w:pPr>
              <w:spacing w:before="11" w:line="219" w:lineRule="auto"/>
              <w:ind w:left="113"/>
              <w:rPr>
                <w:rFonts w:ascii="宋体" w:eastAsia="宋体" w:hAnsi="宋体" w:cs="宋体"/>
                <w:sz w:val="24"/>
                <w:szCs w:val="24"/>
              </w:rPr>
            </w:pPr>
            <w:bookmarkStart w:id="3" w:name="bookmark4"/>
            <w:bookmarkEnd w:id="3"/>
            <w:r>
              <w:rPr>
                <w:rFonts w:ascii="宋体" w:eastAsia="宋体" w:hAnsi="宋体" w:cs="宋体"/>
                <w:b/>
                <w:bCs/>
                <w:spacing w:val="-5"/>
                <w:sz w:val="24"/>
                <w:szCs w:val="24"/>
              </w:rPr>
              <w:t>编号：</w:t>
            </w:r>
          </w:p>
          <w:p>
            <w:pPr>
              <w:spacing w:before="25" w:line="219" w:lineRule="auto"/>
              <w:ind w:left="123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spacing w:before="78" w:line="219" w:lineRule="auto"/>
              <w:ind w:left="268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color w:val="F40000"/>
                <w:spacing w:val="-4"/>
                <w:sz w:val="24"/>
                <w:szCs w:val="24"/>
              </w:rPr>
              <w:t>书山有路勤为径，学海无涯苦作舟</w:t>
            </w:r>
          </w:p>
        </w:tc>
        <w:tc>
          <w:tcPr>
            <w:tcW w:w="273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spacing w:before="78" w:line="219" w:lineRule="auto"/>
              <w:ind w:left="138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spacing w:val="-2"/>
                <w:sz w:val="24"/>
                <w:szCs w:val="24"/>
              </w:rPr>
              <w:t>页码：第9页共79页</w:t>
            </w:r>
          </w:p>
        </w:tc>
      </w:tr>
    </w:tbl>
    <w:p>
      <w:pPr>
        <w:pStyle w:val="BodyText"/>
        <w:spacing w:line="290" w:lineRule="auto"/>
      </w:pPr>
    </w:p>
    <w:p>
      <w:pPr>
        <w:spacing w:before="88" w:line="222" w:lineRule="auto"/>
        <w:ind w:left="137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-10"/>
          <w:sz w:val="27"/>
          <w:szCs w:val="27"/>
        </w:rPr>
        <w:t>二、</w:t>
      </w:r>
      <w:r>
        <w:rPr>
          <w:rFonts w:ascii="黑体" w:eastAsia="黑体" w:hAnsi="黑体" w:cs="黑体"/>
          <w:spacing w:val="-61"/>
          <w:sz w:val="27"/>
          <w:szCs w:val="27"/>
        </w:rPr>
        <w:t xml:space="preserve"> </w:t>
      </w:r>
      <w:r>
        <w:rPr>
          <w:rFonts w:ascii="黑体" w:eastAsia="黑体" w:hAnsi="黑体" w:cs="黑体"/>
          <w:b/>
          <w:bCs/>
          <w:spacing w:val="-10"/>
          <w:sz w:val="27"/>
          <w:szCs w:val="27"/>
        </w:rPr>
        <w:t>运作模式</w:t>
      </w:r>
    </w:p>
    <w:p>
      <w:pPr>
        <w:spacing w:before="101" w:line="231" w:lineRule="auto"/>
        <w:ind w:left="1523"/>
        <w:rPr>
          <w:rFonts w:ascii="楷体" w:eastAsia="楷体" w:hAnsi="楷体" w:cs="楷体"/>
          <w:sz w:val="27"/>
          <w:szCs w:val="27"/>
        </w:rPr>
      </w:pPr>
      <w:r>
        <w:rPr>
          <w:rFonts w:ascii="楷体" w:eastAsia="楷体" w:hAnsi="楷体" w:cs="楷体"/>
          <w:b/>
          <w:bCs/>
          <w:spacing w:val="20"/>
          <w:sz w:val="27"/>
          <w:szCs w:val="27"/>
        </w:rPr>
        <w:t>(一)具体模式</w:t>
      </w:r>
    </w:p>
    <w:p>
      <w:pPr>
        <w:spacing w:before="95" w:line="302" w:lineRule="auto"/>
        <w:ind w:left="820" w:right="834" w:firstLine="5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3"/>
          <w:sz w:val="27"/>
          <w:szCs w:val="27"/>
        </w:rPr>
        <w:t>1</w:t>
      </w:r>
      <w:r>
        <w:rPr>
          <w:rFonts w:ascii="仿宋" w:eastAsia="仿宋" w:hAnsi="仿宋" w:cs="仿宋"/>
          <w:spacing w:val="-4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3"/>
          <w:sz w:val="27"/>
          <w:szCs w:val="27"/>
        </w:rPr>
        <w:t>号线工程投资建设分为</w:t>
      </w:r>
      <w:r>
        <w:rPr>
          <w:rFonts w:ascii="Times New Roman" w:eastAsia="Times New Roman" w:hAnsi="Times New Roman" w:cs="Times New Roman"/>
          <w:spacing w:val="-3"/>
          <w:sz w:val="27"/>
          <w:szCs w:val="27"/>
        </w:rPr>
        <w:t>A</w:t>
      </w:r>
      <w:r>
        <w:rPr>
          <w:rFonts w:ascii="宋体" w:eastAsia="宋体" w:hAnsi="宋体" w:cs="宋体"/>
          <w:spacing w:val="-3"/>
          <w:sz w:val="27"/>
          <w:szCs w:val="27"/>
        </w:rPr>
        <w:t>、</w:t>
      </w:r>
      <w:r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B </w:t>
      </w:r>
      <w:r>
        <w:rPr>
          <w:rFonts w:ascii="仿宋" w:eastAsia="仿宋" w:hAnsi="仿宋" w:cs="仿宋"/>
          <w:spacing w:val="-3"/>
          <w:sz w:val="27"/>
          <w:szCs w:val="27"/>
        </w:rPr>
        <w:t>两个相对独立的部分：</w:t>
      </w:r>
      <w:r>
        <w:rPr>
          <w:rFonts w:ascii="仿宋" w:eastAsia="仿宋" w:hAnsi="仿宋" w:cs="仿宋"/>
          <w:spacing w:val="-35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A </w:t>
      </w:r>
      <w:r>
        <w:rPr>
          <w:rFonts w:ascii="仿宋" w:eastAsia="仿宋" w:hAnsi="仿宋" w:cs="仿宋"/>
          <w:spacing w:val="-3"/>
          <w:sz w:val="27"/>
          <w:szCs w:val="27"/>
        </w:rPr>
        <w:t>部分为土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建、隧道工程，投资额约137.86 亿元，约占项目总投资的62.4%,</w:t>
      </w:r>
      <w:r>
        <w:rPr>
          <w:rFonts w:ascii="仿宋" w:eastAsia="仿宋" w:hAnsi="仿宋" w:cs="仿宋"/>
          <w:spacing w:val="8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-3"/>
          <w:sz w:val="27"/>
          <w:szCs w:val="27"/>
        </w:rPr>
        <w:t>由杭州地铁集团负责；</w:t>
      </w:r>
      <w:r>
        <w:rPr>
          <w:rFonts w:ascii="宋体" w:eastAsia="宋体" w:hAnsi="宋体" w:cs="宋体"/>
          <w:spacing w:val="-3"/>
          <w:sz w:val="27"/>
          <w:szCs w:val="27"/>
        </w:rPr>
        <w:t>B</w:t>
      </w:r>
      <w:r>
        <w:rPr>
          <w:rFonts w:ascii="宋体" w:eastAsia="宋体" w:hAnsi="宋体" w:cs="宋体"/>
          <w:spacing w:val="-2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3"/>
          <w:sz w:val="27"/>
          <w:szCs w:val="27"/>
        </w:rPr>
        <w:t>部分为机电、车辆等设备</w:t>
      </w:r>
      <w:r>
        <w:rPr>
          <w:rFonts w:ascii="仿宋" w:eastAsia="仿宋" w:hAnsi="仿宋" w:cs="仿宋"/>
          <w:spacing w:val="-4"/>
          <w:sz w:val="27"/>
          <w:szCs w:val="27"/>
        </w:rPr>
        <w:t>部分，投资额约82.9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亿元，约占项目总投资的37.6%,由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2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项目公司杭</w:t>
      </w:r>
      <w:r>
        <w:rPr>
          <w:rFonts w:ascii="仿宋" w:eastAsia="仿宋" w:hAnsi="仿宋" w:cs="仿宋"/>
          <w:spacing w:val="4"/>
          <w:sz w:val="27"/>
          <w:szCs w:val="27"/>
        </w:rPr>
        <w:t>港地铁公司负责。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5"/>
          <w:sz w:val="27"/>
          <w:szCs w:val="27"/>
        </w:rPr>
        <w:t>杭港地铁公司由杭州地铁集团和港铁公司通过各自的全资投资公司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3"/>
          <w:sz w:val="27"/>
          <w:szCs w:val="27"/>
        </w:rPr>
        <w:t>按51:49的出资比例组建。杭港地铁按《资</w:t>
      </w:r>
      <w:r>
        <w:rPr>
          <w:rFonts w:ascii="仿宋" w:eastAsia="仿宋" w:hAnsi="仿宋" w:cs="仿宋"/>
          <w:spacing w:val="22"/>
          <w:sz w:val="27"/>
          <w:szCs w:val="27"/>
        </w:rPr>
        <w:t>产租赁协议》,从杭州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地铁集团租赁</w:t>
      </w:r>
      <w:r>
        <w:rPr>
          <w:rFonts w:ascii="Times New Roman" w:eastAsia="Times New Roman" w:hAnsi="Times New Roman" w:cs="Times New Roman"/>
          <w:spacing w:val="6"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部分资产，并进行全部</w:t>
      </w:r>
      <w:r>
        <w:rPr>
          <w:rFonts w:ascii="仿宋" w:eastAsia="仿宋" w:hAnsi="仿宋" w:cs="仿宋"/>
          <w:spacing w:val="-7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27"/>
          <w:szCs w:val="27"/>
        </w:rPr>
        <w:t>A</w:t>
      </w:r>
      <w:r>
        <w:rPr>
          <w:rFonts w:ascii="宋体" w:eastAsia="宋体" w:hAnsi="宋体" w:cs="宋体"/>
          <w:spacing w:val="6"/>
          <w:sz w:val="27"/>
          <w:szCs w:val="27"/>
        </w:rPr>
        <w:t>、</w:t>
      </w:r>
      <w:r>
        <w:rPr>
          <w:rFonts w:ascii="Times New Roman" w:eastAsia="Times New Roman" w:hAnsi="Times New Roman" w:cs="Times New Roman"/>
          <w:spacing w:val="6"/>
          <w:sz w:val="27"/>
          <w:szCs w:val="27"/>
        </w:rPr>
        <w:t xml:space="preserve">B </w:t>
      </w:r>
      <w:r>
        <w:rPr>
          <w:rFonts w:ascii="仿宋" w:eastAsia="仿宋" w:hAnsi="仿宋" w:cs="仿宋"/>
          <w:spacing w:val="6"/>
          <w:sz w:val="27"/>
          <w:szCs w:val="27"/>
        </w:rPr>
        <w:t>资产的运营、维护和更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新，以及站内的商业经营，通过地铁票款收入及站内商业经营收入投</w:t>
      </w:r>
    </w:p>
    <w:p>
      <w:pPr>
        <w:spacing w:line="222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sz w:val="27"/>
          <w:szCs w:val="27"/>
        </w:rPr>
        <w:t>资获得合理的投资收益。</w:t>
      </w:r>
    </w:p>
    <w:p>
      <w:pPr>
        <w:spacing w:before="102" w:line="462" w:lineRule="exact"/>
        <w:ind w:left="13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position w:val="14"/>
          <w:sz w:val="27"/>
          <w:szCs w:val="27"/>
        </w:rPr>
        <w:t xml:space="preserve">25 年特许经营期结束后，杭港地铁将 </w:t>
      </w:r>
      <w:r>
        <w:rPr>
          <w:rFonts w:ascii="宋体" w:eastAsia="宋体" w:hAnsi="宋体" w:cs="宋体"/>
          <w:spacing w:val="5"/>
          <w:position w:val="14"/>
          <w:sz w:val="27"/>
          <w:szCs w:val="27"/>
        </w:rPr>
        <w:t xml:space="preserve">B </w:t>
      </w:r>
      <w:r>
        <w:rPr>
          <w:rFonts w:ascii="仿宋" w:eastAsia="仿宋" w:hAnsi="仿宋" w:cs="仿宋"/>
          <w:spacing w:val="5"/>
          <w:position w:val="14"/>
          <w:sz w:val="27"/>
          <w:szCs w:val="27"/>
        </w:rPr>
        <w:t>部分项目设施</w:t>
      </w:r>
      <w:r>
        <w:rPr>
          <w:rFonts w:ascii="仿宋" w:eastAsia="仿宋" w:hAnsi="仿宋" w:cs="仿宋"/>
          <w:spacing w:val="4"/>
          <w:position w:val="14"/>
          <w:sz w:val="27"/>
          <w:szCs w:val="27"/>
        </w:rPr>
        <w:t>完好、无</w:t>
      </w:r>
    </w:p>
    <w:p>
      <w:pPr>
        <w:spacing w:before="1" w:line="221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0"/>
          <w:sz w:val="27"/>
          <w:szCs w:val="27"/>
        </w:rPr>
        <w:t>偿地交给市政府指定部门，将</w:t>
      </w:r>
      <w:r>
        <w:rPr>
          <w:rFonts w:ascii="宋体" w:eastAsia="宋体" w:hAnsi="宋体" w:cs="宋体"/>
          <w:spacing w:val="10"/>
          <w:sz w:val="27"/>
          <w:szCs w:val="27"/>
        </w:rPr>
        <w:t>A</w:t>
      </w:r>
      <w:r>
        <w:rPr>
          <w:rFonts w:ascii="宋体" w:eastAsia="宋体" w:hAnsi="宋体" w:cs="宋体"/>
          <w:spacing w:val="-4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部分项目设施归还给杭州地铁集团。</w:t>
      </w:r>
    </w:p>
    <w:p>
      <w:pPr>
        <w:spacing w:line="221" w:lineRule="auto"/>
        <w:rPr>
          <w:rFonts w:ascii="仿宋" w:eastAsia="仿宋" w:hAnsi="仿宋" w:cs="仿宋"/>
          <w:sz w:val="27"/>
          <w:szCs w:val="27"/>
        </w:rPr>
        <w:sectPr>
          <w:footerReference w:type="default" r:id="rId11"/>
          <w:pgSz w:w="11910" w:h="16840"/>
          <w:pgMar w:top="845" w:right="989" w:bottom="1182" w:left="999" w:header="0" w:footer="969" w:gutter="0"/>
          <w:pgNumType w:start="9"/>
          <w:cols w:space="708"/>
        </w:sectPr>
      </w:pPr>
    </w:p>
    <w:tbl>
      <w:tblPr>
        <w:tblStyle w:val="TableNormal2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30"/>
        <w:gridCol w:w="4680"/>
        <w:gridCol w:w="272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3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23"/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" o:spid="_x0000_s1025" type="#_x0000_t202" style="width:9.2pt;height:14.25pt;margin-top:123.72pt;margin-left:105.18pt;mso-position-horizontal-relative:page;mso-position-vertical-relative:page;mso-wrap-distance-left:0;mso-wrap-distance-right:0;mso-wrap-style:square;position:absolute;rotation:-90;v-text-anchor:top;z-index:251658240" o:allowincell="f" filled="f" stroked="f">
                  <v:fill o:detectmouseclick="t"/>
                  <o:lock v:ext="edit" aspectratio="f"/>
                  <v:textbox style="layout-flow:horizontal" inset="0,0,0,0">
                    <w:txbxContent>
                      <w:p>
                        <w:pPr>
                          <w:spacing w:before="57" w:line="225" w:lineRule="auto"/>
                          <w:jc w:val="right"/>
                          <w:rPr>
                            <w:rFonts w:ascii="宋体" w:eastAsia="宋体" w:hAnsi="宋体" w:cs="宋体"/>
                            <w:sz w:val="17"/>
                            <w:szCs w:val="17"/>
                          </w:rPr>
                        </w:pPr>
                        <w:r>
                          <w:rPr>
                            <w:rFonts w:ascii="宋体" w:eastAsia="宋体" w:hAnsi="宋体" w:cs="宋体"/>
                            <w:spacing w:val="-19"/>
                            <w:w w:val="95"/>
                            <w:sz w:val="17"/>
                            <w:szCs w:val="17"/>
                          </w:rPr>
                          <w:t>电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2" o:spid="_x0000_s1026" type="#_x0000_t202" style="width:15pt;height:46.85pt;margin-top:251.1pt;margin-left:116.45pt;mso-position-horizontal-relative:page;mso-position-vertical-relative:page;position:absolute;z-index:251659264" o:allowincell="f" filled="f" stroked="f">
                  <o:lock v:ext="edit" aspectratio="f"/>
                  <v:textbox style="layout-flow:vertical-ideographic" inset="0,0,0,0">
                    <w:txbxContent>
                      <w:p>
                        <w:pPr>
                          <w:spacing w:before="19" w:line="206" w:lineRule="auto"/>
                          <w:ind w:left="20"/>
                          <w:rPr>
                            <w:rFonts w:ascii="FZYaoTi" w:eastAsia="FZYaoTi" w:hAnsi="FZYaoTi" w:cs="FZYaoT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FZYaoTi" w:eastAsia="FZYaoTi" w:hAnsi="FZYaoTi" w:cs="FZYaoTi"/>
                            <w:spacing w:val="24"/>
                            <w:sz w:val="20"/>
                            <w:szCs w:val="20"/>
                          </w:rPr>
                          <w:t>投资建设</w:t>
                        </w:r>
                      </w:p>
                    </w:txbxContent>
                  </v:textbox>
                </v:shape>
              </w:pict>
            </w:r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8" w:line="219" w:lineRule="auto"/>
              <w:ind w:left="140"/>
            </w:pPr>
            <w:r>
              <w:rPr>
                <w:spacing w:val="3"/>
              </w:rPr>
              <w:t>时间：2021年x月x日</w:t>
            </w:r>
          </w:p>
        </w:tc>
        <w:tc>
          <w:tcPr>
            <w:tcW w:w="4680" w:type="dxa"/>
          </w:tcPr>
          <w:p>
            <w:pPr>
              <w:spacing w:line="253" w:lineRule="auto"/>
            </w:pPr>
          </w:p>
          <w:p>
            <w:pPr>
              <w:pStyle w:val="TableText"/>
              <w:spacing w:before="78" w:line="219" w:lineRule="auto"/>
              <w:ind w:left="265"/>
            </w:pPr>
            <w:r>
              <w:rPr>
                <w:color w:val="F40000"/>
              </w:rPr>
              <w:t>书山有路勤为径，学海无涯苦作舟</w:t>
            </w:r>
          </w:p>
        </w:tc>
        <w:tc>
          <w:tcPr>
            <w:tcW w:w="2720" w:type="dxa"/>
            <w:tcBorders>
              <w:right w:val="nil"/>
            </w:tcBorders>
          </w:tcPr>
          <w:p>
            <w:pPr>
              <w:spacing w:line="255" w:lineRule="auto"/>
            </w:pPr>
          </w:p>
          <w:p>
            <w:pPr>
              <w:pStyle w:val="TableText"/>
              <w:spacing w:before="78" w:line="219" w:lineRule="auto"/>
              <w:ind w:left="125"/>
            </w:pPr>
            <w:r>
              <w:rPr>
                <w:spacing w:val="1"/>
              </w:rPr>
              <w:t>页码：第10页共79页</w:t>
            </w:r>
          </w:p>
        </w:tc>
      </w:tr>
    </w:tbl>
    <w:p>
      <w:pPr>
        <w:pStyle w:val="BodyText"/>
      </w:pPr>
    </w:p>
    <w:p>
      <w:pPr>
        <w:spacing w:before="210"/>
      </w:pPr>
    </w:p>
    <w:p>
      <w:pPr>
        <w:sectPr>
          <w:footerReference w:type="default" r:id="rId12"/>
          <w:pgSz w:w="11910" w:h="16840"/>
          <w:pgMar w:top="845" w:right="989" w:bottom="1173" w:left="989" w:header="0" w:footer="971" w:gutter="0"/>
          <w:pgNumType w:start="10"/>
          <w:cols w:space="708"/>
        </w:sectPr>
      </w:pPr>
    </w:p>
    <w:p>
      <w:pPr>
        <w:spacing w:before="298" w:line="187" w:lineRule="auto"/>
        <w:ind w:left="1883"/>
        <w:rPr>
          <w:rFonts w:ascii="黑体" w:eastAsia="黑体" w:hAnsi="黑体" w:cs="黑体"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4" o:spid="_x0000_s1027" type="#_x0000_t75" style="width:412.5pt;height:275.5pt;margin-top:-3.35pt;margin-left:57.5pt;mso-wrap-distance-left:0;mso-wrap-distance-right:0;position:absolute;z-index:-251656192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-15"/>
          <w:sz w:val="24"/>
          <w:szCs w:val="24"/>
        </w:rPr>
        <w:t>杭州地铁集团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47"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12"/>
          <w:sz w:val="24"/>
          <w:szCs w:val="24"/>
        </w:rPr>
        <w:t>无偿移交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  <w:sectPr>
          <w:footerReference w:type="default" r:id="rId14"/>
          <w:type w:val="continuous"/>
          <w:pgSz w:w="11910" w:h="16840"/>
          <w:pgMar w:top="845" w:right="989" w:bottom="1173" w:left="989" w:header="0" w:footer="971" w:gutter="0"/>
          <w:pgNumType w:start="11"/>
          <w:cols w:num="2" w:space="100" w:equalWidth="0">
            <w:col w:w="6244" w:space="100"/>
            <w:col w:w="3587" w:space="0"/>
          </w:cols>
        </w:sectPr>
      </w:pPr>
    </w:p>
    <w:p>
      <w:pPr>
        <w:spacing w:before="228"/>
      </w:pPr>
    </w:p>
    <w:p>
      <w:pPr>
        <w:sectPr>
          <w:footerReference w:type="default" r:id="rId15"/>
          <w:type w:val="continuous"/>
          <w:pgSz w:w="11910" w:h="16840"/>
          <w:pgMar w:top="845" w:right="989" w:bottom="1173" w:left="989" w:header="0" w:footer="971" w:gutter="0"/>
          <w:pgNumType w:start="12"/>
          <w:cols w:space="708"/>
        </w:sectPr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5" w:lineRule="auto"/>
      </w:pPr>
    </w:p>
    <w:p>
      <w:pPr>
        <w:spacing w:before="88" w:line="243" w:lineRule="auto"/>
        <w:ind w:left="2063" w:right="555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z w:val="27"/>
          <w:szCs w:val="27"/>
        </w:rPr>
        <w:t>A</w:t>
      </w:r>
      <w:r>
        <w:rPr>
          <w:rFonts w:ascii="宋体" w:eastAsia="宋体" w:hAnsi="宋体" w:cs="宋体"/>
          <w:spacing w:val="-78"/>
          <w:sz w:val="27"/>
          <w:szCs w:val="27"/>
        </w:rPr>
        <w:t xml:space="preserve"> </w:t>
      </w:r>
      <w:r>
        <w:rPr>
          <w:rFonts w:ascii="黑体" w:eastAsia="黑体" w:hAnsi="黑体" w:cs="黑体"/>
          <w:b/>
          <w:bCs/>
          <w:sz w:val="27"/>
          <w:szCs w:val="27"/>
        </w:rPr>
        <w:t>部分</w:t>
      </w:r>
      <w:r>
        <w:rPr>
          <w:rFonts w:ascii="黑体" w:eastAsia="黑体" w:hAnsi="黑体" w:cs="黑体"/>
          <w:sz w:val="27"/>
          <w:szCs w:val="27"/>
        </w:rPr>
        <w:t xml:space="preserve"> </w:t>
      </w:r>
      <w:r>
        <w:rPr>
          <w:rFonts w:ascii="宋体" w:eastAsia="宋体" w:hAnsi="宋体" w:cs="宋体"/>
          <w:b/>
          <w:bCs/>
          <w:spacing w:val="-2"/>
          <w:sz w:val="24"/>
          <w:szCs w:val="24"/>
        </w:rPr>
        <w:t>资产租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5"/>
          <w:sz w:val="24"/>
          <w:szCs w:val="24"/>
        </w:rPr>
        <w:t>赁协议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spacing w:before="78" w:line="219" w:lineRule="auto"/>
        <w:ind w:left="228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2"/>
          <w:sz w:val="24"/>
          <w:szCs w:val="24"/>
        </w:rPr>
        <w:t>A部分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tbl>
      <w:tblPr>
        <w:tblStyle w:val="TableNormal2"/>
        <w:tblInd w:w="56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97"/>
        <w:gridCol w:w="1390"/>
        <w:gridCol w:w="1990"/>
      </w:tblGrid>
      <w:tr>
        <w:tblPrEx>
          <w:tblInd w:w="56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66"/>
        </w:trPr>
        <w:tc>
          <w:tcPr>
            <w:tcW w:w="397" w:type="dxa"/>
          </w:tcPr>
          <w:p>
            <w:pPr>
              <w:spacing w:line="438" w:lineRule="exact"/>
            </w:pPr>
            <w:r>
              <w:rPr>
                <w:position w:val="-8"/>
              </w:rPr>
              <w:pict>
                <v:shape id="IM 6" o:spid="_x0000_i1028" type="#_x0000_t75" style="width:7.49pt;height:21.9pt;mso-wrap-distance-left:0;mso-wrap-distance-right:0" o:preferrelative="t" filled="f" stroked="f">
                  <v:fill o:detectmouseclick="t"/>
                  <v:imagedata r:id="rId16" o:title=""/>
                  <v:path o:extrusionok="f"/>
                  <o:lock v:ext="edit" aspectratio="f"/>
                </v:shape>
              </w:pict>
            </w:r>
          </w:p>
        </w:tc>
        <w:tc>
          <w:tcPr>
            <w:tcW w:w="1390" w:type="dxa"/>
          </w:tcPr>
          <w:p>
            <w:pPr>
              <w:spacing w:before="76" w:line="223" w:lineRule="auto"/>
              <w:ind w:left="246"/>
              <w:rPr>
                <w:rFonts w:ascii="黑体" w:eastAsia="黑体" w:hAnsi="黑体" w:cs="黑体"/>
                <w:sz w:val="27"/>
                <w:szCs w:val="27"/>
              </w:rPr>
            </w:pPr>
            <w:r>
              <w:rPr>
                <w:rFonts w:ascii="黑体" w:eastAsia="黑体" w:hAnsi="黑体" w:cs="黑体"/>
                <w:b/>
                <w:bCs/>
                <w:spacing w:val="-7"/>
                <w:sz w:val="27"/>
                <w:szCs w:val="27"/>
              </w:rPr>
              <w:t>港铁</w:t>
            </w:r>
          </w:p>
          <w:p>
            <w:pPr>
              <w:pStyle w:val="TableText"/>
              <w:spacing w:before="177" w:line="176" w:lineRule="exact"/>
              <w:ind w:left="433"/>
            </w:pPr>
            <w:r>
              <w:rPr>
                <w:spacing w:val="-2"/>
                <w:position w:val="-3"/>
              </w:rPr>
              <w:t>49%</w:t>
            </w:r>
          </w:p>
        </w:tc>
        <w:tc>
          <w:tcPr>
            <w:tcW w:w="1990" w:type="dxa"/>
          </w:tcPr>
          <w:p>
            <w:pPr>
              <w:pStyle w:val="TableText"/>
              <w:spacing w:before="103" w:line="219" w:lineRule="auto"/>
              <w:jc w:val="right"/>
            </w:pPr>
            <w:r>
              <w:rPr>
                <w:b/>
                <w:bCs/>
                <w:spacing w:val="-12"/>
              </w:rPr>
              <w:t>杭州地铁集团</w:t>
            </w:r>
          </w:p>
          <w:p>
            <w:pPr>
              <w:pStyle w:val="TableText"/>
              <w:spacing w:before="211" w:line="156" w:lineRule="exact"/>
              <w:ind w:left="1103"/>
            </w:pPr>
            <w:r>
              <w:rPr>
                <w:spacing w:val="-4"/>
                <w:position w:val="-4"/>
              </w:rPr>
              <w:t>51%</w:t>
            </w:r>
          </w:p>
        </w:tc>
      </w:tr>
    </w:tbl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spacing w:before="78" w:line="219" w:lineRule="auto"/>
        <w:ind w:left="559"/>
        <w:rPr>
          <w:rFonts w:ascii="宋体" w:eastAsia="宋体" w:hAnsi="宋体" w:cs="宋体"/>
          <w:sz w:val="24"/>
          <w:szCs w:val="24"/>
        </w:rPr>
      </w:pPr>
      <w:r>
        <w:pict>
          <v:shape id="文本框 3" o:spid="_x0000_s1029" type="#_x0000_t202" style="width:49.55pt;height:37.45pt;margin-top:-1.5pt;margin-left:155.95pt;position:absolute;z-index:251662336" filled="f" stroked="f">
            <o:lock v:ext="edit" aspectratio="f"/>
            <v:textbox inset="0,0,0,0">
              <w:txbxContent>
                <w:p>
                  <w:pPr>
                    <w:spacing w:before="20" w:line="219" w:lineRule="auto"/>
                    <w:ind w:left="20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/>
                      <w:b/>
                      <w:bCs/>
                      <w:spacing w:val="-5"/>
                      <w:sz w:val="24"/>
                      <w:szCs w:val="24"/>
                    </w:rPr>
                    <w:t>特许协议</w:t>
                  </w:r>
                </w:p>
                <w:p>
                  <w:pPr>
                    <w:spacing w:before="136" w:line="221" w:lineRule="auto"/>
                    <w:ind w:left="179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/>
                      <w:b/>
                      <w:bCs/>
                      <w:spacing w:val="-14"/>
                      <w:sz w:val="24"/>
                      <w:szCs w:val="24"/>
                    </w:rPr>
                    <w:t>监督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b/>
          <w:bCs/>
          <w:spacing w:val="-22"/>
          <w:sz w:val="24"/>
          <w:szCs w:val="24"/>
        </w:rPr>
        <w:t>抗州抗港地铁有限公司</w:t>
      </w:r>
    </w:p>
    <w:p>
      <w:pPr>
        <w:spacing w:before="18" w:line="224" w:lineRule="auto"/>
        <w:ind w:left="1099"/>
        <w:rPr>
          <w:rFonts w:ascii="黑体" w:eastAsia="黑体" w:hAnsi="黑体" w:cs="黑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10"/>
          <w:sz w:val="24"/>
          <w:szCs w:val="24"/>
        </w:rPr>
        <w:t>(</w:t>
      </w:r>
      <w:r>
        <w:rPr>
          <w:rFonts w:ascii="宋体" w:eastAsia="宋体" w:hAnsi="宋体" w:cs="宋体"/>
          <w:b/>
          <w:bCs/>
          <w:sz w:val="24"/>
          <w:szCs w:val="24"/>
        </w:rPr>
        <w:t>PPP</w:t>
      </w:r>
      <w:r>
        <w:rPr>
          <w:rFonts w:ascii="黑体" w:eastAsia="黑体" w:hAnsi="黑体" w:cs="黑体"/>
          <w:b/>
          <w:bCs/>
          <w:spacing w:val="10"/>
          <w:sz w:val="24"/>
          <w:szCs w:val="24"/>
        </w:rPr>
        <w:t>公司)</w:t>
      </w:r>
    </w:p>
    <w:p>
      <w:pPr>
        <w:spacing w:before="305" w:line="217" w:lineRule="auto"/>
        <w:ind w:left="1329"/>
        <w:rPr>
          <w:rFonts w:ascii="黑体" w:eastAsia="黑体" w:hAnsi="黑体" w:cs="黑体"/>
          <w:sz w:val="24"/>
          <w:szCs w:val="24"/>
        </w:rPr>
      </w:pPr>
      <w:r>
        <w:pict>
          <v:shape id="文本框 4" o:spid="_x0000_s1030" type="#_x0000_t202" style="width:56.7pt;height:31.95pt;margin-top:7.25pt;margin-left:115.95pt;position:absolute;z-index:251663360" filled="f" stroked="f">
            <o:lock v:ext="edit" aspectratio="f"/>
            <v:textbox inset="0,0,0,0">
              <w:txbxContent>
                <w:p>
                  <w:pPr>
                    <w:spacing w:before="20" w:line="230" w:lineRule="auto"/>
                    <w:ind w:left="20" w:right="20" w:firstLine="20"/>
                    <w:rPr>
                      <w:rFonts w:ascii="黑体" w:eastAsia="黑体" w:hAnsi="黑体" w:cs="黑体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spacing w:val="-6"/>
                      <w:sz w:val="24"/>
                      <w:szCs w:val="24"/>
                    </w:rPr>
                    <w:t>运营维护</w:t>
                  </w:r>
                  <w:r>
                    <w:rPr>
                      <w:rFonts w:ascii="黑体" w:eastAsia="黑体" w:hAnsi="黑体" w:cs="黑体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黑体" w:eastAsia="黑体" w:hAnsi="黑体" w:cs="黑体"/>
                      <w:b/>
                      <w:bCs/>
                      <w:spacing w:val="-24"/>
                      <w:sz w:val="24"/>
                      <w:szCs w:val="24"/>
                    </w:rPr>
                    <w:t>并收回投资</w:t>
                  </w:r>
                </w:p>
              </w:txbxContent>
            </v:textbox>
          </v:shape>
        </w:pict>
      </w:r>
      <w:r>
        <w:pict>
          <v:shape id="文本框 5" o:spid="_x0000_s1031" type="#_x0000_t202" style="width:31.75pt;height:58.95pt;margin-top:13.85pt;margin-left:-1pt;position:absolute;z-index:251661312" filled="f" stroked="f">
            <o:lock v:ext="edit" aspectratio="f"/>
            <v:textbox inset="0,0,0,0">
              <w:txbxContent>
                <w:p>
                  <w:pPr>
                    <w:spacing w:before="20" w:line="318" w:lineRule="exact"/>
                    <w:ind w:left="20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/>
                      <w:b/>
                      <w:bCs/>
                      <w:spacing w:val="-6"/>
                      <w:position w:val="5"/>
                      <w:sz w:val="24"/>
                      <w:szCs w:val="24"/>
                    </w:rPr>
                    <w:t>投资</w:t>
                  </w:r>
                </w:p>
                <w:p>
                  <w:pPr>
                    <w:spacing w:line="221" w:lineRule="auto"/>
                    <w:ind w:left="20"/>
                    <w:rPr>
                      <w:rFonts w:ascii="黑体" w:eastAsia="黑体" w:hAnsi="黑体" w:cs="黑体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spacing w:val="-5"/>
                      <w:sz w:val="24"/>
                      <w:szCs w:val="24"/>
                    </w:rPr>
                    <w:t>建设</w:t>
                  </w:r>
                </w:p>
                <w:p>
                  <w:pPr>
                    <w:spacing w:before="243" w:line="222" w:lineRule="auto"/>
                    <w:ind w:left="20"/>
                    <w:rPr>
                      <w:rFonts w:ascii="黑体" w:eastAsia="黑体" w:hAnsi="黑体" w:cs="黑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/>
                      <w:b/>
                      <w:bCs/>
                      <w:spacing w:val="-5"/>
                      <w:sz w:val="24"/>
                      <w:szCs w:val="24"/>
                    </w:rPr>
                    <w:t>B</w:t>
                  </w:r>
                  <w:r>
                    <w:rPr>
                      <w:rFonts w:ascii="黑体" w:eastAsia="黑体" w:hAnsi="黑体" w:cs="黑体"/>
                      <w:b/>
                      <w:bCs/>
                      <w:spacing w:val="-5"/>
                      <w:sz w:val="24"/>
                      <w:szCs w:val="24"/>
                    </w:rPr>
                    <w:t>部分</w:t>
                  </w:r>
                </w:p>
              </w:txbxContent>
            </v:textbox>
          </v:shape>
        </w:pict>
      </w:r>
      <w:r>
        <w:rPr>
          <w:rFonts w:ascii="黑体" w:eastAsia="黑体" w:hAnsi="黑体" w:cs="黑体"/>
          <w:b/>
          <w:bCs/>
          <w:spacing w:val="3"/>
          <w:sz w:val="24"/>
          <w:szCs w:val="24"/>
        </w:rPr>
        <w:t>票务</w:t>
      </w:r>
    </w:p>
    <w:p>
      <w:pPr>
        <w:spacing w:line="219" w:lineRule="auto"/>
        <w:ind w:left="133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7"/>
          <w:sz w:val="24"/>
          <w:szCs w:val="24"/>
        </w:rPr>
        <w:t>收入</w:t>
      </w:r>
    </w:p>
    <w:p>
      <w:pPr>
        <w:spacing w:before="285" w:line="223" w:lineRule="auto"/>
        <w:ind w:left="1506"/>
        <w:rPr>
          <w:rFonts w:ascii="黑体" w:eastAsia="黑体" w:hAnsi="黑体" w:cs="黑体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2"/>
          <w:w w:val="98"/>
          <w:sz w:val="24"/>
          <w:szCs w:val="24"/>
        </w:rPr>
        <w:t>A</w:t>
      </w:r>
      <w:r>
        <w:rPr>
          <w:rFonts w:ascii="黑体" w:eastAsia="黑体" w:hAnsi="黑体" w:cs="黑体"/>
          <w:b/>
          <w:bCs/>
          <w:spacing w:val="-12"/>
          <w:w w:val="98"/>
          <w:sz w:val="24"/>
          <w:szCs w:val="24"/>
        </w:rPr>
        <w:t>部分+</w:t>
      </w:r>
      <w:r>
        <w:rPr>
          <w:rFonts w:ascii="Times New Roman" w:eastAsia="Times New Roman" w:hAnsi="Times New Roman" w:cs="Times New Roman"/>
          <w:b/>
          <w:bCs/>
          <w:spacing w:val="-12"/>
          <w:w w:val="98"/>
          <w:sz w:val="24"/>
          <w:szCs w:val="24"/>
        </w:rPr>
        <w:t>B</w:t>
      </w:r>
      <w:r>
        <w:rPr>
          <w:rFonts w:ascii="黑体" w:eastAsia="黑体" w:hAnsi="黑体" w:cs="黑体"/>
          <w:b/>
          <w:bCs/>
          <w:spacing w:val="-12"/>
          <w:w w:val="98"/>
          <w:sz w:val="24"/>
          <w:szCs w:val="24"/>
        </w:rPr>
        <w:t>部分</w:t>
      </w:r>
    </w:p>
    <w:p>
      <w:pPr>
        <w:spacing w:before="1" w:line="184" w:lineRule="auto"/>
        <w:ind w:left="176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5"/>
          <w:sz w:val="24"/>
          <w:szCs w:val="24"/>
        </w:rPr>
        <w:t>全部资产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3" w:lineRule="auto"/>
      </w:pPr>
    </w:p>
    <w:p>
      <w:pPr>
        <w:pStyle w:val="BodyText"/>
        <w:spacing w:line="253" w:lineRule="auto"/>
      </w:pPr>
    </w:p>
    <w:p>
      <w:pPr>
        <w:spacing w:before="78" w:line="222" w:lineRule="auto"/>
        <w:ind w:left="93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5"/>
          <w:sz w:val="24"/>
          <w:szCs w:val="24"/>
        </w:rPr>
        <w:t>市交通局</w:t>
      </w:r>
    </w:p>
    <w:p>
      <w:pPr>
        <w:pStyle w:val="BodyText"/>
        <w:spacing w:line="268" w:lineRule="auto"/>
      </w:pPr>
    </w:p>
    <w:p>
      <w:pPr>
        <w:pStyle w:val="BodyText"/>
        <w:spacing w:line="268" w:lineRule="auto"/>
      </w:pPr>
    </w:p>
    <w:p>
      <w:pPr>
        <w:pStyle w:val="BodyText"/>
        <w:spacing w:line="269" w:lineRule="auto"/>
      </w:pPr>
    </w:p>
    <w:p>
      <w:pPr>
        <w:pStyle w:val="BodyText"/>
        <w:spacing w:line="269" w:lineRule="auto"/>
      </w:pPr>
    </w:p>
    <w:p>
      <w:pPr>
        <w:pStyle w:val="BodyText"/>
        <w:spacing w:line="269" w:lineRule="auto"/>
      </w:pPr>
    </w:p>
    <w:p>
      <w:pPr>
        <w:spacing w:before="78" w:line="222" w:lineRule="auto"/>
        <w:rPr>
          <w:rFonts w:ascii="黑体" w:eastAsia="黑体" w:hAnsi="黑体" w:cs="黑体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B</w:t>
      </w:r>
      <w:r>
        <w:rPr>
          <w:rFonts w:ascii="黑体" w:eastAsia="黑体" w:hAnsi="黑体" w:cs="黑体"/>
          <w:b/>
          <w:bCs/>
          <w:spacing w:val="-14"/>
          <w:sz w:val="24"/>
          <w:szCs w:val="24"/>
        </w:rPr>
        <w:t>部分项目设施</w:t>
      </w:r>
    </w:p>
    <w:p>
      <w:pPr>
        <w:spacing w:line="222" w:lineRule="auto"/>
        <w:rPr>
          <w:rFonts w:ascii="黑体" w:eastAsia="黑体" w:hAnsi="黑体" w:cs="黑体"/>
          <w:sz w:val="24"/>
          <w:szCs w:val="24"/>
        </w:rPr>
        <w:sectPr>
          <w:footerReference w:type="default" r:id="rId17"/>
          <w:type w:val="continuous"/>
          <w:pgSz w:w="11910" w:h="16840"/>
          <w:pgMar w:top="845" w:right="989" w:bottom="1173" w:left="989" w:header="0" w:footer="971" w:gutter="0"/>
          <w:pgNumType w:start="13"/>
          <w:cols w:num="3" w:space="100" w:equalWidth="0">
            <w:col w:w="3364" w:space="100"/>
            <w:col w:w="4127" w:space="100"/>
            <w:col w:w="2241" w:space="0"/>
          </w:cols>
        </w:sectPr>
      </w:pPr>
    </w:p>
    <w:p>
      <w:pPr>
        <w:pStyle w:val="BodyText"/>
        <w:spacing w:line="252" w:lineRule="auto"/>
      </w:pPr>
    </w:p>
    <w:p>
      <w:pPr>
        <w:spacing w:before="55" w:line="225" w:lineRule="auto"/>
        <w:ind w:left="2162"/>
        <w:rPr>
          <w:rFonts w:ascii="黑体" w:eastAsia="黑体" w:hAnsi="黑体" w:cs="黑体"/>
          <w:sz w:val="17"/>
          <w:szCs w:val="17"/>
        </w:rPr>
      </w:pPr>
      <w:r>
        <w:rPr>
          <w:rFonts w:ascii="宋体" w:eastAsia="宋体" w:hAnsi="宋体" w:cs="宋体"/>
          <w:b/>
          <w:bCs/>
          <w:spacing w:val="-11"/>
          <w:sz w:val="17"/>
          <w:szCs w:val="17"/>
        </w:rPr>
        <w:t>投资137.86亿</w:t>
      </w:r>
      <w:r>
        <w:rPr>
          <w:rFonts w:ascii="宋体" w:eastAsia="宋体" w:hAnsi="宋体" w:cs="宋体"/>
          <w:spacing w:val="-11"/>
          <w:sz w:val="17"/>
          <w:szCs w:val="17"/>
        </w:rPr>
        <w:t xml:space="preserve">  </w:t>
      </w:r>
      <w:r>
        <w:rPr>
          <w:rFonts w:ascii="宋体" w:eastAsia="宋体" w:hAnsi="宋体" w:cs="宋体"/>
          <w:b/>
          <w:bCs/>
          <w:spacing w:val="-11"/>
          <w:sz w:val="17"/>
          <w:szCs w:val="17"/>
        </w:rPr>
        <w:t>投资82.9亿，</w:t>
      </w:r>
      <w:r>
        <w:rPr>
          <w:rFonts w:ascii="宋体" w:eastAsia="宋体" w:hAnsi="宋体" w:cs="宋体"/>
          <w:spacing w:val="-11"/>
          <w:sz w:val="17"/>
          <w:szCs w:val="17"/>
        </w:rPr>
        <w:t xml:space="preserve">             </w:t>
      </w:r>
      <w:r>
        <w:rPr>
          <w:rFonts w:ascii="黑体" w:eastAsia="黑体" w:hAnsi="黑体" w:cs="黑体"/>
          <w:b/>
          <w:bCs/>
          <w:spacing w:val="-11"/>
          <w:position w:val="-1"/>
          <w:sz w:val="17"/>
          <w:szCs w:val="17"/>
        </w:rPr>
        <w:t>总投资220.76亿，</w:t>
      </w:r>
    </w:p>
    <w:p>
      <w:pPr>
        <w:pStyle w:val="BodyText"/>
        <w:spacing w:line="455" w:lineRule="auto"/>
      </w:pPr>
    </w:p>
    <w:p>
      <w:pPr>
        <w:spacing w:line="1081" w:lineRule="exact"/>
        <w:ind w:firstLine="1400"/>
      </w:pPr>
      <w:r>
        <w:rPr>
          <w:position w:val="-21"/>
        </w:rPr>
        <w:pict>
          <v:group id="组合 6" o:spid="_x0000_i1032" style="width:398.05pt;height:54.05pt;mso-position-horizontal-relative:char;mso-position-vertical-relative:line" coordorigin="0,0" coordsize="7960,1080">
            <v:shape id="图片 7" o:spid="_x0000_s1033" type="#_x0000_t75" style="width:7960;height:1080;position:absolute" filled="f" stroked="f">
              <v:imagedata r:id="rId18" o:title=""/>
              <v:path o:extrusionok="f"/>
              <o:lock v:ext="edit" aspectratio="t"/>
            </v:shape>
            <v:shape id="文本框 8" o:spid="_x0000_s1034" type="#_x0000_t202" style="width:7027;height:1020;left:810;position:absolute;top:81" filled="f" stroked="f">
              <o:lock v:ext="edit" aspectratio="f"/>
              <v:textbox inset="0,0,0,0">
                <w:txbxContent>
                  <w:p>
                    <w:pPr>
                      <w:spacing w:before="19" w:line="227" w:lineRule="auto"/>
                      <w:ind w:left="20"/>
                      <w:rPr>
                        <w:rFonts w:ascii="宋体" w:eastAsia="宋体" w:hAnsi="宋体" w:cs="宋体"/>
                        <w:sz w:val="24"/>
                        <w:szCs w:val="24"/>
                      </w:rPr>
                    </w:pPr>
                    <w:r>
                      <w:rPr>
                        <w:rFonts w:ascii="黑体" w:eastAsia="黑体" w:hAnsi="黑体" w:cs="黑体"/>
                        <w:spacing w:val="-5"/>
                        <w:position w:val="-2"/>
                        <w:sz w:val="24"/>
                        <w:szCs w:val="24"/>
                      </w:rPr>
                      <w:t>建</w:t>
                    </w:r>
                    <w:r>
                      <w:rPr>
                        <w:rFonts w:ascii="黑体" w:eastAsia="黑体" w:hAnsi="黑体" w:cs="黑体"/>
                        <w:spacing w:val="11"/>
                        <w:position w:val="-2"/>
                        <w:sz w:val="24"/>
                        <w:szCs w:val="24"/>
                      </w:rPr>
                      <w:t xml:space="preserve">       </w:t>
                    </w:r>
                    <w:r>
                      <w:rPr>
                        <w:rFonts w:ascii="宋体" w:eastAsia="宋体" w:hAnsi="宋体" w:cs="宋体"/>
                        <w:spacing w:val="-5"/>
                        <w:position w:val="2"/>
                        <w:sz w:val="24"/>
                        <w:szCs w:val="24"/>
                      </w:rPr>
                      <w:t>设</w:t>
                    </w:r>
                  </w:p>
                  <w:p>
                    <w:pPr>
                      <w:spacing w:before="73" w:line="60" w:lineRule="exact"/>
                      <w:ind w:firstLine="3709"/>
                    </w:pPr>
                    <w:r>
                      <w:rPr>
                        <w:position w:val="-1"/>
                      </w:rPr>
                      <w:pict>
                        <v:shape id="IM 8" o:spid="_x0000_i1035" type="#_x0000_t75" style="width:23.01pt;height:2.94pt;mso-wrap-distance-left:0;mso-wrap-distance-right:0" o:preferrelative="t" filled="f" stroked="f">
                          <v:fill o:detectmouseclick="t"/>
                          <v:imagedata r:id="rId19" o:title=""/>
                          <v:path o:extrusionok="f"/>
                          <o:lock v:ext="edit" aspectratio="f"/>
                        </v:shape>
                      </w:pict>
                    </w:r>
                  </w:p>
                  <w:p>
                    <w:pPr>
                      <w:spacing w:before="75" w:line="167" w:lineRule="auto"/>
                      <w:ind w:left="93"/>
                      <w:rPr>
                        <w:rFonts w:ascii="黑体" w:eastAsia="黑体" w:hAnsi="黑体" w:cs="黑体"/>
                        <w:sz w:val="24"/>
                        <w:szCs w:val="24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-4"/>
                        <w:sz w:val="24"/>
                        <w:szCs w:val="24"/>
                      </w:rPr>
                      <w:t>建设期6年</w:t>
                    </w:r>
                  </w:p>
                  <w:p>
                    <w:pPr>
                      <w:spacing w:line="203" w:lineRule="auto"/>
                      <w:jc w:val="right"/>
                      <w:rPr>
                        <w:rFonts w:ascii="黑体" w:eastAsia="黑体" w:hAnsi="黑体" w:cs="黑体"/>
                        <w:sz w:val="24"/>
                        <w:szCs w:val="24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-23"/>
                        <w:w w:val="97"/>
                        <w:sz w:val="24"/>
                        <w:szCs w:val="24"/>
                      </w:rPr>
                      <w:t>运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spacing w:val="-22"/>
                        <w:w w:val="97"/>
                        <w:sz w:val="24"/>
                        <w:szCs w:val="24"/>
                      </w:rPr>
                      <w:t>营期结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spacing w:val="-11"/>
                        <w:w w:val="97"/>
                        <w:sz w:val="24"/>
                        <w:szCs w:val="24"/>
                      </w:rPr>
                      <w:t>束</w:t>
                    </w:r>
                  </w:p>
                </w:txbxContent>
              </v:textbox>
            </v:shape>
            <v:shape id="文本框 9" o:spid="_x0000_s1036" type="#_x0000_t202" style="width:1526;height:300;left:4559;position:absolute;top:80" filled="f" stroked="f">
              <o:lock v:ext="edit" aspectratio="f"/>
              <v:textbox inset="0,0,0,0">
                <w:txbxContent>
                  <w:p>
                    <w:pPr>
                      <w:spacing w:before="20" w:line="235" w:lineRule="auto"/>
                      <w:ind w:left="20"/>
                      <w:rPr>
                        <w:rFonts w:ascii="黑体" w:eastAsia="黑体" w:hAnsi="黑体" w:cs="黑体"/>
                        <w:sz w:val="24"/>
                        <w:szCs w:val="24"/>
                      </w:rPr>
                    </w:pPr>
                    <w:r>
                      <w:rPr>
                        <w:rFonts w:ascii="黑体" w:eastAsia="黑体" w:hAnsi="黑体" w:cs="黑体"/>
                        <w:spacing w:val="-7"/>
                        <w:sz w:val="24"/>
                        <w:szCs w:val="24"/>
                      </w:rPr>
                      <w:t>运</w:t>
                    </w:r>
                    <w:r>
                      <w:rPr>
                        <w:rFonts w:ascii="黑体" w:eastAsia="黑体" w:hAnsi="黑体" w:cs="黑体"/>
                        <w:spacing w:val="9"/>
                        <w:sz w:val="24"/>
                        <w:szCs w:val="24"/>
                      </w:rPr>
                      <w:t xml:space="preserve">        </w:t>
                    </w:r>
                    <w:r>
                      <w:rPr>
                        <w:rFonts w:ascii="黑体" w:eastAsia="黑体" w:hAnsi="黑体" w:cs="黑体"/>
                        <w:spacing w:val="-7"/>
                        <w:sz w:val="24"/>
                        <w:szCs w:val="24"/>
                      </w:rPr>
                      <w:t>营</w:t>
                    </w:r>
                  </w:p>
                </w:txbxContent>
              </v:textbox>
            </v:shape>
            <v:shape id="文本框 10" o:spid="_x0000_s1037" type="#_x0000_t202" style="width:1265;height:283;left:4503;position:absolute;top:637" filled="f" stroked="f">
              <o:lock v:ext="edit" aspectratio="f"/>
              <v:textbox inset="0,0,0,0">
                <w:txbxContent>
                  <w:p>
                    <w:pPr>
                      <w:spacing w:before="20" w:line="223" w:lineRule="auto"/>
                      <w:ind w:left="20"/>
                      <w:rPr>
                        <w:rFonts w:ascii="黑体" w:eastAsia="黑体" w:hAnsi="黑体" w:cs="黑体"/>
                        <w:sz w:val="24"/>
                        <w:szCs w:val="24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1"/>
                        <w:sz w:val="24"/>
                        <w:szCs w:val="24"/>
                      </w:rPr>
                      <w:t>运营期25年</w:t>
                    </w:r>
                  </w:p>
                </w:txbxContent>
              </v:textbox>
            </v:shape>
            <v:shape id="文本框 11" o:spid="_x0000_s1038" type="#_x0000_t202" style="width:955;height:315;left:6893;position:absolute;top:122" filled="f" stroked="f">
              <o:lock v:ext="edit" aspectratio="f"/>
              <v:textbox inset="0,0,0,0">
                <w:txbxContent>
                  <w:p>
                    <w:pPr>
                      <w:spacing w:before="19" w:line="217" w:lineRule="auto"/>
                      <w:ind w:left="20"/>
                      <w:rPr>
                        <w:rFonts w:ascii="黑体" w:eastAsia="黑体" w:hAnsi="黑体" w:cs="黑体"/>
                        <w:sz w:val="27"/>
                        <w:szCs w:val="27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1"/>
                        <w:sz w:val="27"/>
                        <w:szCs w:val="27"/>
                      </w:rPr>
                      <w:t>移</w:t>
                    </w:r>
                    <w:r>
                      <w:rPr>
                        <w:rFonts w:ascii="黑体" w:eastAsia="黑体" w:hAnsi="黑体" w:cs="黑体"/>
                        <w:spacing w:val="1"/>
                        <w:sz w:val="27"/>
                        <w:szCs w:val="27"/>
                      </w:rPr>
                      <w:t>|</w:t>
                    </w:r>
                    <w:r>
                      <w:rPr>
                        <w:rFonts w:ascii="黑体" w:eastAsia="黑体" w:hAnsi="黑体" w:cs="黑体"/>
                        <w:spacing w:val="110"/>
                        <w:sz w:val="27"/>
                        <w:szCs w:val="27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spacing w:val="1"/>
                        <w:sz w:val="27"/>
                        <w:szCs w:val="27"/>
                      </w:rPr>
                      <w:t>交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line="293" w:lineRule="auto"/>
      </w:pPr>
    </w:p>
    <w:p>
      <w:pPr>
        <w:pStyle w:val="BodyText"/>
        <w:spacing w:line="293" w:lineRule="auto"/>
      </w:pPr>
    </w:p>
    <w:p>
      <w:pPr>
        <w:spacing w:before="78" w:line="222" w:lineRule="auto"/>
        <w:ind w:left="316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pacing w:val="-16"/>
          <w:sz w:val="24"/>
          <w:szCs w:val="24"/>
        </w:rPr>
        <w:t>图</w:t>
      </w:r>
      <w:r>
        <w:rPr>
          <w:rFonts w:ascii="仿宋" w:eastAsia="仿宋" w:hAnsi="仿宋" w:cs="仿宋"/>
          <w:spacing w:val="26"/>
          <w:sz w:val="24"/>
          <w:szCs w:val="24"/>
        </w:rPr>
        <w:t xml:space="preserve"> </w:t>
      </w:r>
      <w:r>
        <w:rPr>
          <w:rFonts w:ascii="仿宋" w:eastAsia="仿宋" w:hAnsi="仿宋" w:cs="仿宋"/>
          <w:spacing w:val="-16"/>
          <w:sz w:val="24"/>
          <w:szCs w:val="24"/>
        </w:rPr>
        <w:t>1</w:t>
      </w:r>
      <w:r>
        <w:rPr>
          <w:rFonts w:ascii="仿宋" w:eastAsia="仿宋" w:hAnsi="仿宋" w:cs="仿宋"/>
          <w:spacing w:val="35"/>
          <w:sz w:val="24"/>
          <w:szCs w:val="24"/>
        </w:rPr>
        <w:t xml:space="preserve"> </w:t>
      </w:r>
      <w:r>
        <w:rPr>
          <w:rFonts w:ascii="仿宋" w:eastAsia="仿宋" w:hAnsi="仿宋" w:cs="仿宋"/>
          <w:spacing w:val="-16"/>
          <w:sz w:val="24"/>
          <w:szCs w:val="24"/>
        </w:rPr>
        <w:t>杭</w:t>
      </w:r>
      <w:r>
        <w:rPr>
          <w:rFonts w:ascii="仿宋" w:eastAsia="仿宋" w:hAnsi="仿宋" w:cs="仿宋"/>
          <w:spacing w:val="-34"/>
          <w:sz w:val="24"/>
          <w:szCs w:val="24"/>
        </w:rPr>
        <w:t xml:space="preserve"> </w:t>
      </w:r>
      <w:r>
        <w:rPr>
          <w:rFonts w:ascii="仿宋" w:eastAsia="仿宋" w:hAnsi="仿宋" w:cs="仿宋"/>
          <w:spacing w:val="-16"/>
          <w:sz w:val="24"/>
          <w:szCs w:val="24"/>
        </w:rPr>
        <w:t>州</w:t>
      </w:r>
      <w:r>
        <w:rPr>
          <w:rFonts w:ascii="仿宋" w:eastAsia="仿宋" w:hAnsi="仿宋" w:cs="仿宋"/>
          <w:spacing w:val="-40"/>
          <w:sz w:val="24"/>
          <w:szCs w:val="24"/>
        </w:rPr>
        <w:t xml:space="preserve"> </w:t>
      </w:r>
      <w:r>
        <w:rPr>
          <w:rFonts w:ascii="仿宋" w:eastAsia="仿宋" w:hAnsi="仿宋" w:cs="仿宋"/>
          <w:spacing w:val="-16"/>
          <w:sz w:val="24"/>
          <w:szCs w:val="24"/>
        </w:rPr>
        <w:t>地</w:t>
      </w:r>
      <w:r>
        <w:rPr>
          <w:rFonts w:ascii="仿宋" w:eastAsia="仿宋" w:hAnsi="仿宋" w:cs="仿宋"/>
          <w:spacing w:val="-39"/>
          <w:sz w:val="24"/>
          <w:szCs w:val="24"/>
        </w:rPr>
        <w:t xml:space="preserve"> </w:t>
      </w:r>
      <w:r>
        <w:rPr>
          <w:rFonts w:ascii="仿宋" w:eastAsia="仿宋" w:hAnsi="仿宋" w:cs="仿宋"/>
          <w:spacing w:val="-16"/>
          <w:sz w:val="24"/>
          <w:szCs w:val="24"/>
        </w:rPr>
        <w:t>铁</w:t>
      </w:r>
      <w:r>
        <w:rPr>
          <w:rFonts w:ascii="仿宋" w:eastAsia="仿宋" w:hAnsi="仿宋" w:cs="仿宋"/>
          <w:spacing w:val="-31"/>
          <w:sz w:val="24"/>
          <w:szCs w:val="24"/>
        </w:rPr>
        <w:t xml:space="preserve"> </w:t>
      </w:r>
      <w:r>
        <w:rPr>
          <w:rFonts w:ascii="仿宋" w:eastAsia="仿宋" w:hAnsi="仿宋" w:cs="仿宋"/>
          <w:spacing w:val="-16"/>
          <w:sz w:val="24"/>
          <w:szCs w:val="24"/>
        </w:rPr>
        <w:t>1</w:t>
      </w:r>
      <w:r>
        <w:rPr>
          <w:rFonts w:ascii="仿宋" w:eastAsia="仿宋" w:hAnsi="仿宋" w:cs="仿宋"/>
          <w:spacing w:val="-36"/>
          <w:sz w:val="24"/>
          <w:szCs w:val="24"/>
        </w:rPr>
        <w:t xml:space="preserve"> </w:t>
      </w:r>
      <w:r>
        <w:rPr>
          <w:rFonts w:ascii="仿宋" w:eastAsia="仿宋" w:hAnsi="仿宋" w:cs="仿宋"/>
          <w:spacing w:val="-16"/>
          <w:sz w:val="24"/>
          <w:szCs w:val="24"/>
        </w:rPr>
        <w:t>号</w:t>
      </w:r>
      <w:r>
        <w:rPr>
          <w:rFonts w:ascii="仿宋" w:eastAsia="仿宋" w:hAnsi="仿宋" w:cs="仿宋"/>
          <w:spacing w:val="-34"/>
          <w:sz w:val="24"/>
          <w:szCs w:val="24"/>
        </w:rPr>
        <w:t xml:space="preserve"> </w:t>
      </w:r>
      <w:r>
        <w:rPr>
          <w:rFonts w:ascii="仿宋" w:eastAsia="仿宋" w:hAnsi="仿宋" w:cs="仿宋"/>
          <w:spacing w:val="-16"/>
          <w:sz w:val="24"/>
          <w:szCs w:val="24"/>
        </w:rPr>
        <w:t>线</w:t>
      </w:r>
      <w:r>
        <w:rPr>
          <w:rFonts w:ascii="仿宋" w:eastAsia="仿宋" w:hAnsi="仿宋" w:cs="仿宋"/>
          <w:spacing w:val="-27"/>
          <w:sz w:val="24"/>
          <w:szCs w:val="24"/>
        </w:rPr>
        <w:t xml:space="preserve"> </w:t>
      </w:r>
      <w:r>
        <w:rPr>
          <w:rFonts w:ascii="仿宋" w:eastAsia="仿宋" w:hAnsi="仿宋" w:cs="仿宋"/>
          <w:spacing w:val="-16"/>
          <w:sz w:val="24"/>
          <w:szCs w:val="24"/>
        </w:rPr>
        <w:t>的</w:t>
      </w:r>
      <w:r>
        <w:rPr>
          <w:rFonts w:ascii="仿宋" w:eastAsia="仿宋" w:hAnsi="仿宋" w:cs="仿宋"/>
          <w:spacing w:val="-4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6"/>
          <w:sz w:val="24"/>
          <w:szCs w:val="24"/>
        </w:rPr>
        <w:t xml:space="preserve">PPP </w:t>
      </w:r>
      <w:r>
        <w:rPr>
          <w:rFonts w:ascii="仿宋" w:eastAsia="仿宋" w:hAnsi="仿宋" w:cs="仿宋"/>
          <w:spacing w:val="-16"/>
          <w:sz w:val="24"/>
          <w:szCs w:val="24"/>
        </w:rPr>
        <w:t>模 式</w:t>
      </w:r>
    </w:p>
    <w:p>
      <w:pPr>
        <w:spacing w:before="248" w:line="221" w:lineRule="auto"/>
        <w:ind w:left="153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20"/>
          <w:sz w:val="27"/>
          <w:szCs w:val="27"/>
        </w:rPr>
        <w:t>(二)实施流程</w:t>
      </w:r>
    </w:p>
    <w:p>
      <w:pPr>
        <w:spacing w:before="107" w:line="302" w:lineRule="auto"/>
        <w:ind w:left="809" w:right="785" w:firstLine="58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5"/>
          <w:sz w:val="27"/>
          <w:szCs w:val="27"/>
        </w:rPr>
        <w:t>2008年3月，杭州市政府根据《杭州市市政公用事业特许经营</w:t>
      </w:r>
      <w:r>
        <w:rPr>
          <w:rFonts w:ascii="仿宋" w:eastAsia="仿宋" w:hAnsi="仿宋" w:cs="仿宋"/>
          <w:spacing w:val="3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13"/>
          <w:sz w:val="27"/>
          <w:szCs w:val="27"/>
        </w:rPr>
        <w:t>条例》有关规定，决定1号线项目采用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特许</w:t>
      </w:r>
      <w:r>
        <w:rPr>
          <w:rFonts w:ascii="仿宋" w:eastAsia="仿宋" w:hAnsi="仿宋" w:cs="仿宋"/>
          <w:spacing w:val="12"/>
          <w:sz w:val="27"/>
          <w:szCs w:val="27"/>
        </w:rPr>
        <w:t>经营模式进行招商，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拟引入境内外投资者参与杭州市地铁一期工程1号线项目的投资、建</w:t>
      </w:r>
    </w:p>
    <w:p>
      <w:pPr>
        <w:spacing w:line="223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1"/>
          <w:sz w:val="27"/>
          <w:szCs w:val="27"/>
        </w:rPr>
        <w:t>设和运营。</w:t>
      </w:r>
    </w:p>
    <w:p>
      <w:pPr>
        <w:spacing w:before="118" w:line="268" w:lineRule="auto"/>
        <w:ind w:left="809" w:right="842" w:firstLine="58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2"/>
          <w:sz w:val="27"/>
          <w:szCs w:val="27"/>
        </w:rPr>
        <w:t>2008年3月24日，市发改委发布地铁一期工程1号线特许经营</w:t>
      </w:r>
      <w:r>
        <w:rPr>
          <w:rFonts w:ascii="仿宋" w:eastAsia="仿宋" w:hAnsi="仿宋" w:cs="仿宋"/>
          <w:spacing w:val="1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项目招商公告。共有港铁公司、新加坡地铁公</w:t>
      </w:r>
      <w:r>
        <w:rPr>
          <w:rFonts w:ascii="仿宋" w:eastAsia="仿宋" w:hAnsi="仿宋" w:cs="仿宋"/>
          <w:spacing w:val="5"/>
          <w:sz w:val="27"/>
          <w:szCs w:val="27"/>
        </w:rPr>
        <w:t>司、威立雅交通巴黎地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铁公司三家参与投标。通过竞争性谈判，确定优先考虑与港铁公司合</w:t>
      </w:r>
      <w:r>
        <w:rPr>
          <w:rFonts w:ascii="仿宋" w:eastAsia="仿宋" w:hAnsi="仿宋" w:cs="仿宋"/>
          <w:spacing w:val="1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7"/>
          <w:sz w:val="27"/>
          <w:szCs w:val="27"/>
        </w:rPr>
        <w:t>作。</w:t>
      </w:r>
    </w:p>
    <w:p>
      <w:pPr>
        <w:spacing w:line="268" w:lineRule="auto"/>
        <w:rPr>
          <w:rFonts w:ascii="仿宋" w:eastAsia="仿宋" w:hAnsi="仿宋" w:cs="仿宋"/>
          <w:sz w:val="27"/>
          <w:szCs w:val="27"/>
        </w:rPr>
        <w:sectPr>
          <w:footerReference w:type="default" r:id="rId20"/>
          <w:type w:val="continuous"/>
          <w:pgSz w:w="11910" w:h="16840"/>
          <w:pgMar w:top="845" w:right="989" w:bottom="1173" w:left="989" w:header="0" w:footer="971" w:gutter="0"/>
          <w:pgNumType w:start="14"/>
          <w:cols w:space="708"/>
        </w:sectPr>
      </w:pPr>
    </w:p>
    <w:tbl>
      <w:tblPr>
        <w:tblStyle w:val="TableNormal3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70"/>
        <w:gridCol w:w="273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0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21" w:line="219" w:lineRule="auto"/>
              <w:ind w:left="113"/>
            </w:pPr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2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30" w:type="dxa"/>
            <w:tcBorders>
              <w:right w:val="nil"/>
            </w:tcBorders>
          </w:tcPr>
          <w:p>
            <w:pPr>
              <w:spacing w:line="252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页码：第11页共79页</w:t>
            </w:r>
          </w:p>
        </w:tc>
      </w:tr>
    </w:tbl>
    <w:p>
      <w:pPr>
        <w:pStyle w:val="BodyText"/>
        <w:spacing w:line="284" w:lineRule="auto"/>
      </w:pPr>
    </w:p>
    <w:p>
      <w:pPr>
        <w:spacing w:before="88" w:line="256" w:lineRule="auto"/>
        <w:ind w:left="799" w:right="955" w:firstLine="5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4"/>
          <w:sz w:val="27"/>
          <w:szCs w:val="27"/>
        </w:rPr>
        <w:t>2009年1月5日，市委、市政府讨论通过了地铁1号线杭港合</w:t>
      </w:r>
      <w:r>
        <w:rPr>
          <w:rFonts w:ascii="仿宋" w:eastAsia="仿宋" w:hAnsi="仿宋" w:cs="仿宋"/>
          <w:spacing w:val="12"/>
          <w:sz w:val="27"/>
          <w:szCs w:val="27"/>
        </w:rPr>
        <w:t xml:space="preserve"> </w:t>
      </w:r>
      <w:r>
        <w:rPr>
          <w:rFonts w:ascii="仿宋" w:eastAsia="仿宋" w:hAnsi="仿宋" w:cs="仿宋"/>
          <w:sz w:val="27"/>
          <w:szCs w:val="27"/>
        </w:rPr>
        <w:t>作原则性协议。</w:t>
      </w:r>
    </w:p>
    <w:p>
      <w:pPr>
        <w:spacing w:before="121" w:line="440" w:lineRule="exact"/>
        <w:ind w:left="13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0"/>
          <w:position w:val="12"/>
          <w:sz w:val="27"/>
          <w:szCs w:val="27"/>
        </w:rPr>
        <w:t>2010年3月，市政府和港铁公司就1号线项目草签了特许经营</w:t>
      </w:r>
    </w:p>
    <w:p>
      <w:pPr>
        <w:spacing w:line="222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z w:val="27"/>
          <w:szCs w:val="27"/>
        </w:rPr>
        <w:t>等协议或合同。</w:t>
      </w:r>
    </w:p>
    <w:p>
      <w:pPr>
        <w:spacing w:before="123" w:line="301" w:lineRule="auto"/>
        <w:ind w:left="799" w:right="852" w:firstLine="5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8"/>
          <w:sz w:val="27"/>
          <w:szCs w:val="27"/>
        </w:rPr>
        <w:t>2012年8月17日，商务部正式批复同意杭州地铁一号线投资有</w:t>
      </w:r>
      <w:r>
        <w:rPr>
          <w:rFonts w:ascii="仿宋" w:eastAsia="仿宋" w:hAnsi="仿宋" w:cs="仿宋"/>
          <w:spacing w:val="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限公司与在香港注册的港铁杭州一号线投资有限公司在杭州市设立  </w:t>
      </w:r>
      <w:r>
        <w:rPr>
          <w:rFonts w:ascii="仿宋" w:eastAsia="仿宋" w:hAnsi="仿宋" w:cs="仿宋"/>
          <w:spacing w:val="23"/>
          <w:sz w:val="27"/>
          <w:szCs w:val="27"/>
        </w:rPr>
        <w:t>杭州杭港地铁有限公司(以下简称杭港地铁公司),1号线特许经营</w:t>
      </w:r>
      <w:r>
        <w:rPr>
          <w:rFonts w:ascii="仿宋" w:eastAsia="仿宋" w:hAnsi="仿宋" w:cs="仿宋"/>
          <w:spacing w:val="1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5"/>
          <w:sz w:val="27"/>
          <w:szCs w:val="27"/>
        </w:rPr>
        <w:t>项目获批，9月6日，特许经营公司-杭州杭港</w:t>
      </w:r>
      <w:r>
        <w:rPr>
          <w:rFonts w:ascii="仿宋" w:eastAsia="仿宋" w:hAnsi="仿宋" w:cs="仿宋"/>
          <w:spacing w:val="14"/>
          <w:sz w:val="27"/>
          <w:szCs w:val="27"/>
        </w:rPr>
        <w:t>地铁有限公司注册成</w:t>
      </w:r>
      <w:r>
        <w:rPr>
          <w:rFonts w:ascii="仿宋" w:eastAsia="仿宋" w:hAnsi="仿宋" w:cs="仿宋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15"/>
          <w:sz w:val="27"/>
          <w:szCs w:val="27"/>
        </w:rPr>
        <w:t>立，9月28日，市政府授权市交通局与杭港地</w:t>
      </w:r>
      <w:r>
        <w:rPr>
          <w:rFonts w:ascii="仿宋" w:eastAsia="仿宋" w:hAnsi="仿宋" w:cs="仿宋"/>
          <w:spacing w:val="14"/>
          <w:sz w:val="27"/>
          <w:szCs w:val="27"/>
        </w:rPr>
        <w:t>铁公司签订特许经营</w:t>
      </w:r>
    </w:p>
    <w:p>
      <w:pPr>
        <w:spacing w:line="222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2"/>
          <w:sz w:val="27"/>
          <w:szCs w:val="27"/>
        </w:rPr>
        <w:t>协议。</w:t>
      </w:r>
    </w:p>
    <w:p>
      <w:pPr>
        <w:spacing w:before="125" w:line="222" w:lineRule="auto"/>
        <w:ind w:left="13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4"/>
          <w:sz w:val="27"/>
          <w:szCs w:val="27"/>
        </w:rPr>
        <w:t>2012年11月24日，1号线正式开始</w:t>
      </w:r>
      <w:r>
        <w:rPr>
          <w:rFonts w:ascii="仿宋" w:eastAsia="仿宋" w:hAnsi="仿宋" w:cs="仿宋"/>
          <w:spacing w:val="23"/>
          <w:sz w:val="27"/>
          <w:szCs w:val="27"/>
        </w:rPr>
        <w:t>试运营。</w:t>
      </w:r>
    </w:p>
    <w:p>
      <w:pPr>
        <w:spacing w:before="107" w:line="223" w:lineRule="auto"/>
        <w:ind w:left="1543"/>
        <w:rPr>
          <w:rFonts w:ascii="楷体" w:eastAsia="楷体" w:hAnsi="楷体" w:cs="楷体"/>
          <w:sz w:val="27"/>
          <w:szCs w:val="27"/>
        </w:rPr>
      </w:pPr>
      <w:r>
        <w:rPr>
          <w:rFonts w:ascii="楷体" w:eastAsia="楷体" w:hAnsi="楷体" w:cs="楷体"/>
          <w:b/>
          <w:bCs/>
          <w:spacing w:val="21"/>
          <w:sz w:val="27"/>
          <w:szCs w:val="27"/>
        </w:rPr>
        <w:t>(三)协议体系</w:t>
      </w:r>
    </w:p>
    <w:p>
      <w:pPr>
        <w:spacing w:before="110" w:line="301" w:lineRule="auto"/>
        <w:ind w:left="799" w:right="835" w:firstLine="5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sz w:val="27"/>
          <w:szCs w:val="27"/>
        </w:rPr>
        <w:t>主要有三个关键协议：</w:t>
      </w:r>
      <w:r>
        <w:rPr>
          <w:rFonts w:ascii="仿宋" w:eastAsia="仿宋" w:hAnsi="仿宋" w:cs="仿宋"/>
          <w:spacing w:val="9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一是杭州地铁1号线投资公司与港铁杭州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1号线投资公司签订的《中外合作经营合同》和《公司章程》,二是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杭州市交通局与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项目公司杭港地铁公司签订的《特许经营协议》,</w:t>
      </w:r>
    </w:p>
    <w:p>
      <w:pPr>
        <w:spacing w:before="1" w:line="221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8"/>
          <w:sz w:val="27"/>
          <w:szCs w:val="27"/>
        </w:rPr>
        <w:t>三是杭州地铁集团与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2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项目公司签订的《资产租赁协</w:t>
      </w:r>
      <w:r>
        <w:rPr>
          <w:rFonts w:ascii="仿宋" w:eastAsia="仿宋" w:hAnsi="仿宋" w:cs="仿宋"/>
          <w:spacing w:val="7"/>
          <w:sz w:val="27"/>
          <w:szCs w:val="27"/>
        </w:rPr>
        <w:t>议》。</w:t>
      </w:r>
    </w:p>
    <w:p>
      <w:pPr>
        <w:spacing w:before="115" w:line="301" w:lineRule="auto"/>
        <w:ind w:left="799" w:right="842" w:firstLine="545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《特许协议》是</w:t>
      </w:r>
      <w:r>
        <w:rPr>
          <w:rFonts w:ascii="仿宋" w:eastAsia="仿宋" w:hAnsi="仿宋" w:cs="仿宋"/>
          <w:spacing w:val="-5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项目的核心，全面约定市政府、杭港公司双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方的权利义务，项目融资、建设运营、移交的标准和要求，以及票价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机制、风险分担等事项，为</w:t>
      </w:r>
      <w:r>
        <w:rPr>
          <w:rFonts w:ascii="仿宋" w:eastAsia="仿宋" w:hAnsi="仿宋" w:cs="仿宋"/>
          <w:spacing w:val="-6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项目投资建设和运营管理提供了明确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的依据和坚实的法律保障。1号线项目特许经营协议由主协议、附件</w:t>
      </w:r>
      <w:r>
        <w:rPr>
          <w:rFonts w:ascii="仿宋" w:eastAsia="仿宋" w:hAnsi="仿宋" w:cs="仿宋"/>
          <w:spacing w:val="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协议以及后续的补充协议共同构成，涵盖了建设、试运行、运营、移</w:t>
      </w:r>
    </w:p>
    <w:p>
      <w:pPr>
        <w:spacing w:before="1" w:line="221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交各个阶段，形成了一个完整的合同体系。</w:t>
      </w:r>
    </w:p>
    <w:p>
      <w:pPr>
        <w:spacing w:before="113" w:line="450" w:lineRule="exact"/>
        <w:ind w:left="1075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position w:val="13"/>
          <w:sz w:val="27"/>
          <w:szCs w:val="27"/>
        </w:rPr>
        <w:t>《中外合作经营合同》和《公司章程》从合作宗旨、董事会和经营</w:t>
      </w:r>
    </w:p>
    <w:p>
      <w:pPr>
        <w:spacing w:before="1" w:line="220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管理机构的组成、合同期限等方面对合作经营进行规则约定。</w:t>
      </w:r>
    </w:p>
    <w:p>
      <w:pPr>
        <w:spacing w:before="110" w:line="439" w:lineRule="exact"/>
        <w:ind w:left="1075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position w:val="12"/>
          <w:sz w:val="27"/>
          <w:szCs w:val="27"/>
        </w:rPr>
        <w:t>《资产租赁协议》规定了杭港公司租赁</w:t>
      </w:r>
      <w:r>
        <w:rPr>
          <w:rFonts w:ascii="仿宋" w:eastAsia="仿宋" w:hAnsi="仿宋" w:cs="仿宋"/>
          <w:spacing w:val="-63"/>
          <w:position w:val="1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6"/>
          <w:position w:val="12"/>
          <w:sz w:val="27"/>
          <w:szCs w:val="27"/>
        </w:rPr>
        <w:t>A</w:t>
      </w:r>
      <w:r>
        <w:rPr>
          <w:rFonts w:ascii="仿宋" w:eastAsia="仿宋" w:hAnsi="仿宋" w:cs="仿宋"/>
          <w:spacing w:val="6"/>
          <w:position w:val="12"/>
          <w:sz w:val="27"/>
          <w:szCs w:val="27"/>
        </w:rPr>
        <w:t>部分资产的范围、移交方</w:t>
      </w:r>
    </w:p>
    <w:p>
      <w:pPr>
        <w:spacing w:before="1" w:line="220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法、保修期以及租金和租赁期限等内容。</w:t>
      </w:r>
    </w:p>
    <w:p>
      <w:pPr>
        <w:spacing w:before="114" w:line="301" w:lineRule="auto"/>
        <w:ind w:left="799" w:right="764" w:firstLine="5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基于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合作机制的建立以及先进管理理念的引入，杭港公司正</w:t>
      </w:r>
      <w:r>
        <w:rPr>
          <w:rFonts w:ascii="仿宋" w:eastAsia="仿宋" w:hAnsi="仿宋" w:cs="仿宋"/>
          <w:spacing w:val="1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从规范化管理走向系统化、精细化管理，日均客流稳步递增，列车服 </w:t>
      </w:r>
      <w:r>
        <w:rPr>
          <w:rFonts w:ascii="仿宋" w:eastAsia="仿宋" w:hAnsi="仿宋" w:cs="仿宋"/>
          <w:spacing w:val="12"/>
          <w:sz w:val="27"/>
          <w:szCs w:val="27"/>
        </w:rPr>
        <w:t>务的重点指标准点率、兑现率也保持在99.8%以上的高位，售票机、</w:t>
      </w:r>
    </w:p>
    <w:p>
      <w:pPr>
        <w:spacing w:before="1" w:line="219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闸机等设备的可靠度也均保持在99.8%以上，这些数据均远超《特许</w:t>
      </w:r>
    </w:p>
    <w:p>
      <w:pPr>
        <w:spacing w:line="219" w:lineRule="auto"/>
        <w:rPr>
          <w:rFonts w:ascii="仿宋" w:eastAsia="仿宋" w:hAnsi="仿宋" w:cs="仿宋"/>
          <w:sz w:val="27"/>
          <w:szCs w:val="27"/>
        </w:rPr>
        <w:sectPr>
          <w:footerReference w:type="default" r:id="rId21"/>
          <w:pgSz w:w="11910" w:h="16840"/>
          <w:pgMar w:top="834" w:right="989" w:bottom="1182" w:left="999" w:header="0" w:footer="969" w:gutter="0"/>
          <w:pgNumType w:start="15"/>
          <w:cols w:space="708"/>
        </w:sectPr>
      </w:pPr>
    </w:p>
    <w:tbl>
      <w:tblPr>
        <w:tblStyle w:val="TableNormal4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70"/>
        <w:gridCol w:w="273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13"/>
            </w:pPr>
            <w:bookmarkStart w:id="4" w:name="bookmark5"/>
            <w:bookmarkEnd w:id="4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2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3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页码：第12页共79页</w:t>
            </w:r>
          </w:p>
        </w:tc>
      </w:tr>
    </w:tbl>
    <w:p>
      <w:pPr>
        <w:pStyle w:val="BodyText"/>
        <w:spacing w:line="279" w:lineRule="auto"/>
      </w:pPr>
    </w:p>
    <w:p>
      <w:pPr>
        <w:spacing w:before="88" w:line="301" w:lineRule="auto"/>
        <w:ind w:left="799" w:right="867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协议》所规定的考核指标。在此期间，杭港公司通过建立</w:t>
      </w:r>
      <w:r>
        <w:rPr>
          <w:rFonts w:ascii="仿宋" w:eastAsia="仿宋" w:hAnsi="仿宋" w:cs="仿宋"/>
          <w:spacing w:val="4"/>
          <w:sz w:val="27"/>
          <w:szCs w:val="27"/>
        </w:rPr>
        <w:t>先进的财务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管理系统和全方位的财务预算体系，有效的控制了经营管理成本(每</w:t>
      </w:r>
      <w:r>
        <w:rPr>
          <w:rFonts w:ascii="仿宋" w:eastAsia="仿宋" w:hAnsi="仿宋" w:cs="仿宋"/>
          <w:spacing w:val="1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公里人员配比达1:47);同时依靠灵活的财务管理手段实施合理的 </w:t>
      </w:r>
      <w:r>
        <w:rPr>
          <w:rFonts w:ascii="仿宋" w:eastAsia="仿宋" w:hAnsi="仿宋" w:cs="仿宋"/>
          <w:spacing w:val="5"/>
          <w:sz w:val="27"/>
          <w:szCs w:val="27"/>
        </w:rPr>
        <w:t>借偿贷，使公司在不依靠政府财政补贴的前提下，具有长期经营的财</w:t>
      </w:r>
    </w:p>
    <w:p>
      <w:pPr>
        <w:spacing w:line="219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8"/>
          <w:sz w:val="27"/>
          <w:szCs w:val="27"/>
        </w:rPr>
        <w:t>务能力和可持续性经营潜力，这都有利于保证1号线的长期稳定运营。</w:t>
      </w:r>
    </w:p>
    <w:p>
      <w:pPr>
        <w:spacing w:before="129" w:line="222" w:lineRule="auto"/>
        <w:ind w:left="136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3"/>
          <w:sz w:val="27"/>
          <w:szCs w:val="27"/>
        </w:rPr>
        <w:t>三、经验借鉴</w:t>
      </w:r>
    </w:p>
    <w:p>
      <w:pPr>
        <w:spacing w:before="110" w:line="223" w:lineRule="auto"/>
        <w:ind w:left="1523"/>
        <w:rPr>
          <w:rFonts w:ascii="楷体" w:eastAsia="楷体" w:hAnsi="楷体" w:cs="楷体"/>
          <w:sz w:val="27"/>
          <w:szCs w:val="27"/>
        </w:rPr>
      </w:pPr>
      <w:r>
        <w:rPr>
          <w:rFonts w:ascii="楷体" w:eastAsia="楷体" w:hAnsi="楷体" w:cs="楷体"/>
          <w:b/>
          <w:bCs/>
          <w:spacing w:val="13"/>
          <w:sz w:val="27"/>
          <w:szCs w:val="27"/>
        </w:rPr>
        <w:t>(一)选择合适的合作伙伴</w:t>
      </w:r>
    </w:p>
    <w:p>
      <w:pPr>
        <w:spacing w:before="107" w:line="301" w:lineRule="auto"/>
        <w:ind w:left="799" w:right="851" w:firstLine="59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合适的合作伙伴是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项目取得成功的关键。要选择具有行业建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设和运营经验、有资金实力、有成功的运营模式的企业。</w:t>
      </w:r>
      <w:r>
        <w:rPr>
          <w:rFonts w:ascii="仿宋" w:eastAsia="仿宋" w:hAnsi="仿宋" w:cs="仿宋"/>
          <w:spacing w:val="4"/>
          <w:sz w:val="27"/>
          <w:szCs w:val="27"/>
        </w:rPr>
        <w:t>基于以上挑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选合作伙伴的原则，杭州市政府通过全球招商，选择港</w:t>
      </w:r>
      <w:r>
        <w:rPr>
          <w:rFonts w:ascii="仿宋" w:eastAsia="仿宋" w:hAnsi="仿宋" w:cs="仿宋"/>
          <w:spacing w:val="4"/>
          <w:sz w:val="27"/>
          <w:szCs w:val="27"/>
        </w:rPr>
        <w:t>铁作为合作伙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伴。首先，港铁是香港特区最大的政府控股上市公司，30多年轨道</w:t>
      </w:r>
      <w:r>
        <w:rPr>
          <w:rFonts w:ascii="仿宋" w:eastAsia="仿宋" w:hAnsi="仿宋" w:cs="仿宋"/>
          <w:spacing w:val="3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5"/>
          <w:sz w:val="27"/>
          <w:szCs w:val="27"/>
        </w:rPr>
        <w:t>交通规划设计、建设运营和物业管理经验，业内保持领先，也是</w:t>
      </w:r>
      <w:r>
        <w:rPr>
          <w:rFonts w:ascii="仿宋" w:eastAsia="仿宋" w:hAnsi="仿宋" w:cs="仿宋"/>
          <w:spacing w:val="4"/>
          <w:sz w:val="27"/>
          <w:szCs w:val="27"/>
        </w:rPr>
        <w:t>全球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少数几家盈利的地铁运营商之一。其次，港铁是香港最大的地产开发</w:t>
      </w:r>
      <w:r>
        <w:rPr>
          <w:rFonts w:ascii="仿宋" w:eastAsia="仿宋" w:hAnsi="仿宋" w:cs="仿宋"/>
          <w:spacing w:val="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商之一，开创性地实施“地铁+物业”模式，实现轨道交通可持续发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5"/>
          <w:sz w:val="27"/>
          <w:szCs w:val="27"/>
        </w:rPr>
        <w:t>展。再次，具有跨地域轨道交通经营经验，香</w:t>
      </w:r>
      <w:r>
        <w:rPr>
          <w:rFonts w:ascii="仿宋" w:eastAsia="仿宋" w:hAnsi="仿宋" w:cs="仿宋"/>
          <w:spacing w:val="-6"/>
          <w:sz w:val="27"/>
          <w:szCs w:val="27"/>
        </w:rPr>
        <w:t>港之外，港铁还在伦敦、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墨尔本、北京等城市运营铁路。良好的表现、成熟的经验、雄厚的资</w:t>
      </w:r>
    </w:p>
    <w:p>
      <w:pPr>
        <w:spacing w:line="220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金实力以及先进的运营模式，是选择港铁的基础支撑。</w:t>
      </w:r>
    </w:p>
    <w:p>
      <w:pPr>
        <w:spacing w:before="123" w:line="223" w:lineRule="auto"/>
        <w:ind w:left="1523"/>
        <w:rPr>
          <w:rFonts w:ascii="楷体" w:eastAsia="楷体" w:hAnsi="楷体" w:cs="楷体"/>
          <w:sz w:val="27"/>
          <w:szCs w:val="27"/>
        </w:rPr>
      </w:pPr>
      <w:r>
        <w:rPr>
          <w:rFonts w:ascii="楷体" w:eastAsia="楷体" w:hAnsi="楷体" w:cs="楷体"/>
          <w:b/>
          <w:bCs/>
          <w:spacing w:val="14"/>
          <w:sz w:val="27"/>
          <w:szCs w:val="27"/>
        </w:rPr>
        <w:t>(二)建立有力的政策保障体系</w:t>
      </w:r>
    </w:p>
    <w:p>
      <w:pPr>
        <w:spacing w:before="108" w:line="301" w:lineRule="auto"/>
        <w:ind w:left="799" w:right="755" w:firstLine="59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杭州市政府及相关部门积极协调各方利益关系，敢于突破创新，</w:t>
      </w:r>
      <w:r>
        <w:rPr>
          <w:rFonts w:ascii="仿宋" w:eastAsia="仿宋" w:hAnsi="仿宋" w:cs="仿宋"/>
          <w:spacing w:val="1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为项目推进提供了全方位保障。在项目实施过程中，政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府变成了全程 </w:t>
      </w:r>
      <w:r>
        <w:rPr>
          <w:rFonts w:ascii="仿宋" w:eastAsia="仿宋" w:hAnsi="仿宋" w:cs="仿宋"/>
          <w:spacing w:val="5"/>
          <w:sz w:val="27"/>
          <w:szCs w:val="27"/>
        </w:rPr>
        <w:t>参与者和全力保障者，为项目配套出台了《杭州市市政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公用事业特许 </w:t>
      </w:r>
      <w:r>
        <w:rPr>
          <w:rFonts w:ascii="仿宋" w:eastAsia="仿宋" w:hAnsi="仿宋" w:cs="仿宋"/>
          <w:spacing w:val="-4"/>
          <w:sz w:val="27"/>
          <w:szCs w:val="27"/>
        </w:rPr>
        <w:t xml:space="preserve">经营条例》、  《杭州市城市轨道交通运营管理办法》等法规政策。市 </w:t>
      </w:r>
      <w:r>
        <w:rPr>
          <w:rFonts w:ascii="仿宋" w:eastAsia="仿宋" w:hAnsi="仿宋" w:cs="仿宋"/>
          <w:spacing w:val="4"/>
          <w:sz w:val="27"/>
          <w:szCs w:val="27"/>
        </w:rPr>
        <w:t>政府成立了由副市长牵头的招商领导小组，市发改委主导完成</w:t>
      </w:r>
      <w:r>
        <w:rPr>
          <w:rFonts w:ascii="仿宋" w:eastAsia="仿宋" w:hAnsi="仿宋" w:cs="仿宋"/>
          <w:spacing w:val="-45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4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项</w:t>
      </w:r>
    </w:p>
    <w:p>
      <w:pPr>
        <w:spacing w:line="220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目实施方案、竞争性谈判等，市地铁集团负责具体操作和研究。</w:t>
      </w:r>
    </w:p>
    <w:p>
      <w:pPr>
        <w:spacing w:before="113" w:line="224" w:lineRule="auto"/>
        <w:ind w:left="1523"/>
        <w:rPr>
          <w:rFonts w:ascii="楷体" w:eastAsia="楷体" w:hAnsi="楷体" w:cs="楷体"/>
          <w:sz w:val="27"/>
          <w:szCs w:val="27"/>
        </w:rPr>
      </w:pPr>
      <w:r>
        <w:rPr>
          <w:rFonts w:ascii="楷体" w:eastAsia="楷体" w:hAnsi="楷体" w:cs="楷体"/>
          <w:b/>
          <w:bCs/>
          <w:spacing w:val="13"/>
          <w:sz w:val="27"/>
          <w:szCs w:val="27"/>
        </w:rPr>
        <w:t>(三)设计合理的风险-收益平衡机制</w:t>
      </w:r>
    </w:p>
    <w:p>
      <w:pPr>
        <w:spacing w:before="119" w:line="301" w:lineRule="auto"/>
        <w:ind w:left="799" w:right="833" w:firstLine="59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1号线特许经营项目首先建立了票价调整机制和客流风险分担机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制。1号线运营票价实行政府定价管理，考虑到地铁运营成本会随着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CPI</w:t>
      </w:r>
      <w:r>
        <w:rPr>
          <w:rFonts w:ascii="宋体" w:eastAsia="宋体" w:hAnsi="宋体" w:cs="宋体"/>
          <w:spacing w:val="5"/>
          <w:sz w:val="27"/>
          <w:szCs w:val="27"/>
        </w:rPr>
        <w:t>、</w:t>
      </w:r>
      <w:r>
        <w:rPr>
          <w:rFonts w:ascii="宋体" w:eastAsia="宋体" w:hAnsi="宋体" w:cs="宋体"/>
          <w:spacing w:val="-1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工资、电价等因素的变化而变化，因此《特许协议》中约定了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开通年的初始票价，同时也约定了根据上述3项因素进行周期性调整</w:t>
      </w:r>
    </w:p>
    <w:p>
      <w:pPr>
        <w:spacing w:line="221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的测算票价。若实际票价低于测算票价，政府就其差额向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2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公司进</w:t>
      </w:r>
    </w:p>
    <w:p>
      <w:pPr>
        <w:spacing w:line="221" w:lineRule="auto"/>
        <w:rPr>
          <w:rFonts w:ascii="仿宋" w:eastAsia="仿宋" w:hAnsi="仿宋" w:cs="仿宋"/>
          <w:sz w:val="27"/>
          <w:szCs w:val="27"/>
        </w:rPr>
        <w:sectPr>
          <w:footerReference w:type="default" r:id="rId22"/>
          <w:pgSz w:w="11910" w:h="16840"/>
          <w:pgMar w:top="845" w:right="989" w:bottom="1182" w:left="999" w:header="0" w:footer="969" w:gutter="0"/>
          <w:pgNumType w:start="16"/>
          <w:cols w:space="708"/>
        </w:sectPr>
      </w:pPr>
    </w:p>
    <w:tbl>
      <w:tblPr>
        <w:tblStyle w:val="TableNormal5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90"/>
        <w:gridCol w:w="269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23"/>
            </w:pPr>
            <w:bookmarkStart w:id="5" w:name="bookmark6"/>
            <w:bookmarkStart w:id="6" w:name="bookmark7"/>
            <w:bookmarkEnd w:id="5"/>
            <w:bookmarkEnd w:id="6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4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9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98"/>
            </w:pPr>
            <w:r>
              <w:rPr>
                <w:b/>
                <w:bCs/>
                <w:color w:val="F40000"/>
                <w:spacing w:val="-4"/>
              </w:rPr>
              <w:t>书山有路勤为径，学海无涯苦作舟</w:t>
            </w:r>
          </w:p>
        </w:tc>
        <w:tc>
          <w:tcPr>
            <w:tcW w:w="269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页码：第13页共79页</w:t>
            </w:r>
          </w:p>
        </w:tc>
      </w:tr>
    </w:tbl>
    <w:p>
      <w:pPr>
        <w:pStyle w:val="BodyText"/>
        <w:spacing w:line="281" w:lineRule="auto"/>
      </w:pPr>
    </w:p>
    <w:p>
      <w:pPr>
        <w:spacing w:before="88" w:line="301" w:lineRule="auto"/>
        <w:ind w:left="809" w:right="823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>行补偿；反之，</w:t>
      </w:r>
      <w:r>
        <w:rPr>
          <w:rFonts w:ascii="仿宋" w:eastAsia="仿宋" w:hAnsi="仿宋" w:cs="仿宋"/>
          <w:spacing w:val="-55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2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公司与政府分成。对于客流风险分担机制</w:t>
      </w:r>
      <w:r>
        <w:rPr>
          <w:rFonts w:ascii="仿宋" w:eastAsia="仿宋" w:hAnsi="仿宋" w:cs="仿宋"/>
          <w:spacing w:val="3"/>
          <w:sz w:val="27"/>
          <w:szCs w:val="27"/>
        </w:rPr>
        <w:t>，目的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是实现政府与企业共同培育客流、共担风险、共享收益，同样以一定</w:t>
      </w:r>
      <w:r>
        <w:rPr>
          <w:rFonts w:ascii="仿宋" w:eastAsia="仿宋" w:hAnsi="仿宋" w:cs="仿宋"/>
          <w:spacing w:val="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的客流预测为判断基准，若实际客流低于预测客流时，政府向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公</w:t>
      </w:r>
    </w:p>
    <w:p>
      <w:pPr>
        <w:spacing w:before="1" w:line="220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司进行补偿；反之，政府将与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1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公司分享收益。</w:t>
      </w:r>
    </w:p>
    <w:p>
      <w:pPr>
        <w:spacing w:before="120" w:line="223" w:lineRule="auto"/>
        <w:ind w:left="1533"/>
        <w:rPr>
          <w:rFonts w:ascii="楷体" w:eastAsia="楷体" w:hAnsi="楷体" w:cs="楷体"/>
          <w:sz w:val="27"/>
          <w:szCs w:val="27"/>
        </w:rPr>
      </w:pPr>
      <w:r>
        <w:rPr>
          <w:rFonts w:ascii="楷体" w:eastAsia="楷体" w:hAnsi="楷体" w:cs="楷体"/>
          <w:b/>
          <w:bCs/>
          <w:spacing w:val="13"/>
          <w:sz w:val="27"/>
          <w:szCs w:val="27"/>
        </w:rPr>
        <w:t>(四)建立有效的监管机制</w:t>
      </w:r>
    </w:p>
    <w:p>
      <w:pPr>
        <w:spacing w:before="110" w:line="301" w:lineRule="auto"/>
        <w:ind w:left="809" w:right="824" w:firstLine="56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0"/>
          <w:sz w:val="27"/>
          <w:szCs w:val="27"/>
        </w:rPr>
        <w:t>监管机制主要通过政府部门监管及协议监管得以</w:t>
      </w:r>
      <w:r>
        <w:rPr>
          <w:rFonts w:ascii="仿宋" w:eastAsia="仿宋" w:hAnsi="仿宋" w:cs="仿宋"/>
          <w:spacing w:val="9"/>
          <w:sz w:val="27"/>
          <w:szCs w:val="27"/>
        </w:rPr>
        <w:t>保障。1号线项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4"/>
          <w:sz w:val="27"/>
          <w:szCs w:val="27"/>
        </w:rPr>
        <w:t>目的政府监管部门可以分为两类：</w:t>
      </w:r>
      <w:r>
        <w:rPr>
          <w:rFonts w:ascii="仿宋" w:eastAsia="仿宋" w:hAnsi="仿宋" w:cs="仿宋"/>
          <w:spacing w:val="10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4"/>
          <w:sz w:val="27"/>
          <w:szCs w:val="27"/>
        </w:rPr>
        <w:t>一类是政府直接监管部门，另一类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是一般监管部门。直接监管部门与1号线的投资、建设、运</w:t>
      </w:r>
      <w:r>
        <w:rPr>
          <w:rFonts w:ascii="仿宋" w:eastAsia="仿宋" w:hAnsi="仿宋" w:cs="仿宋"/>
          <w:spacing w:val="9"/>
          <w:sz w:val="27"/>
          <w:szCs w:val="27"/>
        </w:rPr>
        <w:t>营发生直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接、紧密的联系，例如交通局负责对1号线运营的安全性、准点率等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进行监管；财政局负责监督1号线运营的经济效益情况，以</w:t>
      </w:r>
      <w:r>
        <w:rPr>
          <w:rFonts w:ascii="仿宋" w:eastAsia="仿宋" w:hAnsi="仿宋" w:cs="仿宋"/>
          <w:spacing w:val="9"/>
          <w:sz w:val="27"/>
          <w:szCs w:val="27"/>
        </w:rPr>
        <w:t>便给予财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3"/>
          <w:sz w:val="27"/>
          <w:szCs w:val="27"/>
        </w:rPr>
        <w:t>政补贴。</w:t>
      </w:r>
      <w:r>
        <w:rPr>
          <w:rFonts w:ascii="仿宋" w:eastAsia="仿宋" w:hAnsi="仿宋" w:cs="仿宋"/>
          <w:spacing w:val="6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3"/>
          <w:sz w:val="27"/>
          <w:szCs w:val="27"/>
        </w:rPr>
        <w:t>一般监管部门根据各自的职责范围对1号线的建设运营</w:t>
      </w:r>
      <w:r>
        <w:rPr>
          <w:rFonts w:ascii="仿宋" w:eastAsia="仿宋" w:hAnsi="仿宋" w:cs="仿宋"/>
          <w:spacing w:val="2"/>
          <w:sz w:val="27"/>
          <w:szCs w:val="27"/>
        </w:rPr>
        <w:t>等方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面进行监管，例如环保局对噪音等环保情况进行监管。协议监管则是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11"/>
          <w:sz w:val="27"/>
          <w:szCs w:val="27"/>
        </w:rPr>
        <w:t>通过《特许协议》、</w:t>
      </w:r>
      <w:r>
        <w:rPr>
          <w:rFonts w:ascii="仿宋" w:eastAsia="仿宋" w:hAnsi="仿宋" w:cs="仿宋"/>
          <w:spacing w:val="11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11"/>
          <w:sz w:val="27"/>
          <w:szCs w:val="27"/>
        </w:rPr>
        <w:t>《中外合作经营合同》、</w:t>
      </w:r>
      <w:r>
        <w:rPr>
          <w:rFonts w:ascii="仿宋" w:eastAsia="仿宋" w:hAnsi="仿宋" w:cs="仿宋"/>
          <w:spacing w:val="10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11"/>
          <w:sz w:val="27"/>
          <w:szCs w:val="27"/>
        </w:rPr>
        <w:t>《资产租赁协议》</w:t>
      </w:r>
      <w:r>
        <w:rPr>
          <w:rFonts w:ascii="仿宋" w:eastAsia="仿宋" w:hAnsi="仿宋" w:cs="仿宋"/>
          <w:spacing w:val="-12"/>
          <w:sz w:val="27"/>
          <w:szCs w:val="27"/>
        </w:rPr>
        <w:t>等协</w:t>
      </w:r>
    </w:p>
    <w:p>
      <w:pPr>
        <w:spacing w:line="222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"/>
          <w:sz w:val="27"/>
          <w:szCs w:val="27"/>
        </w:rPr>
        <w:t>议结构予以体现。</w:t>
      </w:r>
    </w:p>
    <w:p>
      <w:pPr>
        <w:spacing w:before="112" w:line="449" w:lineRule="exact"/>
        <w:ind w:left="137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24"/>
          <w:position w:val="12"/>
          <w:sz w:val="27"/>
          <w:szCs w:val="27"/>
        </w:rPr>
        <w:t>案例2:杭州市文一路地下通道(保傲北路~紫金港路)工程</w:t>
      </w:r>
    </w:p>
    <w:p>
      <w:pPr>
        <w:spacing w:before="1" w:line="220" w:lineRule="auto"/>
        <w:ind w:left="137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4"/>
          <w:sz w:val="27"/>
          <w:szCs w:val="27"/>
        </w:rPr>
        <w:t>一、项目概况</w:t>
      </w:r>
    </w:p>
    <w:p>
      <w:pPr>
        <w:spacing w:before="109" w:line="302" w:lineRule="auto"/>
        <w:ind w:left="809" w:right="829" w:firstLine="56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8"/>
          <w:sz w:val="27"/>
          <w:szCs w:val="27"/>
        </w:rPr>
        <w:t>文一路地下通道(保做北路~紫金港路)工程是杭州“一环、三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纵、五横”城市快速路系统中“一横”德胜路至文一路的</w:t>
      </w:r>
      <w:r>
        <w:rPr>
          <w:rFonts w:ascii="仿宋" w:eastAsia="仿宋" w:hAnsi="仿宋" w:cs="仿宋"/>
          <w:spacing w:val="4"/>
          <w:sz w:val="27"/>
          <w:szCs w:val="27"/>
        </w:rPr>
        <w:t>重要组成部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分，项目的建设对缓解城西交通拥堵问题，提速东西向交通具有重要</w:t>
      </w:r>
    </w:p>
    <w:p>
      <w:pPr>
        <w:spacing w:before="1" w:line="224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4"/>
          <w:sz w:val="27"/>
          <w:szCs w:val="27"/>
        </w:rPr>
        <w:t>意义。</w:t>
      </w:r>
    </w:p>
    <w:p>
      <w:pPr>
        <w:spacing w:before="93" w:line="303" w:lineRule="auto"/>
        <w:ind w:left="809" w:right="830" w:firstLine="56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工程西起紫金港路西，东至保傲北路，全长约5.8公里，其中隧</w:t>
      </w:r>
      <w:r>
        <w:rPr>
          <w:rFonts w:ascii="仿宋" w:eastAsia="仿宋" w:hAnsi="仿宋" w:cs="仿宋"/>
          <w:spacing w:val="1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道长约5.28公里。该工程由两部分组成</w:t>
      </w:r>
      <w:r>
        <w:rPr>
          <w:rFonts w:ascii="仿宋" w:eastAsia="仿宋" w:hAnsi="仿宋" w:cs="仿宋"/>
          <w:spacing w:val="4"/>
          <w:sz w:val="27"/>
          <w:szCs w:val="27"/>
        </w:rPr>
        <w:t>，其中紫金港立交段长约0.68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7"/>
          <w:sz w:val="27"/>
          <w:szCs w:val="27"/>
        </w:rPr>
        <w:t>公里，隧道主线段长约5.12公里。地下隧道为双向4车道城</w:t>
      </w:r>
      <w:r>
        <w:rPr>
          <w:rFonts w:ascii="仿宋" w:eastAsia="仿宋" w:hAnsi="仿宋" w:cs="仿宋"/>
          <w:spacing w:val="16"/>
          <w:sz w:val="27"/>
          <w:szCs w:val="27"/>
        </w:rPr>
        <w:t>市主干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路，地面道路为双向6车道城市主干路，设计车速60</w:t>
      </w:r>
      <w:r>
        <w:rPr>
          <w:rFonts w:ascii="仿宋" w:eastAsia="仿宋" w:hAnsi="仿宋" w:cs="仿宋"/>
          <w:spacing w:val="13"/>
          <w:sz w:val="27"/>
          <w:szCs w:val="27"/>
        </w:rPr>
        <w:t>公里/小时，隧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道等级为一类城市交通隧道。项目概算总投</w:t>
      </w:r>
      <w:r>
        <w:rPr>
          <w:rFonts w:ascii="仿宋" w:eastAsia="仿宋" w:hAnsi="仿宋" w:cs="仿宋"/>
          <w:spacing w:val="12"/>
          <w:sz w:val="27"/>
          <w:szCs w:val="27"/>
        </w:rPr>
        <w:t>资为47.6亿元。项目于</w:t>
      </w:r>
    </w:p>
    <w:p>
      <w:pPr>
        <w:spacing w:line="222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5"/>
          <w:sz w:val="27"/>
          <w:szCs w:val="27"/>
        </w:rPr>
        <w:t>2014年年底开工建设，预计2018年完工。</w:t>
      </w:r>
    </w:p>
    <w:p>
      <w:pPr>
        <w:spacing w:before="114" w:line="301" w:lineRule="auto"/>
        <w:ind w:left="809" w:right="828" w:firstLine="56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BOT</w:t>
      </w:r>
      <w:r>
        <w:rPr>
          <w:rFonts w:ascii="Times New Roman" w:eastAsia="Times New Roman" w:hAnsi="Times New Roman" w:cs="Times New Roman"/>
          <w:spacing w:val="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段全长5.12公里，工程内容主要包括：地下隧道一座，改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建5座地面桥梁，新建2座人行过街设施；以及地面道路恢复、地下</w:t>
      </w:r>
    </w:p>
    <w:p>
      <w:pPr>
        <w:spacing w:line="221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管线、景观绿化等建设。</w:t>
      </w:r>
      <w:r>
        <w:rPr>
          <w:rFonts w:ascii="Times New Roman" w:eastAsia="Times New Roman" w:hAnsi="Times New Roman" w:cs="Times New Roman"/>
          <w:sz w:val="27"/>
          <w:szCs w:val="27"/>
        </w:rPr>
        <w:t>BOT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段概算投资为39.66亿元。</w:t>
      </w:r>
    </w:p>
    <w:p>
      <w:pPr>
        <w:spacing w:line="221" w:lineRule="auto"/>
        <w:rPr>
          <w:rFonts w:ascii="仿宋" w:eastAsia="仿宋" w:hAnsi="仿宋" w:cs="仿宋"/>
          <w:sz w:val="27"/>
          <w:szCs w:val="27"/>
        </w:rPr>
        <w:sectPr>
          <w:footerReference w:type="default" r:id="rId23"/>
          <w:pgSz w:w="11910" w:h="16840"/>
          <w:pgMar w:top="845" w:right="1019" w:bottom="1182" w:left="989" w:header="0" w:footer="969" w:gutter="0"/>
          <w:pgNumType w:start="17"/>
          <w:cols w:space="708"/>
        </w:sectPr>
      </w:pPr>
    </w:p>
    <w:tbl>
      <w:tblPr>
        <w:tblStyle w:val="TableNormal6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30"/>
        <w:gridCol w:w="4670"/>
        <w:gridCol w:w="272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3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23"/>
            </w:pPr>
            <w:bookmarkStart w:id="7" w:name="bookmark9"/>
            <w:bookmarkStart w:id="8" w:name="bookmark8"/>
            <w:bookmarkEnd w:id="7"/>
            <w:bookmarkEnd w:id="8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3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2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38"/>
            </w:pPr>
            <w:r>
              <w:rPr>
                <w:b/>
                <w:bCs/>
                <w:spacing w:val="-2"/>
              </w:rPr>
              <w:t>页码：第14页共79页</w:t>
            </w:r>
          </w:p>
        </w:tc>
      </w:tr>
    </w:tbl>
    <w:p>
      <w:pPr>
        <w:pStyle w:val="BodyText"/>
        <w:spacing w:line="290" w:lineRule="auto"/>
      </w:pPr>
    </w:p>
    <w:p>
      <w:pPr>
        <w:spacing w:before="88" w:line="222" w:lineRule="auto"/>
        <w:ind w:left="136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2"/>
          <w:sz w:val="27"/>
          <w:szCs w:val="27"/>
        </w:rPr>
        <w:t>二、运作模式</w:t>
      </w:r>
    </w:p>
    <w:p>
      <w:pPr>
        <w:spacing w:before="119" w:line="222" w:lineRule="auto"/>
        <w:ind w:left="15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6"/>
          <w:sz w:val="27"/>
          <w:szCs w:val="27"/>
        </w:rPr>
        <w:t>(</w:t>
      </w:r>
      <w:r>
        <w:rPr>
          <w:rFonts w:ascii="仿宋" w:eastAsia="仿宋" w:hAnsi="仿宋" w:cs="仿宋"/>
          <w:spacing w:val="-7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6"/>
          <w:sz w:val="27"/>
          <w:szCs w:val="27"/>
        </w:rPr>
        <w:t>一)具体模式</w:t>
      </w:r>
    </w:p>
    <w:p>
      <w:pPr>
        <w:spacing w:before="102" w:line="301" w:lineRule="auto"/>
        <w:ind w:left="820" w:right="808" w:firstLine="539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2"/>
          <w:sz w:val="27"/>
          <w:szCs w:val="27"/>
        </w:rPr>
        <w:t>工程采用</w:t>
      </w:r>
      <w:r>
        <w:rPr>
          <w:rFonts w:ascii="仿宋" w:eastAsia="仿宋" w:hAnsi="仿宋" w:cs="仿宋"/>
          <w:spacing w:val="-46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7"/>
          <w:szCs w:val="27"/>
        </w:rPr>
        <w:t>BOT</w:t>
      </w:r>
      <w:r>
        <w:rPr>
          <w:rFonts w:ascii="Times New Roman" w:eastAsia="Times New Roman" w:hAnsi="Times New Roman" w:cs="Times New Roman"/>
          <w:spacing w:val="3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2"/>
          <w:sz w:val="27"/>
          <w:szCs w:val="27"/>
        </w:rPr>
        <w:t>方式，即市政府向投资方——上海隧道工程股份有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限公司和浙大网新建设投资集团组成的项目公司授予特许经营权，允</w:t>
      </w:r>
      <w:r>
        <w:rPr>
          <w:rFonts w:ascii="仿宋" w:eastAsia="仿宋" w:hAnsi="仿宋" w:cs="仿宋"/>
          <w:spacing w:val="1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许其在一定时间内进行该工程的建设和运营，而投资方在公共</w:t>
      </w:r>
      <w:r>
        <w:rPr>
          <w:rFonts w:ascii="仿宋" w:eastAsia="仿宋" w:hAnsi="仿宋" w:cs="仿宋"/>
          <w:spacing w:val="4"/>
          <w:sz w:val="27"/>
          <w:szCs w:val="27"/>
        </w:rPr>
        <w:t>基础建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设过程中采用总承包模式施工，当特许期限结束后，投资方将该设施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移交市政府。特许经营期限为20年，市财政每年向项目公司支付专</w:t>
      </w:r>
    </w:p>
    <w:p>
      <w:pPr>
        <w:spacing w:line="221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3"/>
          <w:sz w:val="27"/>
          <w:szCs w:val="27"/>
        </w:rPr>
        <w:t>营补贴。</w:t>
      </w:r>
    </w:p>
    <w:p>
      <w:pPr>
        <w:spacing w:before="127" w:line="222" w:lineRule="auto"/>
        <w:ind w:left="15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4"/>
          <w:sz w:val="27"/>
          <w:szCs w:val="27"/>
        </w:rPr>
        <w:t>(二)实施流程</w:t>
      </w:r>
    </w:p>
    <w:p>
      <w:pPr>
        <w:spacing w:before="100" w:line="301" w:lineRule="auto"/>
        <w:ind w:left="820" w:right="830" w:firstLine="53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6"/>
          <w:sz w:val="27"/>
          <w:szCs w:val="27"/>
        </w:rPr>
        <w:t>在完成项目初步设计之后，杭州市建委于2014年9月通过公共</w:t>
      </w:r>
      <w:r>
        <w:rPr>
          <w:rFonts w:ascii="仿宋" w:eastAsia="仿宋" w:hAnsi="仿宋" w:cs="仿宋"/>
          <w:spacing w:val="1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资源交易平台进行公开招标，共有7家联合体参与投标。上海隧道工</w:t>
      </w:r>
      <w:r>
        <w:rPr>
          <w:rFonts w:ascii="仿宋" w:eastAsia="仿宋" w:hAnsi="仿宋" w:cs="仿宋"/>
          <w:spacing w:val="1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程股份有限公司和浙大网新建设投资集团组成的联合体综合得分排</w:t>
      </w:r>
      <w:r>
        <w:rPr>
          <w:rFonts w:ascii="仿宋" w:eastAsia="仿宋" w:hAnsi="仿宋" w:cs="仿宋"/>
          <w:spacing w:val="2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17"/>
          <w:sz w:val="27"/>
          <w:szCs w:val="27"/>
        </w:rPr>
        <w:t>名第一，成为项目投资人。经市政府授权，2014年11月19日市建</w:t>
      </w:r>
      <w:r>
        <w:rPr>
          <w:rFonts w:ascii="仿宋" w:eastAsia="仿宋" w:hAnsi="仿宋" w:cs="仿宋"/>
          <w:spacing w:val="2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5"/>
          <w:sz w:val="27"/>
          <w:szCs w:val="27"/>
        </w:rPr>
        <w:t>委与投资人签订项目投资协议，约定由项目投资人根据项目建设方案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和政府相关要求，完成项目投资建设和运营管理。项目投资协议签署</w:t>
      </w:r>
      <w:r>
        <w:rPr>
          <w:rFonts w:ascii="仿宋" w:eastAsia="仿宋" w:hAnsi="仿宋" w:cs="仿宋"/>
          <w:spacing w:val="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后，投资人根据项目投资协议的要求成立项目公司，具体负责项目的 投资建设和经营管理。经市政府授权，市建委与项目公司签署项目特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许权协议，授予项目公司投资建设和经营管理的特许权利。根据特许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协议，项目公司开展项目勘察设计、征地拆迁、融资安排、工</w:t>
      </w:r>
      <w:r>
        <w:rPr>
          <w:rFonts w:ascii="仿宋" w:eastAsia="仿宋" w:hAnsi="仿宋" w:cs="仿宋"/>
          <w:spacing w:val="4"/>
          <w:sz w:val="27"/>
          <w:szCs w:val="27"/>
        </w:rPr>
        <w:t>程建设</w:t>
      </w:r>
    </w:p>
    <w:p>
      <w:pPr>
        <w:spacing w:line="220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"/>
          <w:sz w:val="27"/>
          <w:szCs w:val="27"/>
        </w:rPr>
        <w:t>等项目投资建设工作。</w:t>
      </w:r>
    </w:p>
    <w:p>
      <w:pPr>
        <w:spacing w:before="128" w:line="222" w:lineRule="auto"/>
        <w:ind w:left="136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-16"/>
          <w:sz w:val="27"/>
          <w:szCs w:val="27"/>
        </w:rPr>
        <w:t>三</w:t>
      </w:r>
      <w:r>
        <w:rPr>
          <w:rFonts w:ascii="黑体" w:eastAsia="黑体" w:hAnsi="黑体" w:cs="黑体"/>
          <w:spacing w:val="-21"/>
          <w:sz w:val="27"/>
          <w:szCs w:val="27"/>
        </w:rPr>
        <w:t xml:space="preserve"> </w:t>
      </w:r>
      <w:r>
        <w:rPr>
          <w:rFonts w:ascii="黑体" w:eastAsia="黑体" w:hAnsi="黑体" w:cs="黑体"/>
          <w:b/>
          <w:bCs/>
          <w:spacing w:val="-16"/>
          <w:sz w:val="27"/>
          <w:szCs w:val="27"/>
        </w:rPr>
        <w:t>、经验借鉴</w:t>
      </w:r>
    </w:p>
    <w:p>
      <w:pPr>
        <w:spacing w:before="107" w:line="222" w:lineRule="auto"/>
        <w:ind w:left="15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9"/>
          <w:sz w:val="27"/>
          <w:szCs w:val="27"/>
        </w:rPr>
        <w:t>(一)为城市市政道路投融资探索了可以复制的“范本”</w:t>
      </w:r>
    </w:p>
    <w:p>
      <w:pPr>
        <w:spacing w:before="116" w:line="301" w:lineRule="auto"/>
        <w:ind w:left="820" w:right="848" w:firstLine="539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城市市政道路不直接收费，单个项目没有现金流，比较难以实施</w:t>
      </w:r>
      <w:r>
        <w:rPr>
          <w:rFonts w:ascii="仿宋" w:eastAsia="仿宋" w:hAnsi="仿宋" w:cs="仿宋"/>
          <w:spacing w:val="10"/>
          <w:sz w:val="27"/>
          <w:szCs w:val="27"/>
        </w:rPr>
        <w:t xml:space="preserve"> </w:t>
      </w:r>
      <w:r>
        <w:rPr>
          <w:rFonts w:ascii="仿宋" w:eastAsia="仿宋" w:hAnsi="仿宋" w:cs="仿宋"/>
          <w:sz w:val="27"/>
          <w:szCs w:val="27"/>
        </w:rPr>
        <w:t>常规的</w:t>
      </w:r>
      <w:r>
        <w:rPr>
          <w:rFonts w:ascii="仿宋" w:eastAsia="仿宋" w:hAnsi="仿宋" w:cs="仿宋"/>
          <w:spacing w:val="-5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BOT </w:t>
      </w:r>
      <w:r>
        <w:rPr>
          <w:rFonts w:ascii="仿宋" w:eastAsia="仿宋" w:hAnsi="仿宋" w:cs="仿宋"/>
          <w:sz w:val="27"/>
          <w:szCs w:val="27"/>
        </w:rPr>
        <w:t>方式。本项目通过创新，第一次引进社会资本参与</w:t>
      </w:r>
      <w:r>
        <w:rPr>
          <w:rFonts w:ascii="仿宋" w:eastAsia="仿宋" w:hAnsi="仿宋" w:cs="仿宋"/>
          <w:spacing w:val="-1"/>
          <w:sz w:val="27"/>
          <w:szCs w:val="27"/>
        </w:rPr>
        <w:t>城市道</w:t>
      </w:r>
    </w:p>
    <w:p>
      <w:pPr>
        <w:spacing w:line="221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路建设，为类似项目提供了可以复制的“范本”。</w:t>
      </w:r>
    </w:p>
    <w:p>
      <w:pPr>
        <w:spacing w:before="114" w:line="220" w:lineRule="auto"/>
        <w:ind w:left="15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4"/>
          <w:sz w:val="27"/>
          <w:szCs w:val="27"/>
        </w:rPr>
        <w:t>(二)选择具有施工总承包资质的企业作为投资方</w:t>
      </w:r>
    </w:p>
    <w:p>
      <w:pPr>
        <w:spacing w:before="117" w:line="301" w:lineRule="auto"/>
        <w:ind w:left="820" w:right="847" w:firstLine="539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本工程在选择投资方时，将投资方具有隧道施工总承包资质作为</w:t>
      </w:r>
      <w:r>
        <w:rPr>
          <w:rFonts w:ascii="仿宋" w:eastAsia="仿宋" w:hAnsi="仿宋" w:cs="仿宋"/>
          <w:spacing w:val="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 xml:space="preserve">必要条件之一。与传统管理模式相比， </w:t>
      </w:r>
      <w:r>
        <w:rPr>
          <w:rFonts w:ascii="宋体" w:eastAsia="宋体" w:hAnsi="宋体" w:cs="宋体"/>
          <w:sz w:val="27"/>
          <w:szCs w:val="27"/>
        </w:rPr>
        <w:t>EPC</w:t>
      </w:r>
      <w:r>
        <w:rPr>
          <w:rFonts w:ascii="宋体" w:eastAsia="宋体" w:hAnsi="宋体" w:cs="宋体"/>
          <w:spacing w:val="-3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建</w:t>
      </w:r>
      <w:r>
        <w:rPr>
          <w:rFonts w:ascii="仿宋" w:eastAsia="仿宋" w:hAnsi="仿宋" w:cs="仿宋"/>
          <w:spacing w:val="1"/>
          <w:sz w:val="27"/>
          <w:szCs w:val="27"/>
        </w:rPr>
        <w:t>设模式下的设计、采购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与施工界面间的协调工作由传统的外部接口转变为内部接口，将传统</w:t>
      </w:r>
    </w:p>
    <w:p>
      <w:pPr>
        <w:spacing w:line="219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的外部收益内部化，降低了工程造价；总承包商在实施项目时会站在</w:t>
      </w:r>
    </w:p>
    <w:p>
      <w:pPr>
        <w:spacing w:line="219" w:lineRule="auto"/>
        <w:rPr>
          <w:rFonts w:ascii="仿宋" w:eastAsia="仿宋" w:hAnsi="仿宋" w:cs="仿宋"/>
          <w:sz w:val="27"/>
          <w:szCs w:val="27"/>
        </w:rPr>
        <w:sectPr>
          <w:footerReference w:type="default" r:id="rId24"/>
          <w:pgSz w:w="11910" w:h="16840"/>
          <w:pgMar w:top="845" w:right="999" w:bottom="1182" w:left="989" w:header="0" w:footer="969" w:gutter="0"/>
          <w:pgNumType w:start="18"/>
          <w:cols w:space="708"/>
        </w:sectPr>
      </w:pPr>
    </w:p>
    <w:tbl>
      <w:tblPr>
        <w:tblStyle w:val="TableNormal7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70"/>
        <w:gridCol w:w="271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13"/>
            </w:pPr>
            <w:bookmarkStart w:id="9" w:name="bookmark11"/>
            <w:bookmarkStart w:id="10" w:name="bookmark10"/>
            <w:bookmarkEnd w:id="9"/>
            <w:bookmarkEnd w:id="10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2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7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1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页码：第15页共79页</w:t>
            </w:r>
          </w:p>
        </w:tc>
      </w:tr>
    </w:tbl>
    <w:p>
      <w:pPr>
        <w:pStyle w:val="BodyText"/>
        <w:spacing w:line="281" w:lineRule="auto"/>
      </w:pPr>
    </w:p>
    <w:p>
      <w:pPr>
        <w:spacing w:before="88" w:line="301" w:lineRule="auto"/>
        <w:ind w:left="799" w:right="839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业主的角度思考问题，激发其管理动力，使承包商在项目实施中变被</w:t>
      </w:r>
      <w:r>
        <w:rPr>
          <w:rFonts w:ascii="仿宋" w:eastAsia="仿宋" w:hAnsi="仿宋" w:cs="仿宋"/>
          <w:spacing w:val="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动为主动，在项目管理上有利于项目的整体利益；总承包商同时也是</w:t>
      </w:r>
      <w:r>
        <w:rPr>
          <w:rFonts w:ascii="仿宋" w:eastAsia="仿宋" w:hAnsi="仿宋" w:cs="仿宋"/>
          <w:spacing w:val="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项目的股东，参与项目的运营，会更加重视施工质量，降低运营阶段</w:t>
      </w:r>
    </w:p>
    <w:p>
      <w:pPr>
        <w:spacing w:before="1" w:line="220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1"/>
          <w:sz w:val="27"/>
          <w:szCs w:val="27"/>
        </w:rPr>
        <w:t>的养护成本。</w:t>
      </w:r>
    </w:p>
    <w:p>
      <w:pPr>
        <w:spacing w:before="106" w:line="220" w:lineRule="auto"/>
        <w:ind w:left="151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5"/>
          <w:sz w:val="27"/>
          <w:szCs w:val="27"/>
        </w:rPr>
        <w:t>(三)通过公共平台选择投资人</w:t>
      </w:r>
    </w:p>
    <w:p>
      <w:pPr>
        <w:spacing w:before="129" w:line="301" w:lineRule="auto"/>
        <w:ind w:left="799" w:right="904" w:firstLine="539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本工程的</w:t>
      </w:r>
      <w:r>
        <w:rPr>
          <w:rFonts w:ascii="仿宋" w:eastAsia="仿宋" w:hAnsi="仿宋" w:cs="仿宋"/>
          <w:spacing w:val="-54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BOT</w:t>
      </w:r>
      <w:r>
        <w:rPr>
          <w:rFonts w:ascii="宋体" w:eastAsia="宋体" w:hAnsi="宋体" w:cs="宋体"/>
          <w:spacing w:val="-3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项目招标是杭州市首次通过公共资源交易平台以</w:t>
      </w:r>
      <w:r>
        <w:rPr>
          <w:rFonts w:ascii="仿宋" w:eastAsia="仿宋" w:hAnsi="仿宋" w:cs="仿宋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-6"/>
          <w:sz w:val="27"/>
          <w:szCs w:val="27"/>
        </w:rPr>
        <w:t>招标方式选择投资人，避免了“旷日持久”的谈判，减少了中间环节，</w:t>
      </w:r>
    </w:p>
    <w:p>
      <w:pPr>
        <w:spacing w:line="221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1"/>
          <w:sz w:val="27"/>
          <w:szCs w:val="27"/>
        </w:rPr>
        <w:t>节约前期时间。</w:t>
      </w:r>
    </w:p>
    <w:p>
      <w:pPr>
        <w:spacing w:before="128" w:line="223" w:lineRule="auto"/>
        <w:ind w:left="151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8"/>
          <w:sz w:val="27"/>
          <w:szCs w:val="27"/>
        </w:rPr>
        <w:t>(四)委托管理提高效率</w:t>
      </w:r>
    </w:p>
    <w:p>
      <w:pPr>
        <w:spacing w:before="103" w:line="270" w:lineRule="auto"/>
        <w:ind w:left="799" w:right="842" w:firstLine="539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>城市基础设施建设发展中心受建委委托，将自始至终参与项目的</w:t>
      </w:r>
      <w:r>
        <w:rPr>
          <w:rFonts w:ascii="仿宋" w:eastAsia="仿宋" w:hAnsi="仿宋" w:cs="仿宋"/>
          <w:spacing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跟踪、协调、服务工作。通过委托管理的模式，较好地解决了为项目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提供合同管理和跟踪服务的问题。</w:t>
      </w:r>
    </w:p>
    <w:p>
      <w:pPr>
        <w:spacing w:before="135" w:line="451" w:lineRule="exact"/>
        <w:ind w:left="1339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spacing w:val="15"/>
          <w:position w:val="13"/>
          <w:sz w:val="27"/>
          <w:szCs w:val="27"/>
        </w:rPr>
        <w:t>案列3:绍兴市嵊新污水处理一期工程、提标改造工程及污</w:t>
      </w:r>
      <w:r>
        <w:rPr>
          <w:rFonts w:ascii="黑体" w:eastAsia="黑体" w:hAnsi="黑体" w:cs="黑体"/>
          <w:spacing w:val="14"/>
          <w:position w:val="13"/>
          <w:sz w:val="27"/>
          <w:szCs w:val="27"/>
        </w:rPr>
        <w:t>泥处</w:t>
      </w:r>
    </w:p>
    <w:p>
      <w:pPr>
        <w:spacing w:before="1" w:line="221" w:lineRule="auto"/>
        <w:ind w:left="799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spacing w:val="16"/>
          <w:sz w:val="27"/>
          <w:szCs w:val="27"/>
        </w:rPr>
        <w:t>置工程</w:t>
      </w:r>
    </w:p>
    <w:p>
      <w:pPr>
        <w:spacing w:before="101" w:line="221" w:lineRule="auto"/>
        <w:ind w:left="134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5"/>
          <w:sz w:val="27"/>
          <w:szCs w:val="27"/>
        </w:rPr>
        <w:t>一、项目概况</w:t>
      </w:r>
    </w:p>
    <w:p>
      <w:pPr>
        <w:spacing w:before="117" w:line="301" w:lineRule="auto"/>
        <w:ind w:left="799" w:right="676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绍兴市嵊新污水处理一期工程处理规模为15万吨，远期规模30万吨，</w:t>
      </w:r>
      <w:r>
        <w:rPr>
          <w:rFonts w:ascii="仿宋" w:eastAsia="仿宋" w:hAnsi="仿宋" w:cs="仿宋"/>
          <w:spacing w:val="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4"/>
          <w:sz w:val="27"/>
          <w:szCs w:val="27"/>
        </w:rPr>
        <w:t>于2003年8月开始筹建，2006年12月25日建成试通水，主要承担</w:t>
      </w:r>
      <w:r>
        <w:rPr>
          <w:rFonts w:ascii="仿宋" w:eastAsia="仿宋" w:hAnsi="仿宋" w:cs="仿宋"/>
          <w:spacing w:val="7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-1"/>
          <w:sz w:val="27"/>
          <w:szCs w:val="27"/>
        </w:rPr>
        <w:t>着嵊州、新昌两市县企业排放的生产废水和城镇生活污水“集中处理、</w:t>
      </w:r>
      <w:r>
        <w:rPr>
          <w:rFonts w:ascii="仿宋" w:eastAsia="仿宋" w:hAnsi="仿宋" w:cs="仿宋"/>
          <w:spacing w:val="1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达标排放”的任务。</w:t>
      </w:r>
      <w:r>
        <w:rPr>
          <w:rFonts w:ascii="仿宋" w:eastAsia="仿宋" w:hAnsi="仿宋" w:cs="仿宋"/>
          <w:spacing w:val="7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一期厂区占地面积16公顷，同时建成16.</w:t>
      </w:r>
      <w:r>
        <w:rPr>
          <w:rFonts w:ascii="仿宋" w:eastAsia="仿宋" w:hAnsi="仿宋" w:cs="仿宋"/>
          <w:spacing w:val="6"/>
          <w:sz w:val="27"/>
          <w:szCs w:val="27"/>
        </w:rPr>
        <w:t>5千米</w:t>
      </w:r>
      <w:r>
        <w:rPr>
          <w:rFonts w:ascii="仿宋" w:eastAsia="仿宋" w:hAnsi="仿宋" w:cs="仿宋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9"/>
          <w:sz w:val="27"/>
          <w:szCs w:val="27"/>
        </w:rPr>
        <w:t>截流干管及万年亭泵站一座，总投资4.6亿元，采用改良型氧化沟工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17"/>
          <w:sz w:val="27"/>
          <w:szCs w:val="27"/>
        </w:rPr>
        <w:t>艺。2007年3月19日嵊新污水处理工程开始进入正常运行状态，经</w:t>
      </w:r>
      <w:r>
        <w:rPr>
          <w:rFonts w:ascii="仿宋" w:eastAsia="仿宋" w:hAnsi="仿宋" w:cs="仿宋"/>
          <w:spacing w:val="9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8"/>
          <w:sz w:val="27"/>
          <w:szCs w:val="27"/>
        </w:rPr>
        <w:t>处理污水达到国家水污染物排放一级</w:t>
      </w:r>
      <w:r>
        <w:rPr>
          <w:rFonts w:ascii="宋体" w:eastAsia="宋体" w:hAnsi="宋体" w:cs="宋体"/>
          <w:spacing w:val="8"/>
          <w:sz w:val="27"/>
          <w:szCs w:val="27"/>
        </w:rPr>
        <w:t>B</w:t>
      </w:r>
      <w:r>
        <w:rPr>
          <w:rFonts w:ascii="宋体" w:eastAsia="宋体" w:hAnsi="宋体" w:cs="宋体"/>
          <w:spacing w:val="-6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标准(出水</w:t>
      </w:r>
      <w:r>
        <w:rPr>
          <w:rFonts w:ascii="宋体" w:eastAsia="宋体" w:hAnsi="宋体" w:cs="宋体"/>
          <w:sz w:val="27"/>
          <w:szCs w:val="27"/>
        </w:rPr>
        <w:t>CODcr</w:t>
      </w:r>
      <w:r>
        <w:rPr>
          <w:rFonts w:ascii="宋体" w:eastAsia="宋体" w:hAnsi="宋体" w:cs="宋体"/>
          <w:spacing w:val="8"/>
          <w:sz w:val="27"/>
          <w:szCs w:val="27"/>
        </w:rPr>
        <w:t>60</w:t>
      </w:r>
      <w:r>
        <w:rPr>
          <w:rFonts w:ascii="宋体" w:eastAsia="宋体" w:hAnsi="宋体" w:cs="宋体"/>
          <w:sz w:val="27"/>
          <w:szCs w:val="27"/>
        </w:rPr>
        <w:t>mg</w:t>
      </w:r>
      <w:r>
        <w:rPr>
          <w:rFonts w:ascii="宋体" w:eastAsia="宋体" w:hAnsi="宋体" w:cs="宋体"/>
          <w:spacing w:val="8"/>
          <w:sz w:val="27"/>
          <w:szCs w:val="27"/>
        </w:rPr>
        <w:t xml:space="preserve">/L </w:t>
      </w:r>
      <w:r>
        <w:rPr>
          <w:rFonts w:ascii="仿宋" w:eastAsia="仿宋" w:hAnsi="仿宋" w:cs="仿宋"/>
          <w:spacing w:val="8"/>
          <w:sz w:val="27"/>
          <w:szCs w:val="27"/>
        </w:rPr>
        <w:t>以下),</w:t>
      </w:r>
    </w:p>
    <w:p>
      <w:pPr>
        <w:spacing w:before="1" w:line="220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1"/>
          <w:sz w:val="27"/>
          <w:szCs w:val="27"/>
        </w:rPr>
        <w:t>运行效果良好。</w:t>
      </w:r>
    </w:p>
    <w:p>
      <w:pPr>
        <w:spacing w:before="118" w:line="301" w:lineRule="auto"/>
        <w:ind w:left="799" w:right="834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随着环境治理要求的提高，嵊新污水厂由于前端印染、工业等企业较</w:t>
      </w:r>
      <w:r>
        <w:rPr>
          <w:rFonts w:ascii="仿宋" w:eastAsia="仿宋" w:hAnsi="仿宋" w:cs="仿宋"/>
          <w:spacing w:val="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多，色度过高，不能满足环境治理要求，根据浙江省、绍兴市等</w:t>
      </w:r>
      <w:r>
        <w:rPr>
          <w:rFonts w:ascii="仿宋" w:eastAsia="仿宋" w:hAnsi="仿宋" w:cs="仿宋"/>
          <w:spacing w:val="3"/>
          <w:sz w:val="27"/>
          <w:szCs w:val="27"/>
        </w:rPr>
        <w:t>各级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政府的要求，并接合“五水共治”的目标和任务，要求在2014年底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前完成对嵊新污水处理厂一期工程进行提标改造，使出水达</w:t>
      </w:r>
      <w:r>
        <w:rPr>
          <w:rFonts w:ascii="仿宋" w:eastAsia="仿宋" w:hAnsi="仿宋" w:cs="仿宋"/>
          <w:spacing w:val="7"/>
          <w:sz w:val="27"/>
          <w:szCs w:val="27"/>
        </w:rPr>
        <w:t>到一级</w:t>
      </w:r>
      <w:r>
        <w:rPr>
          <w:rFonts w:ascii="Times New Roman" w:eastAsia="Times New Roman" w:hAnsi="Times New Roman" w:cs="Times New Roman"/>
          <w:spacing w:val="7"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标准。经过多方考察对比、专家论证，嵊新污水处理厂一期提标改造</w:t>
      </w:r>
      <w:r>
        <w:rPr>
          <w:rFonts w:ascii="仿宋" w:eastAsia="仿宋" w:hAnsi="仿宋" w:cs="仿宋"/>
          <w:spacing w:val="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工程决定采用粉末活性炭工艺，工程规模为15万吨/日。嵊新污水处</w:t>
      </w:r>
    </w:p>
    <w:p>
      <w:pPr>
        <w:spacing w:before="1" w:line="222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1"/>
          <w:sz w:val="27"/>
          <w:szCs w:val="27"/>
        </w:rPr>
        <w:t>理厂一期提标改造工程从2014年7月开始动工建造，历经6个月，</w:t>
      </w:r>
    </w:p>
    <w:p>
      <w:pPr>
        <w:spacing w:line="222" w:lineRule="auto"/>
        <w:rPr>
          <w:rFonts w:ascii="仿宋" w:eastAsia="仿宋" w:hAnsi="仿宋" w:cs="仿宋"/>
          <w:sz w:val="27"/>
          <w:szCs w:val="27"/>
        </w:rPr>
        <w:sectPr>
          <w:footerReference w:type="default" r:id="rId25"/>
          <w:pgSz w:w="11910" w:h="16840"/>
          <w:pgMar w:top="845" w:right="1009" w:bottom="1182" w:left="999" w:header="0" w:footer="969" w:gutter="0"/>
          <w:pgNumType w:start="19"/>
          <w:cols w:space="708"/>
        </w:sectPr>
      </w:pPr>
    </w:p>
    <w:tbl>
      <w:tblPr>
        <w:tblStyle w:val="TableNormal8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70"/>
        <w:gridCol w:w="273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0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21" w:line="219" w:lineRule="auto"/>
              <w:ind w:left="113"/>
            </w:pPr>
            <w:bookmarkStart w:id="11" w:name="bookmark12"/>
            <w:bookmarkStart w:id="12" w:name="bookmark13"/>
            <w:bookmarkEnd w:id="11"/>
            <w:bookmarkEnd w:id="12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2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30" w:type="dxa"/>
            <w:tcBorders>
              <w:right w:val="nil"/>
            </w:tcBorders>
          </w:tcPr>
          <w:p>
            <w:pPr>
              <w:spacing w:line="252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页码：第16页共79页</w:t>
            </w:r>
          </w:p>
        </w:tc>
      </w:tr>
    </w:tbl>
    <w:p>
      <w:pPr>
        <w:pStyle w:val="BodyText"/>
        <w:spacing w:line="271" w:lineRule="auto"/>
      </w:pPr>
    </w:p>
    <w:p>
      <w:pPr>
        <w:spacing w:before="87" w:line="302" w:lineRule="auto"/>
        <w:ind w:left="809" w:right="85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4"/>
          <w:sz w:val="27"/>
          <w:szCs w:val="27"/>
        </w:rPr>
        <w:t>于12月31日实现通水，自通水以来，提标工艺运行良</w:t>
      </w:r>
      <w:r>
        <w:rPr>
          <w:rFonts w:ascii="仿宋" w:eastAsia="仿宋" w:hAnsi="仿宋" w:cs="仿宋"/>
          <w:spacing w:val="13"/>
          <w:sz w:val="27"/>
          <w:szCs w:val="27"/>
        </w:rPr>
        <w:t>好，出水效果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满足了工程设计要求，出水</w:t>
      </w:r>
      <w:r>
        <w:rPr>
          <w:rFonts w:ascii="仿宋" w:eastAsia="仿宋" w:hAnsi="仿宋" w:cs="仿宋"/>
          <w:spacing w:val="-15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COD</w:t>
      </w:r>
      <w:r>
        <w:rPr>
          <w:rFonts w:ascii="宋体" w:eastAsia="宋体" w:hAnsi="宋体" w:cs="宋体"/>
          <w:spacing w:val="-2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低于50</w:t>
      </w:r>
      <w:r>
        <w:rPr>
          <w:rFonts w:ascii="宋体" w:eastAsia="宋体" w:hAnsi="宋体" w:cs="宋体"/>
          <w:sz w:val="27"/>
          <w:szCs w:val="27"/>
        </w:rPr>
        <w:t>mg</w:t>
      </w:r>
      <w:r>
        <w:rPr>
          <w:rFonts w:ascii="宋体" w:eastAsia="宋体" w:hAnsi="宋体" w:cs="宋体"/>
          <w:spacing w:val="12"/>
          <w:sz w:val="27"/>
          <w:szCs w:val="27"/>
        </w:rPr>
        <w:t>/L,</w:t>
      </w:r>
      <w:r>
        <w:rPr>
          <w:rFonts w:ascii="仿宋" w:eastAsia="仿宋" w:hAnsi="仿宋" w:cs="仿宋"/>
          <w:spacing w:val="12"/>
          <w:sz w:val="27"/>
          <w:szCs w:val="27"/>
        </w:rPr>
        <w:t>色度低于32</w:t>
      </w:r>
      <w:r>
        <w:rPr>
          <w:rFonts w:ascii="仿宋" w:eastAsia="仿宋" w:hAnsi="仿宋" w:cs="仿宋"/>
          <w:spacing w:val="-2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倍，达到</w:t>
      </w:r>
    </w:p>
    <w:p>
      <w:pPr>
        <w:spacing w:line="222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0"/>
          <w:sz w:val="27"/>
          <w:szCs w:val="27"/>
        </w:rPr>
        <w:t>一级</w:t>
      </w:r>
      <w:r>
        <w:rPr>
          <w:rFonts w:ascii="Times New Roman" w:eastAsia="Times New Roman" w:hAnsi="Times New Roman" w:cs="Times New Roman"/>
          <w:spacing w:val="10"/>
          <w:sz w:val="27"/>
          <w:szCs w:val="27"/>
        </w:rPr>
        <w:t>A</w:t>
      </w:r>
      <w:r>
        <w:rPr>
          <w:rFonts w:ascii="仿宋" w:eastAsia="仿宋" w:hAnsi="仿宋" w:cs="仿宋"/>
          <w:spacing w:val="10"/>
          <w:sz w:val="27"/>
          <w:szCs w:val="27"/>
        </w:rPr>
        <w:t>排放标准。</w:t>
      </w:r>
    </w:p>
    <w:p>
      <w:pPr>
        <w:spacing w:before="130" w:line="300" w:lineRule="auto"/>
        <w:ind w:left="809" w:right="846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6"/>
          <w:sz w:val="27"/>
          <w:szCs w:val="27"/>
        </w:rPr>
        <w:t>污泥处理模式为焚烧处理，日处理规模250吨(含水率80%),总投</w:t>
      </w:r>
      <w:r>
        <w:rPr>
          <w:rFonts w:ascii="仿宋" w:eastAsia="仿宋" w:hAnsi="仿宋" w:cs="仿宋"/>
          <w:spacing w:val="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4"/>
          <w:sz w:val="27"/>
          <w:szCs w:val="27"/>
        </w:rPr>
        <w:t>资3500万元。工程于2011年9月开始施工</w:t>
      </w:r>
      <w:r>
        <w:rPr>
          <w:rFonts w:ascii="仿宋" w:eastAsia="仿宋" w:hAnsi="仿宋" w:cs="仿宋"/>
          <w:spacing w:val="23"/>
          <w:sz w:val="27"/>
          <w:szCs w:val="27"/>
        </w:rPr>
        <w:t>，2011年12月底进入点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火、调试阶段，目前污泥焚烧量为270吨/日，运行正常。该工</w:t>
      </w:r>
      <w:r>
        <w:rPr>
          <w:rFonts w:ascii="仿宋" w:eastAsia="仿宋" w:hAnsi="仿宋" w:cs="仿宋"/>
          <w:spacing w:val="13"/>
          <w:sz w:val="27"/>
          <w:szCs w:val="27"/>
        </w:rPr>
        <w:t>程采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用国内先进的喷雾干燥工艺，系统包括：污泥接收及预处理系统、喷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雾干化系统、回转窑焚烧系统、烟气净化系统、供热通风系统、灰渣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 xml:space="preserve">收集系统、湿污泥除臭系统、煤品储存及公用工程系统。使含水率从 </w:t>
      </w:r>
      <w:r>
        <w:rPr>
          <w:rFonts w:ascii="仿宋" w:eastAsia="仿宋" w:hAnsi="仿宋" w:cs="仿宋"/>
          <w:spacing w:val="13"/>
          <w:sz w:val="27"/>
          <w:szCs w:val="27"/>
        </w:rPr>
        <w:t>80%降至15%左右，成为颗粒状干化污泥，再通过焚烧最后成为绝干</w:t>
      </w:r>
    </w:p>
    <w:p>
      <w:pPr>
        <w:spacing w:line="220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泥渣，用于制作水泥、砖头等，完全实现零填埋。</w:t>
      </w:r>
    </w:p>
    <w:p>
      <w:pPr>
        <w:spacing w:before="127" w:line="222" w:lineRule="auto"/>
        <w:ind w:left="136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-12"/>
          <w:sz w:val="27"/>
          <w:szCs w:val="27"/>
        </w:rPr>
        <w:t>二、</w:t>
      </w:r>
      <w:r>
        <w:rPr>
          <w:rFonts w:ascii="黑体" w:eastAsia="黑体" w:hAnsi="黑体" w:cs="黑体"/>
          <w:spacing w:val="-49"/>
          <w:sz w:val="27"/>
          <w:szCs w:val="27"/>
        </w:rPr>
        <w:t xml:space="preserve"> </w:t>
      </w:r>
      <w:r>
        <w:rPr>
          <w:rFonts w:ascii="黑体" w:eastAsia="黑体" w:hAnsi="黑体" w:cs="黑体"/>
          <w:b/>
          <w:bCs/>
          <w:spacing w:val="-12"/>
          <w:sz w:val="27"/>
          <w:szCs w:val="27"/>
        </w:rPr>
        <w:t>运作模式</w:t>
      </w:r>
    </w:p>
    <w:p>
      <w:pPr>
        <w:spacing w:before="106" w:line="301" w:lineRule="auto"/>
        <w:ind w:left="809" w:right="785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嵊新污水处理一期工程：项目采用</w:t>
      </w:r>
      <w:r>
        <w:rPr>
          <w:rFonts w:ascii="宋体" w:eastAsia="宋体" w:hAnsi="宋体" w:cs="宋体"/>
          <w:sz w:val="27"/>
          <w:szCs w:val="27"/>
        </w:rPr>
        <w:t>TOT</w:t>
      </w:r>
      <w:r>
        <w:rPr>
          <w:rFonts w:ascii="宋体" w:eastAsia="宋体" w:hAnsi="宋体" w:cs="宋体"/>
          <w:spacing w:val="-3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模式。为了减少政</w:t>
      </w:r>
      <w:r>
        <w:rPr>
          <w:rFonts w:ascii="仿宋" w:eastAsia="仿宋" w:hAnsi="仿宋" w:cs="仿宋"/>
          <w:spacing w:val="6"/>
          <w:sz w:val="27"/>
          <w:szCs w:val="27"/>
        </w:rPr>
        <w:t>府在嵊新污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水厂的补亏投入，减轻地方政府的压力，2010年10月嵊新污水处理</w:t>
      </w:r>
      <w:r>
        <w:rPr>
          <w:rFonts w:ascii="仿宋" w:eastAsia="仿宋" w:hAnsi="仿宋" w:cs="仿宋"/>
          <w:spacing w:val="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厂增资扩股，其中，北京首创股份以现金方式出资12906.122 万元，</w:t>
      </w:r>
      <w:r>
        <w:rPr>
          <w:rFonts w:ascii="仿宋" w:eastAsia="仿宋" w:hAnsi="仿宋" w:cs="仿宋"/>
          <w:spacing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6"/>
          <w:sz w:val="27"/>
          <w:szCs w:val="27"/>
        </w:rPr>
        <w:t>占51%股权，嵊州市水务集团出资682</w:t>
      </w:r>
      <w:r>
        <w:rPr>
          <w:rFonts w:ascii="仿宋" w:eastAsia="仿宋" w:hAnsi="仿宋" w:cs="仿宋"/>
          <w:spacing w:val="15"/>
          <w:sz w:val="27"/>
          <w:szCs w:val="27"/>
        </w:rPr>
        <w:t>0万元，占26.95%股权，新昌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县水务集团出资5580万元，占22.05%股权。单位名称改为绍兴市嵊</w:t>
      </w:r>
    </w:p>
    <w:p>
      <w:pPr>
        <w:spacing w:before="1" w:line="220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9"/>
          <w:sz w:val="27"/>
          <w:szCs w:val="27"/>
        </w:rPr>
        <w:t>新首创污水处理有限公司，2011年1月1</w:t>
      </w:r>
      <w:r>
        <w:rPr>
          <w:rFonts w:ascii="仿宋" w:eastAsia="仿宋" w:hAnsi="仿宋" w:cs="仿宋"/>
          <w:spacing w:val="18"/>
          <w:sz w:val="27"/>
          <w:szCs w:val="27"/>
        </w:rPr>
        <w:t>日正式成立运行。</w:t>
      </w:r>
    </w:p>
    <w:p>
      <w:pPr>
        <w:spacing w:before="127" w:line="300" w:lineRule="auto"/>
        <w:ind w:left="809" w:right="8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>一期提标改造工程：采用</w:t>
      </w:r>
      <w:r>
        <w:rPr>
          <w:rFonts w:ascii="Times New Roman" w:eastAsia="Times New Roman" w:hAnsi="Times New Roman" w:cs="Times New Roman"/>
          <w:sz w:val="27"/>
          <w:szCs w:val="27"/>
        </w:rPr>
        <w:t>BOT</w:t>
      </w:r>
      <w:r>
        <w:rPr>
          <w:rFonts w:ascii="Times New Roman" w:eastAsia="Times New Roman" w:hAnsi="Times New Roman" w:cs="Times New Roman"/>
          <w:spacing w:val="-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方式，由湖北君集</w:t>
      </w:r>
      <w:r>
        <w:rPr>
          <w:rFonts w:ascii="仿宋" w:eastAsia="仿宋" w:hAnsi="仿宋" w:cs="仿宋"/>
          <w:spacing w:val="3"/>
          <w:sz w:val="27"/>
          <w:szCs w:val="27"/>
        </w:rPr>
        <w:t>水处理有限公司全额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投资建设，建成后由湖北君集公司下辖子公司嵊州市君集污水深度处</w:t>
      </w:r>
      <w:r>
        <w:rPr>
          <w:rFonts w:ascii="仿宋" w:eastAsia="仿宋" w:hAnsi="仿宋" w:cs="仿宋"/>
          <w:spacing w:val="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理有限公司运行管理，运行周期22年，环保职能部门对出水进行监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督管理。根据初步测算，第一年污水处理服务费单价为1.98元/立方</w:t>
      </w:r>
      <w:r>
        <w:rPr>
          <w:rFonts w:ascii="仿宋" w:eastAsia="仿宋" w:hAnsi="仿宋" w:cs="仿宋"/>
          <w:spacing w:val="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米。正式运行一年后，审计、物价部门核准确定污水</w:t>
      </w:r>
      <w:r>
        <w:rPr>
          <w:rFonts w:ascii="仿宋" w:eastAsia="仿宋" w:hAnsi="仿宋" w:cs="仿宋"/>
          <w:spacing w:val="4"/>
          <w:sz w:val="27"/>
          <w:szCs w:val="27"/>
        </w:rPr>
        <w:t>处理服务费，实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行多还少补。污水处理服务费按月结算并按月支付，由嵊州市、新昌</w:t>
      </w:r>
    </w:p>
    <w:p>
      <w:pPr>
        <w:spacing w:line="222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1"/>
          <w:sz w:val="27"/>
          <w:szCs w:val="27"/>
        </w:rPr>
        <w:t>县财政承担，嵊州方承担55%、新昌方45%。</w:t>
      </w:r>
    </w:p>
    <w:p>
      <w:pPr>
        <w:spacing w:before="115" w:line="452" w:lineRule="exact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position w:val="13"/>
          <w:sz w:val="27"/>
          <w:szCs w:val="27"/>
        </w:rPr>
        <w:t>污泥处置工程：采用</w:t>
      </w:r>
      <w:r>
        <w:rPr>
          <w:rFonts w:ascii="宋体" w:eastAsia="宋体" w:hAnsi="宋体" w:cs="宋体"/>
          <w:position w:val="13"/>
          <w:sz w:val="27"/>
          <w:szCs w:val="27"/>
        </w:rPr>
        <w:t>BOT</w:t>
      </w:r>
      <w:r>
        <w:rPr>
          <w:rFonts w:ascii="宋体" w:eastAsia="宋体" w:hAnsi="宋体" w:cs="宋体"/>
          <w:spacing w:val="6"/>
          <w:position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position w:val="13"/>
          <w:sz w:val="27"/>
          <w:szCs w:val="27"/>
        </w:rPr>
        <w:t>方式，由嵊州市环兴污泥处</w:t>
      </w:r>
      <w:r>
        <w:rPr>
          <w:rFonts w:ascii="仿宋" w:eastAsia="仿宋" w:hAnsi="仿宋" w:cs="仿宋"/>
          <w:spacing w:val="5"/>
          <w:position w:val="13"/>
          <w:sz w:val="27"/>
          <w:szCs w:val="27"/>
        </w:rPr>
        <w:t>理有限公司投资</w:t>
      </w:r>
    </w:p>
    <w:p>
      <w:pPr>
        <w:spacing w:before="1" w:line="223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1"/>
          <w:sz w:val="27"/>
          <w:szCs w:val="27"/>
        </w:rPr>
        <w:t>建设、运营。</w:t>
      </w:r>
    </w:p>
    <w:p>
      <w:pPr>
        <w:spacing w:before="107" w:line="222" w:lineRule="auto"/>
        <w:ind w:left="135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4"/>
          <w:sz w:val="27"/>
          <w:szCs w:val="27"/>
        </w:rPr>
        <w:t>三、经验借鉴</w:t>
      </w:r>
    </w:p>
    <w:p>
      <w:pPr>
        <w:spacing w:before="106" w:line="219" w:lineRule="auto"/>
        <w:ind w:left="9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sz w:val="27"/>
          <w:szCs w:val="27"/>
        </w:rPr>
        <w:t>(</w:t>
      </w:r>
      <w:r>
        <w:rPr>
          <w:rFonts w:ascii="仿宋" w:eastAsia="仿宋" w:hAnsi="仿宋" w:cs="仿宋"/>
          <w:spacing w:val="-6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一)</w:t>
      </w:r>
      <w:r>
        <w:rPr>
          <w:rFonts w:ascii="仿宋" w:eastAsia="仿宋" w:hAnsi="仿宋" w:cs="仿宋"/>
          <w:spacing w:val="-7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一</w:t>
      </w:r>
      <w:r>
        <w:rPr>
          <w:rFonts w:ascii="仿宋" w:eastAsia="仿宋" w:hAnsi="仿宋" w:cs="仿宋"/>
          <w:spacing w:val="-7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期工程</w:t>
      </w:r>
      <w:r>
        <w:rPr>
          <w:rFonts w:ascii="仿宋" w:eastAsia="仿宋" w:hAnsi="仿宋" w:cs="仿宋"/>
          <w:spacing w:val="-55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TOT</w:t>
      </w:r>
      <w:r>
        <w:rPr>
          <w:rFonts w:ascii="Times New Roman" w:eastAsia="Times New Roman" w:hAnsi="Times New Roman" w:cs="Times New Roman"/>
          <w:spacing w:val="-2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模式盘活了存量资产，减轻了政府负担</w:t>
      </w:r>
    </w:p>
    <w:p>
      <w:pPr>
        <w:spacing w:before="121" w:line="221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现有的所有债务均由新公司承担归还，双方</w:t>
      </w:r>
      <w:r>
        <w:rPr>
          <w:rFonts w:ascii="仿宋" w:eastAsia="仿宋" w:hAnsi="仿宋" w:cs="仿宋"/>
          <w:spacing w:val="5"/>
          <w:sz w:val="27"/>
          <w:szCs w:val="27"/>
        </w:rPr>
        <w:t>县市概不负责。政府不需</w:t>
      </w:r>
    </w:p>
    <w:p>
      <w:pPr>
        <w:spacing w:line="221" w:lineRule="auto"/>
        <w:rPr>
          <w:rFonts w:ascii="仿宋" w:eastAsia="仿宋" w:hAnsi="仿宋" w:cs="仿宋"/>
          <w:sz w:val="27"/>
          <w:szCs w:val="27"/>
        </w:rPr>
        <w:sectPr>
          <w:footerReference w:type="default" r:id="rId26"/>
          <w:pgSz w:w="11910" w:h="16840"/>
          <w:pgMar w:top="834" w:right="989" w:bottom="1182" w:left="999" w:header="0" w:footer="969" w:gutter="0"/>
          <w:pgNumType w:start="20"/>
          <w:cols w:space="708"/>
        </w:sectPr>
      </w:pPr>
    </w:p>
    <w:tbl>
      <w:tblPr>
        <w:tblStyle w:val="TableNormal9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30"/>
        <w:gridCol w:w="4680"/>
        <w:gridCol w:w="271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3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23"/>
            </w:pPr>
            <w:bookmarkStart w:id="13" w:name="bookmark15"/>
            <w:bookmarkStart w:id="14" w:name="bookmark16"/>
            <w:bookmarkStart w:id="15" w:name="bookmark17"/>
            <w:bookmarkStart w:id="16" w:name="bookmark14"/>
            <w:bookmarkEnd w:id="13"/>
            <w:bookmarkEnd w:id="14"/>
            <w:bookmarkEnd w:id="15"/>
            <w:bookmarkEnd w:id="16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4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8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88"/>
            </w:pPr>
            <w:r>
              <w:rPr>
                <w:b/>
                <w:bCs/>
                <w:color w:val="F40000"/>
                <w:spacing w:val="-4"/>
              </w:rPr>
              <w:t>书山有路勤为径，学海无涯苦作舟</w:t>
            </w:r>
          </w:p>
        </w:tc>
        <w:tc>
          <w:tcPr>
            <w:tcW w:w="271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页码：第17页共79页</w:t>
            </w:r>
          </w:p>
        </w:tc>
      </w:tr>
    </w:tbl>
    <w:p>
      <w:pPr>
        <w:pStyle w:val="BodyText"/>
        <w:spacing w:line="271" w:lineRule="auto"/>
      </w:pPr>
    </w:p>
    <w:p>
      <w:pPr>
        <w:spacing w:before="88" w:line="220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再花费大量精力去管理污水厂的日常运行工作。</w:t>
      </w:r>
    </w:p>
    <w:p>
      <w:pPr>
        <w:spacing w:before="119" w:line="450" w:lineRule="exact"/>
        <w:ind w:left="9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position w:val="13"/>
          <w:sz w:val="27"/>
          <w:szCs w:val="27"/>
        </w:rPr>
        <w:t>(二)项目业主根据污水处理行业特点合理划分投资范围，引进各领</w:t>
      </w:r>
    </w:p>
    <w:p>
      <w:pPr>
        <w:spacing w:before="1" w:line="220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域的专业公司进行建设运营</w:t>
      </w:r>
    </w:p>
    <w:p>
      <w:pPr>
        <w:spacing w:before="117" w:line="276" w:lineRule="auto"/>
        <w:ind w:left="820" w:right="764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污水处理环节引进北京首创，该公司是目前国内水务行业管理较好的</w:t>
      </w:r>
      <w:r>
        <w:rPr>
          <w:rFonts w:ascii="仿宋" w:eastAsia="仿宋" w:hAnsi="仿宋" w:cs="仿宋"/>
          <w:spacing w:val="1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投资单位，合作成功后，污水处理厂的方方面面将会有</w:t>
      </w:r>
      <w:r>
        <w:rPr>
          <w:rFonts w:ascii="仿宋" w:eastAsia="仿宋" w:hAnsi="仿宋" w:cs="仿宋"/>
          <w:spacing w:val="7"/>
          <w:sz w:val="27"/>
          <w:szCs w:val="27"/>
        </w:rPr>
        <w:t>很大的提升，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引进了先进的管理模式，规范了公司各项规章制度。提标改造环节和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污泥处置环节分别引进有实力、有经验的专业公司。</w:t>
      </w:r>
    </w:p>
    <w:p>
      <w:pPr>
        <w:spacing w:before="154" w:line="439" w:lineRule="exact"/>
        <w:ind w:left="137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20"/>
          <w:position w:val="12"/>
          <w:sz w:val="27"/>
          <w:szCs w:val="27"/>
        </w:rPr>
        <w:t>案例4:常山县天马污水处理厂改扩建工程</w:t>
      </w:r>
    </w:p>
    <w:p>
      <w:pPr>
        <w:spacing w:before="1" w:line="220" w:lineRule="auto"/>
        <w:ind w:left="137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2"/>
          <w:sz w:val="27"/>
          <w:szCs w:val="27"/>
        </w:rPr>
        <w:t>一、项目概况</w:t>
      </w:r>
    </w:p>
    <w:p>
      <w:pPr>
        <w:spacing w:before="109" w:line="301" w:lineRule="auto"/>
        <w:ind w:left="820" w:right="83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4"/>
          <w:sz w:val="27"/>
          <w:szCs w:val="27"/>
        </w:rPr>
        <w:t>项目的主要建设规模：新增二级污水处理能力2万吨/日，深度处理</w:t>
      </w:r>
      <w:r>
        <w:rPr>
          <w:rFonts w:ascii="仿宋" w:eastAsia="仿宋" w:hAnsi="仿宋" w:cs="仿宋"/>
          <w:spacing w:val="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0"/>
          <w:sz w:val="27"/>
          <w:szCs w:val="27"/>
        </w:rPr>
        <w:t>能力4万吨/日，新增2万吨/日</w:t>
      </w:r>
      <w:r>
        <w:rPr>
          <w:rFonts w:ascii="宋体" w:eastAsia="宋体" w:hAnsi="宋体" w:cs="宋体"/>
          <w:sz w:val="27"/>
          <w:szCs w:val="27"/>
        </w:rPr>
        <w:t>CAST</w:t>
      </w:r>
      <w:r>
        <w:rPr>
          <w:rFonts w:ascii="宋体" w:eastAsia="宋体" w:hAnsi="宋体" w:cs="宋体"/>
          <w:spacing w:val="-1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0"/>
          <w:sz w:val="27"/>
          <w:szCs w:val="27"/>
        </w:rPr>
        <w:t>池一座，新增4万吨/日反硝化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深床滤池及相关深度处理设施，并配套相关设备。项目投</w:t>
      </w:r>
      <w:r>
        <w:rPr>
          <w:rFonts w:ascii="仿宋" w:eastAsia="仿宋" w:hAnsi="仿宋" w:cs="仿宋"/>
          <w:spacing w:val="4"/>
          <w:sz w:val="27"/>
          <w:szCs w:val="27"/>
        </w:rPr>
        <w:t>资概算4400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万元。项目于2014年12月开工建设，</w:t>
      </w:r>
      <w:r>
        <w:rPr>
          <w:rFonts w:ascii="仿宋" w:eastAsia="仿宋" w:hAnsi="仿宋" w:cs="仿宋"/>
          <w:spacing w:val="11"/>
          <w:sz w:val="27"/>
          <w:szCs w:val="27"/>
        </w:rPr>
        <w:t>预计2015年建成并投入使用。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截止2015年6月底，完成投资3110万元，完成</w:t>
      </w:r>
      <w:r>
        <w:rPr>
          <w:rFonts w:ascii="宋体" w:eastAsia="宋体" w:hAnsi="宋体" w:cs="宋体"/>
          <w:sz w:val="27"/>
          <w:szCs w:val="27"/>
        </w:rPr>
        <w:t>CAST</w:t>
      </w:r>
      <w:r>
        <w:rPr>
          <w:rFonts w:ascii="宋体" w:eastAsia="宋体" w:hAnsi="宋体" w:cs="宋体"/>
          <w:spacing w:val="-1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池壁板后浇带、</w:t>
      </w:r>
    </w:p>
    <w:p>
      <w:pPr>
        <w:spacing w:line="222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池体满水试验以及池体外壁装饰，完成总工程量的75%。</w:t>
      </w:r>
    </w:p>
    <w:p>
      <w:pPr>
        <w:spacing w:before="122" w:line="222" w:lineRule="auto"/>
        <w:ind w:left="137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-12"/>
          <w:sz w:val="27"/>
          <w:szCs w:val="27"/>
        </w:rPr>
        <w:t>二、</w:t>
      </w:r>
      <w:r>
        <w:rPr>
          <w:rFonts w:ascii="黑体" w:eastAsia="黑体" w:hAnsi="黑体" w:cs="黑体"/>
          <w:spacing w:val="-49"/>
          <w:sz w:val="27"/>
          <w:szCs w:val="27"/>
        </w:rPr>
        <w:t xml:space="preserve"> </w:t>
      </w:r>
      <w:r>
        <w:rPr>
          <w:rFonts w:ascii="黑体" w:eastAsia="黑体" w:hAnsi="黑体" w:cs="黑体"/>
          <w:b/>
          <w:bCs/>
          <w:spacing w:val="-12"/>
          <w:sz w:val="27"/>
          <w:szCs w:val="27"/>
        </w:rPr>
        <w:t>运作模式</w:t>
      </w:r>
    </w:p>
    <w:p>
      <w:pPr>
        <w:spacing w:before="104" w:line="301" w:lineRule="auto"/>
        <w:ind w:left="820" w:right="831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本项目采用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-1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模式。项目公司——常山富春紫光污水处理有限公司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前身是常山县天马污水处理有限公司，于2014年经县招</w:t>
      </w:r>
      <w:r>
        <w:rPr>
          <w:rFonts w:ascii="仿宋" w:eastAsia="仿宋" w:hAnsi="仿宋" w:cs="仿宋"/>
          <w:spacing w:val="13"/>
          <w:sz w:val="27"/>
          <w:szCs w:val="27"/>
        </w:rPr>
        <w:t>标中心公开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招标确定与浙江富春紫光环保股份有限公司联合组建。项目公司总注</w:t>
      </w:r>
      <w:r>
        <w:rPr>
          <w:rFonts w:ascii="仿宋" w:eastAsia="仿宋" w:hAnsi="仿宋" w:cs="仿宋"/>
          <w:spacing w:val="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册资金4444</w:t>
      </w:r>
      <w:r>
        <w:rPr>
          <w:rFonts w:ascii="仿宋" w:eastAsia="仿宋" w:hAnsi="仿宋" w:cs="仿宋"/>
          <w:spacing w:val="-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万元，其中浙江富春紫光环保股份有限公司以现金出资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4000万元，占项目公司股份的90%,常山水务发展投资有限公司以天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马污水处理厂二期工程土地作价444 万元入资，</w:t>
      </w:r>
      <w:r>
        <w:rPr>
          <w:rFonts w:ascii="仿宋" w:eastAsia="仿宋" w:hAnsi="仿宋" w:cs="仿宋"/>
          <w:spacing w:val="11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占项目公司股份的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2"/>
          <w:sz w:val="27"/>
          <w:szCs w:val="27"/>
        </w:rPr>
        <w:t>10%,同时将建成的天马污水处理一期(含污泥处置)资产经检修合</w:t>
      </w:r>
    </w:p>
    <w:p>
      <w:pPr>
        <w:spacing w:line="220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格并排除权利瑕疵后附条件无偿租赁给项目公</w:t>
      </w:r>
      <w:r>
        <w:rPr>
          <w:rFonts w:ascii="仿宋" w:eastAsia="仿宋" w:hAnsi="仿宋" w:cs="仿宋"/>
          <w:spacing w:val="6"/>
          <w:sz w:val="27"/>
          <w:szCs w:val="27"/>
        </w:rPr>
        <w:t>司使用。</w:t>
      </w:r>
    </w:p>
    <w:p>
      <w:pPr>
        <w:spacing w:before="116" w:line="302" w:lineRule="auto"/>
        <w:ind w:left="820" w:right="829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项目公司负责污水厂工程建设及项目建成后的日常运维工作，以特许</w:t>
      </w:r>
      <w:r>
        <w:rPr>
          <w:rFonts w:ascii="仿宋" w:eastAsia="仿宋" w:hAnsi="仿宋" w:cs="仿宋"/>
          <w:spacing w:val="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经营权协议为基础，发挥各自优势，实现互</w:t>
      </w:r>
      <w:r>
        <w:rPr>
          <w:rFonts w:ascii="仿宋" w:eastAsia="仿宋" w:hAnsi="仿宋" w:cs="仿宋"/>
          <w:spacing w:val="5"/>
          <w:sz w:val="27"/>
          <w:szCs w:val="27"/>
        </w:rPr>
        <w:t>利共赢。项目特许经营期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8"/>
          <w:sz w:val="27"/>
          <w:szCs w:val="27"/>
        </w:rPr>
        <w:t>限为26年(含一年建设期),特许经营权期满后项目</w:t>
      </w:r>
      <w:r>
        <w:rPr>
          <w:rFonts w:ascii="仿宋" w:eastAsia="仿宋" w:hAnsi="仿宋" w:cs="仿宋"/>
          <w:spacing w:val="27"/>
          <w:sz w:val="27"/>
          <w:szCs w:val="27"/>
        </w:rPr>
        <w:t>公司资产经检</w:t>
      </w:r>
    </w:p>
    <w:p>
      <w:pPr>
        <w:spacing w:before="1" w:line="222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验合格后，无偿移交给常山水务发展投资有限公司。</w:t>
      </w:r>
    </w:p>
    <w:p>
      <w:pPr>
        <w:spacing w:before="121" w:line="222" w:lineRule="auto"/>
        <w:ind w:left="137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-16"/>
          <w:sz w:val="27"/>
          <w:szCs w:val="27"/>
        </w:rPr>
        <w:t>三</w:t>
      </w:r>
      <w:r>
        <w:rPr>
          <w:rFonts w:ascii="黑体" w:eastAsia="黑体" w:hAnsi="黑体" w:cs="黑体"/>
          <w:spacing w:val="-21"/>
          <w:sz w:val="27"/>
          <w:szCs w:val="27"/>
        </w:rPr>
        <w:t xml:space="preserve"> </w:t>
      </w:r>
      <w:r>
        <w:rPr>
          <w:rFonts w:ascii="黑体" w:eastAsia="黑体" w:hAnsi="黑体" w:cs="黑体"/>
          <w:b/>
          <w:bCs/>
          <w:spacing w:val="-16"/>
          <w:sz w:val="27"/>
          <w:szCs w:val="27"/>
        </w:rPr>
        <w:t>、经验借鉴</w:t>
      </w:r>
    </w:p>
    <w:p>
      <w:pPr>
        <w:spacing w:before="109" w:line="222" w:lineRule="auto"/>
        <w:ind w:left="9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2"/>
          <w:sz w:val="27"/>
          <w:szCs w:val="27"/>
        </w:rPr>
        <w:t>(一)本项目为县级城市污水处理厂扩建工程开展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3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1"/>
          <w:sz w:val="27"/>
          <w:szCs w:val="27"/>
        </w:rPr>
        <w:t>模式提供了范</w:t>
      </w:r>
    </w:p>
    <w:p>
      <w:pPr>
        <w:spacing w:line="222" w:lineRule="auto"/>
        <w:rPr>
          <w:rFonts w:ascii="仿宋" w:eastAsia="仿宋" w:hAnsi="仿宋" w:cs="仿宋"/>
          <w:sz w:val="27"/>
          <w:szCs w:val="27"/>
        </w:rPr>
        <w:sectPr>
          <w:footerReference w:type="default" r:id="rId27"/>
          <w:pgSz w:w="11910" w:h="16840"/>
          <w:pgMar w:top="845" w:right="999" w:bottom="1182" w:left="989" w:header="0" w:footer="969" w:gutter="0"/>
          <w:pgNumType w:start="21"/>
          <w:cols w:space="708"/>
        </w:sectPr>
      </w:pPr>
    </w:p>
    <w:tbl>
      <w:tblPr>
        <w:tblStyle w:val="TableNormal1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30"/>
        <w:gridCol w:w="4670"/>
        <w:gridCol w:w="272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0"/>
        </w:trPr>
        <w:tc>
          <w:tcPr>
            <w:tcW w:w="2530" w:type="dxa"/>
            <w:tcBorders>
              <w:left w:val="nil"/>
            </w:tcBorders>
          </w:tcPr>
          <w:p>
            <w:pPr>
              <w:pStyle w:val="TableText"/>
              <w:spacing w:before="21" w:line="219" w:lineRule="auto"/>
              <w:ind w:left="123"/>
            </w:pPr>
            <w:bookmarkStart w:id="17" w:name="bookmark20"/>
            <w:bookmarkStart w:id="18" w:name="bookmark18"/>
            <w:bookmarkStart w:id="19" w:name="bookmark19"/>
            <w:bookmarkEnd w:id="17"/>
            <w:bookmarkEnd w:id="18"/>
            <w:bookmarkEnd w:id="19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4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40000"/>
                <w:spacing w:val="-4"/>
              </w:rPr>
              <w:t>书山有路勤为径，学海无涯苦作舟</w:t>
            </w:r>
          </w:p>
        </w:tc>
        <w:tc>
          <w:tcPr>
            <w:tcW w:w="2720" w:type="dxa"/>
            <w:tcBorders>
              <w:right w:val="nil"/>
            </w:tcBorders>
          </w:tcPr>
          <w:p>
            <w:pPr>
              <w:spacing w:line="252" w:lineRule="auto"/>
            </w:pPr>
          </w:p>
          <w:p>
            <w:pPr>
              <w:pStyle w:val="TableText"/>
              <w:spacing w:before="78" w:line="219" w:lineRule="auto"/>
              <w:ind w:left="138"/>
            </w:pPr>
            <w:r>
              <w:rPr>
                <w:b/>
                <w:bCs/>
                <w:spacing w:val="-2"/>
              </w:rPr>
              <w:t>页码：第18页共79页</w:t>
            </w:r>
          </w:p>
        </w:tc>
      </w:tr>
    </w:tbl>
    <w:p>
      <w:pPr>
        <w:pStyle w:val="BodyText"/>
        <w:spacing w:line="284" w:lineRule="auto"/>
      </w:pPr>
    </w:p>
    <w:p>
      <w:pPr>
        <w:spacing w:before="88" w:line="222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z w:val="27"/>
          <w:szCs w:val="27"/>
        </w:rPr>
        <w:t>本</w:t>
      </w:r>
    </w:p>
    <w:p>
      <w:pPr>
        <w:spacing w:before="109" w:line="302" w:lineRule="auto"/>
        <w:ind w:left="809" w:right="765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本项目采取社会资本和政府合作的模式建设，社会资本为主，政府通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过国资公司以土地入股，同时将一期工程无偿租赁给项目公司运营，</w:t>
      </w:r>
      <w:r>
        <w:rPr>
          <w:rFonts w:ascii="仿宋" w:eastAsia="仿宋" w:hAnsi="仿宋" w:cs="仿宋"/>
          <w:spacing w:val="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较好协调了一期工程和二期工程之间的关系。该模式值得其它县级城</w:t>
      </w:r>
    </w:p>
    <w:p>
      <w:pPr>
        <w:spacing w:line="222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sz w:val="27"/>
          <w:szCs w:val="27"/>
        </w:rPr>
        <w:t>市的污水处理项目借鉴。</w:t>
      </w:r>
    </w:p>
    <w:p>
      <w:pPr>
        <w:spacing w:before="121" w:line="220" w:lineRule="auto"/>
        <w:ind w:left="12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5"/>
          <w:sz w:val="27"/>
          <w:szCs w:val="27"/>
        </w:rPr>
        <w:t>(二)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2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5"/>
          <w:sz w:val="27"/>
          <w:szCs w:val="27"/>
        </w:rPr>
        <w:t>模式运作的成效和工作难点</w:t>
      </w:r>
    </w:p>
    <w:p>
      <w:pPr>
        <w:spacing w:before="95" w:line="302" w:lineRule="auto"/>
        <w:ind w:left="809" w:right="835" w:firstLine="5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4"/>
          <w:sz w:val="27"/>
          <w:szCs w:val="27"/>
        </w:rPr>
        <w:t>在</w:t>
      </w:r>
      <w:r>
        <w:rPr>
          <w:rFonts w:ascii="仿宋" w:eastAsia="仿宋" w:hAnsi="仿宋" w:cs="仿宋"/>
          <w:spacing w:val="-27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4"/>
          <w:sz w:val="27"/>
          <w:szCs w:val="27"/>
        </w:rPr>
        <w:t>PPP</w:t>
      </w:r>
      <w:r>
        <w:rPr>
          <w:rFonts w:ascii="宋体" w:eastAsia="宋体" w:hAnsi="宋体" w:cs="宋体"/>
          <w:spacing w:val="-5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4"/>
          <w:sz w:val="27"/>
          <w:szCs w:val="27"/>
        </w:rPr>
        <w:t>项目管理实施存在的困难：</w:t>
      </w:r>
      <w:r>
        <w:rPr>
          <w:rFonts w:ascii="仿宋" w:eastAsia="仿宋" w:hAnsi="仿宋" w:cs="仿宋"/>
          <w:spacing w:val="8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4"/>
          <w:sz w:val="27"/>
          <w:szCs w:val="27"/>
        </w:rPr>
        <w:t>一是如运营管理失当，出现重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大事故，所示超过其资产，很难有效追求投资人责任。二是超过长达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25 年的经营协议期满后资产无偿收回难度大。三是</w:t>
      </w:r>
      <w:r>
        <w:rPr>
          <w:rFonts w:ascii="仿宋" w:eastAsia="仿宋" w:hAnsi="仿宋" w:cs="仿宋"/>
          <w:spacing w:val="9"/>
          <w:sz w:val="27"/>
          <w:szCs w:val="27"/>
        </w:rPr>
        <w:t>运营时间长，政</w:t>
      </w:r>
    </w:p>
    <w:p>
      <w:pPr>
        <w:spacing w:before="1" w:line="221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策税利无害等风险技术标准等各项调整都会产生未预期的风险。</w:t>
      </w:r>
    </w:p>
    <w:p>
      <w:pPr>
        <w:spacing w:before="132" w:line="441" w:lineRule="exact"/>
        <w:ind w:left="166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19"/>
          <w:position w:val="12"/>
          <w:sz w:val="27"/>
          <w:szCs w:val="27"/>
        </w:rPr>
        <w:t>案例5:玉环县生活垃圾焚烧发电一期工程</w:t>
      </w:r>
    </w:p>
    <w:p>
      <w:pPr>
        <w:spacing w:before="2" w:line="220" w:lineRule="auto"/>
        <w:ind w:left="136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2"/>
          <w:sz w:val="27"/>
          <w:szCs w:val="27"/>
        </w:rPr>
        <w:t>一、项目概况</w:t>
      </w:r>
    </w:p>
    <w:p>
      <w:pPr>
        <w:spacing w:before="109" w:line="301" w:lineRule="auto"/>
        <w:ind w:left="809" w:right="834" w:firstLine="6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项目座落在玉环县玉城街道西滩村小滩，建设规模</w:t>
      </w:r>
      <w:r>
        <w:rPr>
          <w:rFonts w:ascii="仿宋" w:eastAsia="仿宋" w:hAnsi="仿宋" w:cs="仿宋"/>
          <w:spacing w:val="2"/>
          <w:sz w:val="27"/>
          <w:szCs w:val="27"/>
        </w:rPr>
        <w:t>为日处理生活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垃圾700吨。建设日处理生活垃圾350吨垃圾焚烧炉2台，15</w:t>
      </w:r>
      <w:r>
        <w:rPr>
          <w:rFonts w:ascii="Times New Roman" w:eastAsia="Times New Roman" w:hAnsi="Times New Roman" w:cs="Times New Roman"/>
          <w:sz w:val="27"/>
          <w:szCs w:val="27"/>
        </w:rPr>
        <w:t>MW</w:t>
      </w:r>
      <w:r>
        <w:rPr>
          <w:rFonts w:ascii="Times New Roman" w:eastAsia="Times New Roman" w:hAnsi="Times New Roman" w:cs="Times New Roman"/>
          <w:spacing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纯</w:t>
      </w:r>
      <w:r>
        <w:rPr>
          <w:rFonts w:ascii="仿宋" w:eastAsia="仿宋" w:hAnsi="仿宋" w:cs="仿宋"/>
          <w:spacing w:val="1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14"/>
          <w:sz w:val="27"/>
          <w:szCs w:val="27"/>
        </w:rPr>
        <w:t>冷凝汽轮发电机1台等设施。汽轮发电机组的发电出力约130</w:t>
      </w:r>
      <w:r>
        <w:rPr>
          <w:rFonts w:ascii="仿宋" w:eastAsia="仿宋" w:hAnsi="仿宋" w:cs="仿宋"/>
          <w:spacing w:val="13"/>
          <w:sz w:val="27"/>
          <w:szCs w:val="27"/>
        </w:rPr>
        <w:t>00千瓦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时，年运行时间约8000小时，最大年发电量为</w:t>
      </w:r>
      <w:r>
        <w:rPr>
          <w:rFonts w:ascii="仿宋" w:eastAsia="仿宋" w:hAnsi="仿宋" w:cs="仿宋"/>
          <w:spacing w:val="12"/>
          <w:sz w:val="27"/>
          <w:szCs w:val="27"/>
        </w:rPr>
        <w:t>1040千瓦时。本工程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6"/>
          <w:sz w:val="27"/>
          <w:szCs w:val="27"/>
        </w:rPr>
        <w:t>距离与玉环县区中心约8公里，项目共用地4.5927公顷。项目核准</w:t>
      </w:r>
    </w:p>
    <w:p>
      <w:pPr>
        <w:spacing w:before="1" w:line="222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2"/>
          <w:sz w:val="27"/>
          <w:szCs w:val="27"/>
        </w:rPr>
        <w:t>总投资2.63亿元。</w:t>
      </w:r>
    </w:p>
    <w:p>
      <w:pPr>
        <w:spacing w:before="118" w:line="300" w:lineRule="auto"/>
        <w:ind w:left="809" w:right="725" w:firstLine="6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5"/>
          <w:sz w:val="27"/>
          <w:szCs w:val="27"/>
        </w:rPr>
        <w:t>项目于2010年8月27日通过浙江省发改委项</w:t>
      </w:r>
      <w:r>
        <w:rPr>
          <w:rFonts w:ascii="仿宋" w:eastAsia="仿宋" w:hAnsi="仿宋" w:cs="仿宋"/>
          <w:spacing w:val="14"/>
          <w:sz w:val="27"/>
          <w:szCs w:val="27"/>
        </w:rPr>
        <w:t xml:space="preserve">目核准批复，2011 </w:t>
      </w:r>
      <w:r>
        <w:rPr>
          <w:rFonts w:ascii="仿宋" w:eastAsia="仿宋" w:hAnsi="仿宋" w:cs="仿宋"/>
          <w:spacing w:val="20"/>
          <w:sz w:val="27"/>
          <w:szCs w:val="27"/>
        </w:rPr>
        <w:t>年4月开工建设，2012年10月并网发电，20</w:t>
      </w:r>
      <w:r>
        <w:rPr>
          <w:rFonts w:ascii="仿宋" w:eastAsia="仿宋" w:hAnsi="仿宋" w:cs="仿宋"/>
          <w:spacing w:val="19"/>
          <w:sz w:val="27"/>
          <w:szCs w:val="27"/>
        </w:rPr>
        <w:t>14年底通过竣工验收。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9"/>
          <w:sz w:val="27"/>
          <w:szCs w:val="27"/>
        </w:rPr>
        <w:t>目前项目运行情况良好，截止2014年11月31日，共处理生活垃圾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17"/>
          <w:sz w:val="27"/>
          <w:szCs w:val="27"/>
        </w:rPr>
        <w:t>53.45万吨，发电15966.376万</w:t>
      </w:r>
      <w:r>
        <w:rPr>
          <w:rFonts w:ascii="Times New Roman" w:eastAsia="Times New Roman" w:hAnsi="Times New Roman" w:cs="Times New Roman"/>
          <w:sz w:val="27"/>
          <w:szCs w:val="27"/>
        </w:rPr>
        <w:t>kWh</w:t>
      </w:r>
      <w:r>
        <w:rPr>
          <w:rFonts w:ascii="Times New Roman" w:eastAsia="Times New Roman" w:hAnsi="Times New Roman" w:cs="Times New Roman"/>
          <w:spacing w:val="17"/>
          <w:sz w:val="27"/>
          <w:szCs w:val="27"/>
        </w:rPr>
        <w:t xml:space="preserve">,  </w:t>
      </w:r>
      <w:r>
        <w:rPr>
          <w:rFonts w:ascii="仿宋" w:eastAsia="仿宋" w:hAnsi="仿宋" w:cs="仿宋"/>
          <w:spacing w:val="17"/>
          <w:sz w:val="27"/>
          <w:szCs w:val="27"/>
        </w:rPr>
        <w:t>向电网供电13190.38万</w:t>
      </w:r>
      <w:r>
        <w:rPr>
          <w:rFonts w:ascii="Times New Roman" w:eastAsia="Times New Roman" w:hAnsi="Times New Roman" w:cs="Times New Roman"/>
          <w:sz w:val="27"/>
          <w:szCs w:val="27"/>
        </w:rPr>
        <w:t>kWh</w:t>
      </w:r>
      <w:r>
        <w:rPr>
          <w:rFonts w:ascii="宋体" w:eastAsia="宋体" w:hAnsi="宋体" w:cs="宋体"/>
          <w:spacing w:val="17"/>
          <w:sz w:val="27"/>
          <w:szCs w:val="27"/>
        </w:rPr>
        <w:t>。</w:t>
      </w:r>
      <w:r>
        <w:rPr>
          <w:rFonts w:ascii="宋体" w:eastAsia="宋体" w:hAnsi="宋体" w:cs="宋体"/>
          <w:spacing w:val="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项目的建设对于解决玉环县及所属乡镇日益突出的生活和工业垃圾</w:t>
      </w:r>
    </w:p>
    <w:p>
      <w:pPr>
        <w:spacing w:line="220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问题、建设宜居城市和生态海岛县发挥了重要作用。</w:t>
      </w:r>
    </w:p>
    <w:p>
      <w:pPr>
        <w:spacing w:before="128" w:line="222" w:lineRule="auto"/>
        <w:ind w:left="136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2"/>
          <w:sz w:val="27"/>
          <w:szCs w:val="27"/>
        </w:rPr>
        <w:t>二、运作模式</w:t>
      </w:r>
    </w:p>
    <w:p>
      <w:pPr>
        <w:spacing w:before="106" w:line="301" w:lineRule="auto"/>
        <w:ind w:left="809" w:right="824" w:firstLine="63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项目采用</w:t>
      </w:r>
      <w:r>
        <w:rPr>
          <w:rFonts w:ascii="宋体" w:eastAsia="宋体" w:hAnsi="宋体" w:cs="宋体"/>
          <w:sz w:val="27"/>
          <w:szCs w:val="27"/>
        </w:rPr>
        <w:t>BOT</w:t>
      </w:r>
      <w:r>
        <w:rPr>
          <w:rFonts w:ascii="宋体" w:eastAsia="宋体" w:hAnsi="宋体" w:cs="宋体"/>
          <w:spacing w:val="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3"/>
          <w:sz w:val="27"/>
          <w:szCs w:val="27"/>
        </w:rPr>
        <w:t>方式建设。合作双方分别为玉环县政府和浙江伟明</w:t>
      </w:r>
      <w:r>
        <w:rPr>
          <w:rFonts w:ascii="仿宋" w:eastAsia="仿宋" w:hAnsi="仿宋" w:cs="仿宋"/>
          <w:spacing w:val="1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环保股份有限公司。项目公司为玉环伟明环保股份有限公司，特许经</w:t>
      </w:r>
      <w:r>
        <w:rPr>
          <w:rFonts w:ascii="仿宋" w:eastAsia="仿宋" w:hAnsi="仿宋" w:cs="仿宋"/>
          <w:spacing w:val="1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1"/>
          <w:sz w:val="27"/>
          <w:szCs w:val="27"/>
        </w:rPr>
        <w:t>营期30年(含建设期)。项目依靠经营净现金流收回投资、获得收</w:t>
      </w:r>
      <w:r>
        <w:rPr>
          <w:rFonts w:ascii="仿宋" w:eastAsia="仿宋" w:hAnsi="仿宋" w:cs="仿宋"/>
          <w:spacing w:val="1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益。项目收入主要由垃圾处理费和上网电价两部分构成。目前政府对</w:t>
      </w:r>
    </w:p>
    <w:p>
      <w:pPr>
        <w:spacing w:before="1" w:line="220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2"/>
          <w:sz w:val="27"/>
          <w:szCs w:val="27"/>
        </w:rPr>
        <w:t>处理每吨垃圾82</w:t>
      </w:r>
      <w:r>
        <w:rPr>
          <w:rFonts w:ascii="仿宋" w:eastAsia="仿宋" w:hAnsi="仿宋" w:cs="仿宋"/>
          <w:spacing w:val="-2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元补贴费，每千瓦时售电电价0.66元。</w:t>
      </w:r>
    </w:p>
    <w:p>
      <w:pPr>
        <w:spacing w:line="220" w:lineRule="auto"/>
        <w:rPr>
          <w:rFonts w:ascii="仿宋" w:eastAsia="仿宋" w:hAnsi="仿宋" w:cs="仿宋"/>
          <w:sz w:val="27"/>
          <w:szCs w:val="27"/>
        </w:rPr>
        <w:sectPr>
          <w:footerReference w:type="default" r:id="rId28"/>
          <w:pgSz w:w="11910" w:h="16840"/>
          <w:pgMar w:top="834" w:right="999" w:bottom="1182" w:left="989" w:header="0" w:footer="969" w:gutter="0"/>
          <w:pgNumType w:start="22"/>
          <w:cols w:space="708"/>
        </w:sectPr>
      </w:pPr>
    </w:p>
    <w:tbl>
      <w:tblPr>
        <w:tblStyle w:val="TableNormal11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70"/>
        <w:gridCol w:w="273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13"/>
            </w:pPr>
            <w:bookmarkStart w:id="20" w:name="bookmark21"/>
            <w:bookmarkStart w:id="21" w:name="bookmark22"/>
            <w:bookmarkEnd w:id="20"/>
            <w:bookmarkEnd w:id="21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2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40000"/>
                <w:spacing w:val="-4"/>
              </w:rPr>
              <w:t>书山有路勤为径，学海无涯苦作舟</w:t>
            </w:r>
          </w:p>
        </w:tc>
        <w:tc>
          <w:tcPr>
            <w:tcW w:w="273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页码：第19页共79页</w:t>
            </w:r>
          </w:p>
        </w:tc>
      </w:tr>
    </w:tbl>
    <w:p>
      <w:pPr>
        <w:pStyle w:val="BodyText"/>
        <w:spacing w:line="288" w:lineRule="auto"/>
      </w:pPr>
    </w:p>
    <w:p>
      <w:pPr>
        <w:spacing w:before="88" w:line="442" w:lineRule="exact"/>
        <w:ind w:left="137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26"/>
          <w:position w:val="12"/>
          <w:sz w:val="27"/>
          <w:szCs w:val="27"/>
        </w:rPr>
        <w:t>案例6:</w:t>
      </w:r>
      <w:r>
        <w:rPr>
          <w:rFonts w:ascii="黑体" w:eastAsia="黑体" w:hAnsi="黑体" w:cs="黑体"/>
          <w:spacing w:val="62"/>
          <w:position w:val="12"/>
          <w:sz w:val="27"/>
          <w:szCs w:val="27"/>
        </w:rPr>
        <w:t xml:space="preserve">  </w:t>
      </w:r>
      <w:r>
        <w:rPr>
          <w:rFonts w:ascii="黑体" w:eastAsia="黑体" w:hAnsi="黑体" w:cs="黑体"/>
          <w:b/>
          <w:bCs/>
          <w:spacing w:val="26"/>
          <w:position w:val="12"/>
          <w:sz w:val="27"/>
          <w:szCs w:val="27"/>
        </w:rPr>
        <w:t>北京地铁4号线项目</w:t>
      </w:r>
    </w:p>
    <w:p>
      <w:pPr>
        <w:spacing w:before="1" w:line="220" w:lineRule="auto"/>
        <w:ind w:left="136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4"/>
          <w:sz w:val="27"/>
          <w:szCs w:val="27"/>
        </w:rPr>
        <w:t>一、项目概况</w:t>
      </w:r>
    </w:p>
    <w:p>
      <w:pPr>
        <w:spacing w:before="101" w:line="284" w:lineRule="auto"/>
        <w:ind w:left="799" w:right="850" w:firstLine="63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北京地铁4号线是北京市轨道交通路网中的主干线之一，南起丰</w:t>
      </w:r>
      <w:r>
        <w:rPr>
          <w:rFonts w:ascii="仿宋" w:eastAsia="仿宋" w:hAnsi="仿宋" w:cs="仿宋"/>
          <w:spacing w:val="1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台区南四环公益西桥，途经西城区，北至海淀区安河桥北，线路全长</w:t>
      </w:r>
      <w:r>
        <w:rPr>
          <w:rFonts w:ascii="仿宋" w:eastAsia="仿宋" w:hAnsi="仿宋" w:cs="仿宋"/>
          <w:spacing w:val="1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28.2公里，车站总数24座。4号线工程概算总投资153亿元，于2</w:t>
      </w:r>
      <w:r>
        <w:rPr>
          <w:rFonts w:ascii="仿宋" w:eastAsia="仿宋" w:hAnsi="仿宋" w:cs="仿宋"/>
          <w:spacing w:val="11"/>
          <w:sz w:val="27"/>
          <w:szCs w:val="27"/>
        </w:rPr>
        <w:t>004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2"/>
          <w:sz w:val="27"/>
          <w:szCs w:val="27"/>
        </w:rPr>
        <w:t>年8月正式开工，2009年9月28日通车试运营，</w:t>
      </w:r>
      <w:r>
        <w:rPr>
          <w:rFonts w:ascii="仿宋" w:eastAsia="仿宋" w:hAnsi="仿宋" w:cs="仿宋"/>
          <w:spacing w:val="21"/>
          <w:sz w:val="27"/>
          <w:szCs w:val="27"/>
        </w:rPr>
        <w:t>目前日均客流量已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6"/>
          <w:sz w:val="27"/>
          <w:szCs w:val="27"/>
        </w:rPr>
        <w:t>超过100万人次。</w:t>
      </w:r>
    </w:p>
    <w:p>
      <w:pPr>
        <w:spacing w:before="127" w:line="301" w:lineRule="auto"/>
        <w:ind w:left="799" w:right="795" w:firstLine="62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0"/>
          <w:sz w:val="27"/>
          <w:szCs w:val="27"/>
        </w:rPr>
        <w:t>北京地铁4号线是我国城市轨道交通领域的首个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项目，该项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6"/>
          <w:sz w:val="27"/>
          <w:szCs w:val="27"/>
        </w:rPr>
        <w:t>目由北京市基础设施投资有限公司(简称“京投公司”)具体实施。</w:t>
      </w:r>
      <w:r>
        <w:rPr>
          <w:rFonts w:ascii="仿宋" w:eastAsia="仿宋" w:hAnsi="仿宋" w:cs="仿宋"/>
          <w:spacing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2011年，北京金准咨询有限责任公司和天津理工大学按国家发改委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5"/>
          <w:sz w:val="27"/>
          <w:szCs w:val="27"/>
        </w:rPr>
        <w:t>和北京市发改委要求，组成课题组对项目实施效果进行了专题评价研</w:t>
      </w:r>
      <w:r>
        <w:rPr>
          <w:rFonts w:ascii="仿宋" w:eastAsia="仿宋" w:hAnsi="仿宋" w:cs="仿宋"/>
          <w:spacing w:val="1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究。评价认为，北京地铁4号线项目顺应国家投资体制改革方向，在</w:t>
      </w:r>
      <w:r>
        <w:rPr>
          <w:rFonts w:ascii="仿宋" w:eastAsia="仿宋" w:hAnsi="仿宋" w:cs="仿宋"/>
          <w:spacing w:val="1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我国城市轨道交通领域首次探索和实施市场化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2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融资模式，有效缓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解了当时北京市政府投资压力，实现了北京市轨道交通行业投资和运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营主体多元化突破，形成同业激励的格局，促进了技术进步和</w:t>
      </w:r>
      <w:r>
        <w:rPr>
          <w:rFonts w:ascii="仿宋" w:eastAsia="仿宋" w:hAnsi="仿宋" w:cs="仿宋"/>
          <w:spacing w:val="4"/>
          <w:sz w:val="27"/>
          <w:szCs w:val="27"/>
        </w:rPr>
        <w:t>管理水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1"/>
          <w:sz w:val="27"/>
          <w:szCs w:val="27"/>
        </w:rPr>
        <w:t>平、服务水平提升。从实际情况分析，4号线应用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1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1"/>
          <w:sz w:val="27"/>
          <w:szCs w:val="27"/>
        </w:rPr>
        <w:t>模式进行投资</w:t>
      </w:r>
    </w:p>
    <w:p>
      <w:pPr>
        <w:spacing w:line="220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建设已取得阶段性成功，项目实施效果良好。</w:t>
      </w:r>
    </w:p>
    <w:p>
      <w:pPr>
        <w:spacing w:line="220" w:lineRule="auto"/>
        <w:rPr>
          <w:rFonts w:ascii="仿宋" w:eastAsia="仿宋" w:hAnsi="仿宋" w:cs="仿宋"/>
          <w:sz w:val="27"/>
          <w:szCs w:val="27"/>
        </w:rPr>
        <w:sectPr>
          <w:footerReference w:type="default" r:id="rId29"/>
          <w:pgSz w:w="11910" w:h="16840"/>
          <w:pgMar w:top="845" w:right="989" w:bottom="1182" w:left="999" w:header="0" w:footer="969" w:gutter="0"/>
          <w:pgNumType w:start="23"/>
          <w:cols w:space="708"/>
        </w:sectPr>
      </w:pPr>
    </w:p>
    <w:tbl>
      <w:tblPr>
        <w:tblStyle w:val="TableNormal12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30"/>
        <w:gridCol w:w="4680"/>
        <w:gridCol w:w="271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3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23"/>
            </w:pPr>
            <w:r>
              <w:pict>
                <v:shape id="文本框 12" o:spid="_x0000_s1039" type="#_x0000_t202" style="width:13.4pt;height:9.05pt;margin-top:206.5pt;margin-left:355.2pt;mso-position-horizontal-relative:page;mso-position-vertical-relative:page;position:absolute;z-index:251665408" o:allowincell="f" filled="f" stroked="f">
                  <o:lock v:ext="edit" aspectratio="f"/>
                  <v:textbox style="layout-flow:vertical-ideographic" inset="0,0,0,0">
                    <w:txbxContent>
                      <w:p>
                        <w:pPr>
                          <w:spacing w:before="19" w:line="226" w:lineRule="auto"/>
                          <w:ind w:left="20"/>
                          <w:rPr>
                            <w:rFonts w:ascii="FZYaoTi" w:eastAsia="FZYaoTi" w:hAnsi="FZYaoTi" w:cs="FZYaoT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FZYaoTi" w:eastAsia="FZYaoTi" w:hAnsi="FZYaoTi" w:cs="FZYaoTi"/>
                            <w:spacing w:val="40"/>
                            <w:w w:val="125"/>
                            <w:sz w:val="16"/>
                            <w:szCs w:val="16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13" o:spid="_x0000_s1040" type="#_x0000_t202" style="width:12.1pt;height:21.25pt;margin-top:289.05pt;margin-left:284.9pt;mso-position-horizontal-relative:page;mso-position-vertical-relative:page;position:absolute;z-index:251666432" o:allowincell="f" filled="f" stroked="f">
                  <o:lock v:ext="edit" aspectratio="f"/>
                  <v:textbox style="layout-flow:vertical-ideographic" inset="0,0,0,0">
                    <w:txbxContent>
                      <w:p>
                        <w:pPr>
                          <w:spacing w:before="20" w:line="225" w:lineRule="auto"/>
                          <w:ind w:left="20"/>
                          <w:rPr>
                            <w:rFonts w:ascii="宋体" w:eastAsia="宋体" w:hAnsi="宋体" w:cs="宋体"/>
                            <w:sz w:val="16"/>
                            <w:szCs w:val="16"/>
                          </w:rPr>
                        </w:pPr>
                        <w:r>
                          <w:rPr>
                            <w:rFonts w:ascii="宋体" w:eastAsia="宋体" w:hAnsi="宋体" w:cs="宋体"/>
                            <w:spacing w:val="29"/>
                            <w:sz w:val="16"/>
                            <w:szCs w:val="16"/>
                          </w:rPr>
                          <w:t>9</w:t>
                        </w:r>
                        <w:r>
                          <w:rPr>
                            <w:rFonts w:ascii="宋体" w:eastAsia="宋体" w:hAnsi="宋体" w:cs="宋体"/>
                            <w:spacing w:val="5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宋体" w:eastAsia="宋体" w:hAnsi="宋体" w:cs="宋体"/>
                            <w:spacing w:val="29"/>
                            <w:sz w:val="16"/>
                            <w:szCs w:val="16"/>
                          </w:rPr>
                          <w:t>号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14" o:spid="_x0000_s1041" type="#_x0000_t202" style="width:10.1pt;height:21.25pt;margin-top:311.55pt;margin-left:284.9pt;mso-position-horizontal-relative:page;mso-position-vertical-relative:page;position:absolute;z-index:251668480" o:allowincell="f" filled="f" stroked="f">
                  <o:lock v:ext="edit" aspectratio="f"/>
                  <v:textbox style="layout-flow:vertical-ideographic" inset="0,0,0,0">
                    <w:txbxContent>
                      <w:p>
                        <w:pPr>
                          <w:spacing w:before="19" w:line="181" w:lineRule="auto"/>
                          <w:ind w:left="20"/>
                          <w:rPr>
                            <w:rFonts w:ascii="宋体" w:eastAsia="宋体" w:hAnsi="宋体" w:cs="宋体"/>
                            <w:sz w:val="16"/>
                            <w:szCs w:val="16"/>
                          </w:rPr>
                        </w:pPr>
                        <w:r>
                          <w:rPr>
                            <w:rFonts w:ascii="宋体" w:eastAsia="宋体" w:hAnsi="宋体" w:cs="宋体"/>
                            <w:sz w:val="16"/>
                            <w:szCs w:val="16"/>
                          </w:rPr>
                          <w:t>线</w:t>
                        </w:r>
                        <w:r>
                          <w:rPr>
                            <w:rFonts w:ascii="宋体" w:eastAsia="宋体" w:hAnsi="宋体" w:cs="宋体"/>
                            <w:spacing w:val="-1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宋体" w:eastAsia="宋体" w:hAnsi="宋体" w:cs="宋体"/>
                            <w:sz w:val="16"/>
                            <w:szCs w:val="16"/>
                          </w:rPr>
                          <w:t>换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15" o:spid="_x0000_s1042" type="#_x0000_t202" style="width:11.7pt;height:10pt;margin-top:334pt;margin-left:283.3pt;mso-position-horizontal-relative:page;mso-position-vertical-relative:page;position:absolute;z-index:251667456" o:allowincell="f" filled="f" stroked="f">
                  <o:lock v:ext="edit" aspectratio="f"/>
                  <v:textbox style="layout-flow:vertical-ideographic" inset="0,0,0,0">
                    <w:txbxContent>
                      <w:p>
                        <w:pPr>
                          <w:spacing w:before="19" w:line="217" w:lineRule="auto"/>
                          <w:ind w:left="20"/>
                          <w:rPr>
                            <w:rFonts w:ascii="宋体" w:eastAsia="宋体" w:hAnsi="宋体" w:cs="宋体"/>
                            <w:sz w:val="16"/>
                            <w:szCs w:val="16"/>
                          </w:rPr>
                        </w:pPr>
                        <w:r>
                          <w:rPr>
                            <w:rFonts w:ascii="宋体" w:eastAsia="宋体" w:hAnsi="宋体" w:cs="宋体"/>
                            <w:sz w:val="16"/>
                            <w:szCs w:val="16"/>
                          </w:rPr>
                          <w:t>案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16" o:spid="_x0000_s1043" type="#_x0000_t202" style="width:11.8pt;height:10pt;margin-top:345.25pt;margin-left:283.2pt;mso-position-horizontal-relative:page;mso-position-vertical-relative:page;position:absolute;z-index:251664384" o:allowincell="f" filled="f" stroked="f">
                  <o:lock v:ext="edit" aspectratio="f"/>
                  <v:textbox style="layout-flow:vertical-ideographic" inset="0,0,0,0">
                    <w:txbxContent>
                      <w:p>
                        <w:pPr>
                          <w:spacing w:before="19" w:line="219" w:lineRule="auto"/>
                          <w:ind w:left="20"/>
                          <w:rPr>
                            <w:rFonts w:ascii="宋体" w:eastAsia="宋体" w:hAnsi="宋体" w:cs="宋体"/>
                            <w:sz w:val="16"/>
                            <w:szCs w:val="16"/>
                          </w:rPr>
                        </w:pPr>
                        <w:r>
                          <w:rPr>
                            <w:rFonts w:ascii="宋体" w:eastAsia="宋体" w:hAnsi="宋体" w:cs="宋体"/>
                            <w:sz w:val="16"/>
                            <w:szCs w:val="16"/>
                          </w:rPr>
                          <w:t>站</w:t>
                        </w:r>
                      </w:p>
                    </w:txbxContent>
                  </v:textbox>
                </v:shape>
              </w:pict>
            </w:r>
            <w:bookmarkStart w:id="22" w:name="bookmark23"/>
            <w:bookmarkEnd w:id="22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8" w:line="219" w:lineRule="auto"/>
              <w:ind w:left="130"/>
            </w:pPr>
            <w:r>
              <w:rPr>
                <w:spacing w:val="3"/>
              </w:rPr>
              <w:t>时间：2021年x月x日</w:t>
            </w:r>
          </w:p>
        </w:tc>
        <w:tc>
          <w:tcPr>
            <w:tcW w:w="468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10" w:type="dxa"/>
            <w:tcBorders>
              <w:right w:val="nil"/>
            </w:tcBorders>
          </w:tcPr>
          <w:p>
            <w:pPr>
              <w:spacing w:line="255" w:lineRule="auto"/>
            </w:pPr>
          </w:p>
          <w:p>
            <w:pPr>
              <w:pStyle w:val="TableText"/>
              <w:spacing w:before="78" w:line="219" w:lineRule="auto"/>
              <w:ind w:left="125"/>
            </w:pPr>
            <w:r>
              <w:rPr>
                <w:spacing w:val="1"/>
              </w:rPr>
              <w:t>页码：第20页共79页</w:t>
            </w:r>
          </w:p>
        </w:tc>
      </w:tr>
    </w:tbl>
    <w:p>
      <w:pPr>
        <w:pStyle w:val="BodyText"/>
      </w:pPr>
    </w:p>
    <w:p>
      <w:pPr>
        <w:spacing w:line="181" w:lineRule="exact"/>
      </w:pPr>
    </w:p>
    <w:p>
      <w:pPr>
        <w:spacing w:line="181" w:lineRule="exact"/>
        <w:sectPr>
          <w:footerReference w:type="default" r:id="rId30"/>
          <w:pgSz w:w="11910" w:h="16840"/>
          <w:pgMar w:top="845" w:right="999" w:bottom="1136" w:left="989" w:header="0" w:footer="957" w:gutter="0"/>
          <w:pgNumType w:start="24"/>
          <w:cols w:space="708"/>
        </w:sectPr>
      </w:pPr>
    </w:p>
    <w:p>
      <w:pPr>
        <w:pStyle w:val="BodyText"/>
        <w:spacing w:before="28" w:line="219" w:lineRule="auto"/>
        <w:ind w:left="4170" w:right="76" w:firstLine="60"/>
        <w:rPr>
          <w:sz w:val="14"/>
          <w:szCs w:val="14"/>
        </w:rPr>
      </w:pPr>
      <w:r>
        <w:pict>
          <v:shape id="IM 10" o:spid="_x0000_s1044" type="#_x0000_t75" style="width:406pt;height:415pt;margin-top:-5.9pt;margin-left:44pt;mso-wrap-distance-left:0;mso-wrap-distance-right:0;position:absolute;z-index:-251646976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spacing w:val="15"/>
          <w:sz w:val="14"/>
          <w:szCs w:val="14"/>
        </w:rPr>
        <w:t>西英站</w:t>
      </w:r>
      <w:r>
        <w:rPr>
          <w:rFonts w:ascii="黑体" w:eastAsia="黑体" w:hAnsi="黑体" w:cs="黑体"/>
          <w:spacing w:val="1"/>
          <w:sz w:val="14"/>
          <w:szCs w:val="14"/>
        </w:rPr>
        <w:t xml:space="preserve"> </w:t>
      </w:r>
      <w:r>
        <w:rPr>
          <w:spacing w:val="-1"/>
          <w:sz w:val="14"/>
          <w:szCs w:val="14"/>
        </w:rPr>
        <w:t>XIYUAN</w:t>
      </w:r>
    </w:p>
    <w:p>
      <w:pPr>
        <w:spacing w:line="159" w:lineRule="auto"/>
        <w:ind w:left="2820"/>
        <w:rPr>
          <w:rFonts w:ascii="LiSu" w:eastAsia="LiSu" w:hAnsi="LiSu" w:cs="LiSu"/>
          <w:sz w:val="14"/>
          <w:szCs w:val="14"/>
        </w:rPr>
      </w:pPr>
      <w:r>
        <w:rPr>
          <w:rFonts w:ascii="LiSu" w:eastAsia="LiSu" w:hAnsi="LiSu" w:cs="LiSu"/>
          <w:spacing w:val="-1"/>
          <w:sz w:val="14"/>
          <w:szCs w:val="14"/>
        </w:rPr>
        <w:t>安河桥北站</w:t>
      </w:r>
    </w:p>
    <w:p>
      <w:pPr>
        <w:spacing w:before="106" w:line="172" w:lineRule="auto"/>
        <w:ind w:left="3800"/>
        <w:rPr>
          <w:rFonts w:ascii="LiSu" w:eastAsia="LiSu" w:hAnsi="LiSu" w:cs="LiSu"/>
          <w:sz w:val="13"/>
          <w:szCs w:val="13"/>
        </w:rPr>
      </w:pPr>
      <w:r>
        <w:pict>
          <v:shape id="文本框 17" o:spid="_x0000_s1045" type="#_x0000_t202" style="width:51pt;height:8.7pt;margin-top:1.9pt;margin-left:132pt;position:absolute;z-index:251670528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199" w:lineRule="auto"/>
                    <w:ind w:left="20"/>
                    <w:rPr>
                      <w:sz w:val="14"/>
                      <w:szCs w:val="14"/>
                    </w:rPr>
                  </w:pPr>
                  <w:r>
                    <w:rPr>
                      <w:spacing w:val="-4"/>
                      <w:sz w:val="14"/>
                      <w:szCs w:val="14"/>
                    </w:rPr>
                    <w:t>AHEQIAO</w:t>
                  </w:r>
                  <w:r>
                    <w:rPr>
                      <w:spacing w:val="12"/>
                      <w:sz w:val="14"/>
                      <w:szCs w:val="14"/>
                    </w:rPr>
                    <w:t xml:space="preserve"> </w:t>
                  </w:r>
                  <w:r>
                    <w:rPr>
                      <w:spacing w:val="-4"/>
                      <w:sz w:val="14"/>
                      <w:szCs w:val="14"/>
                    </w:rPr>
                    <w:t>North</w:t>
                  </w:r>
                </w:p>
              </w:txbxContent>
            </v:textbox>
          </v:shape>
        </w:pict>
      </w:r>
      <w:r>
        <w:rPr>
          <w:rFonts w:ascii="LiSu" w:eastAsia="LiSu" w:hAnsi="LiSu" w:cs="LiSu"/>
          <w:spacing w:val="-1"/>
          <w:sz w:val="13"/>
          <w:szCs w:val="13"/>
        </w:rPr>
        <w:t>北宫门站</w:t>
      </w:r>
    </w:p>
    <w:p>
      <w:pPr>
        <w:pStyle w:val="BodyText"/>
        <w:spacing w:before="24" w:line="198" w:lineRule="auto"/>
        <w:ind w:left="3479"/>
        <w:rPr>
          <w:sz w:val="13"/>
          <w:szCs w:val="13"/>
        </w:rPr>
      </w:pPr>
      <w:r>
        <w:rPr>
          <w:spacing w:val="-2"/>
          <w:sz w:val="13"/>
          <w:szCs w:val="13"/>
        </w:rPr>
        <w:t>BEIGONGMEN</w:t>
      </w:r>
    </w:p>
    <w:p>
      <w:pPr>
        <w:pStyle w:val="BodyText"/>
        <w:spacing w:line="292" w:lineRule="auto"/>
      </w:pPr>
    </w:p>
    <w:p>
      <w:pPr>
        <w:pStyle w:val="BodyText"/>
        <w:spacing w:before="46" w:line="192" w:lineRule="auto"/>
        <w:ind w:left="3479" w:firstLine="690"/>
        <w:rPr>
          <w:sz w:val="14"/>
          <w:szCs w:val="14"/>
        </w:rPr>
      </w:pPr>
      <w:r>
        <w:rPr>
          <w:rFonts w:ascii="LiSu" w:eastAsia="LiSu" w:hAnsi="LiSu" w:cs="LiSu"/>
          <w:spacing w:val="11"/>
          <w:sz w:val="14"/>
          <w:szCs w:val="14"/>
        </w:rPr>
        <w:t>中关村站</w:t>
      </w:r>
      <w:r>
        <w:rPr>
          <w:rFonts w:ascii="LiSu" w:eastAsia="LiSu" w:hAnsi="LiSu" w:cs="LiSu"/>
          <w:sz w:val="14"/>
          <w:szCs w:val="14"/>
        </w:rPr>
        <w:t xml:space="preserve"> </w:t>
      </w:r>
      <w:r>
        <w:rPr>
          <w:spacing w:val="-1"/>
          <w:sz w:val="14"/>
          <w:szCs w:val="14"/>
        </w:rPr>
        <w:t>ZHONGGUANCUN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93" w:lineRule="auto"/>
      </w:pPr>
    </w:p>
    <w:p>
      <w:pPr>
        <w:spacing w:before="45" w:line="172" w:lineRule="auto"/>
        <w:rPr>
          <w:rFonts w:ascii="LiSu" w:eastAsia="LiSu" w:hAnsi="LiSu" w:cs="LiSu"/>
          <w:sz w:val="14"/>
          <w:szCs w:val="14"/>
        </w:rPr>
      </w:pPr>
      <w:r>
        <w:rPr>
          <w:rFonts w:ascii="LiSu" w:eastAsia="LiSu" w:hAnsi="LiSu" w:cs="LiSu"/>
          <w:spacing w:val="1"/>
          <w:sz w:val="14"/>
          <w:szCs w:val="14"/>
        </w:rPr>
        <w:t>团明居站</w:t>
      </w:r>
    </w:p>
    <w:p>
      <w:pPr>
        <w:pStyle w:val="BodyText"/>
        <w:spacing w:before="24" w:line="198" w:lineRule="auto"/>
        <w:rPr>
          <w:sz w:val="14"/>
          <w:szCs w:val="14"/>
        </w:rPr>
      </w:pPr>
      <w:r>
        <w:rPr>
          <w:spacing w:val="-1"/>
          <w:sz w:val="14"/>
          <w:szCs w:val="14"/>
        </w:rPr>
        <w:t>YUANHINGYUAN</w:t>
      </w:r>
      <w:r>
        <w:rPr>
          <w:spacing w:val="16"/>
          <w:sz w:val="14"/>
          <w:szCs w:val="14"/>
        </w:rPr>
        <w:t xml:space="preserve"> </w:t>
      </w:r>
      <w:r>
        <w:rPr>
          <w:spacing w:val="-1"/>
          <w:sz w:val="14"/>
          <w:szCs w:val="14"/>
        </w:rPr>
        <w:t>Park</w:t>
      </w:r>
    </w:p>
    <w:p>
      <w:pPr>
        <w:spacing w:before="246" w:line="111" w:lineRule="exact"/>
        <w:rPr>
          <w:rFonts w:ascii="LiSu" w:eastAsia="LiSu" w:hAnsi="LiSu" w:cs="LiSu"/>
          <w:sz w:val="14"/>
          <w:szCs w:val="14"/>
        </w:rPr>
      </w:pPr>
      <w:r>
        <w:rPr>
          <w:rFonts w:ascii="LiSu" w:eastAsia="LiSu" w:hAnsi="LiSu" w:cs="LiSu"/>
          <w:spacing w:val="-1"/>
          <w:position w:val="-1"/>
          <w:sz w:val="14"/>
          <w:szCs w:val="14"/>
        </w:rPr>
        <w:t>北京大学东门站</w:t>
      </w:r>
    </w:p>
    <w:p>
      <w:pPr>
        <w:pStyle w:val="BodyText"/>
        <w:spacing w:line="191" w:lineRule="exact"/>
        <w:rPr>
          <w:sz w:val="14"/>
          <w:szCs w:val="14"/>
        </w:rPr>
      </w:pPr>
      <w:r>
        <w:rPr>
          <w:spacing w:val="-2"/>
          <w:position w:val="2"/>
          <w:sz w:val="14"/>
          <w:szCs w:val="14"/>
        </w:rPr>
        <w:t>East</w:t>
      </w:r>
      <w:r>
        <w:rPr>
          <w:spacing w:val="28"/>
          <w:position w:val="2"/>
          <w:sz w:val="14"/>
          <w:szCs w:val="14"/>
        </w:rPr>
        <w:t xml:space="preserve"> </w:t>
      </w:r>
      <w:r>
        <w:rPr>
          <w:spacing w:val="-2"/>
          <w:position w:val="2"/>
          <w:sz w:val="14"/>
          <w:szCs w:val="14"/>
        </w:rPr>
        <w:t>Gate</w:t>
      </w:r>
      <w:r>
        <w:rPr>
          <w:spacing w:val="15"/>
          <w:position w:val="2"/>
          <w:sz w:val="14"/>
          <w:szCs w:val="14"/>
        </w:rPr>
        <w:t xml:space="preserve"> </w:t>
      </w:r>
      <w:r>
        <w:rPr>
          <w:spacing w:val="-2"/>
          <w:position w:val="2"/>
          <w:sz w:val="14"/>
          <w:szCs w:val="14"/>
        </w:rPr>
        <w:t>of</w:t>
      </w:r>
      <w:r>
        <w:rPr>
          <w:spacing w:val="16"/>
          <w:w w:val="101"/>
          <w:position w:val="2"/>
          <w:sz w:val="14"/>
          <w:szCs w:val="14"/>
        </w:rPr>
        <w:t xml:space="preserve"> </w:t>
      </w:r>
      <w:r>
        <w:rPr>
          <w:spacing w:val="-2"/>
          <w:position w:val="2"/>
          <w:sz w:val="14"/>
          <w:szCs w:val="14"/>
        </w:rPr>
        <w:t>Peking</w:t>
      </w:r>
      <w:r>
        <w:rPr>
          <w:spacing w:val="22"/>
          <w:position w:val="2"/>
          <w:sz w:val="14"/>
          <w:szCs w:val="14"/>
        </w:rPr>
        <w:t xml:space="preserve"> </w:t>
      </w:r>
      <w:r>
        <w:rPr>
          <w:spacing w:val="-2"/>
          <w:position w:val="2"/>
          <w:sz w:val="14"/>
          <w:szCs w:val="14"/>
        </w:rPr>
        <w:t>Unlversily</w:t>
      </w:r>
    </w:p>
    <w:p>
      <w:pPr>
        <w:spacing w:line="191" w:lineRule="exact"/>
        <w:rPr>
          <w:sz w:val="14"/>
          <w:szCs w:val="14"/>
        </w:rPr>
        <w:sectPr>
          <w:footerReference w:type="default" r:id="rId32"/>
          <w:type w:val="continuous"/>
          <w:pgSz w:w="11910" w:h="16840"/>
          <w:pgMar w:top="845" w:right="999" w:bottom="1136" w:left="989" w:header="0" w:footer="957" w:gutter="0"/>
          <w:pgNumType w:start="25"/>
          <w:cols w:num="2" w:space="85" w:equalWidth="0">
            <w:col w:w="4775" w:space="85"/>
            <w:col w:w="5061" w:space="0"/>
          </w:cols>
        </w:sectPr>
      </w:pPr>
    </w:p>
    <w:p>
      <w:pPr>
        <w:spacing w:before="193" w:line="173" w:lineRule="auto"/>
        <w:ind w:left="4029"/>
        <w:rPr>
          <w:rFonts w:ascii="LiSu" w:eastAsia="LiSu" w:hAnsi="LiSu" w:cs="LiSu"/>
          <w:sz w:val="14"/>
          <w:szCs w:val="14"/>
        </w:rPr>
      </w:pPr>
      <w:r>
        <w:rPr>
          <w:rFonts w:ascii="LiSu" w:eastAsia="LiSu" w:hAnsi="LiSu" w:cs="LiSu"/>
          <w:spacing w:val="-3"/>
          <w:w w:val="98"/>
          <w:sz w:val="14"/>
          <w:szCs w:val="14"/>
        </w:rPr>
        <w:t>海淀黄庄站</w:t>
      </w:r>
    </w:p>
    <w:p>
      <w:pPr>
        <w:spacing w:before="1" w:line="219" w:lineRule="auto"/>
        <w:ind w:left="3080"/>
        <w:rPr>
          <w:rFonts w:ascii="宋体" w:eastAsia="宋体" w:hAnsi="宋体" w:cs="宋体"/>
          <w:sz w:val="14"/>
          <w:szCs w:val="14"/>
        </w:rPr>
      </w:pPr>
      <w:r>
        <w:rPr>
          <w:rFonts w:ascii="Times New Roman" w:eastAsia="Times New Roman" w:hAnsi="Times New Roman" w:cs="Times New Roman"/>
          <w:spacing w:val="-9"/>
          <w:w w:val="92"/>
          <w:sz w:val="18"/>
          <w:szCs w:val="18"/>
        </w:rPr>
        <w:t>HAIDUANHUANGZHUANGO10</w:t>
      </w:r>
      <w:r>
        <w:rPr>
          <w:rFonts w:ascii="黑体" w:eastAsia="黑体" w:hAnsi="黑体" w:cs="黑体"/>
          <w:spacing w:val="-9"/>
          <w:w w:val="92"/>
          <w:sz w:val="18"/>
          <w:szCs w:val="18"/>
        </w:rPr>
        <w:t>号线换乘站</w:t>
      </w:r>
      <w:r>
        <w:rPr>
          <w:rFonts w:ascii="黑体" w:eastAsia="黑体" w:hAnsi="黑体" w:cs="黑体"/>
          <w:spacing w:val="31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9"/>
          <w:w w:val="92"/>
          <w:position w:val="-2"/>
          <w:sz w:val="14"/>
          <w:szCs w:val="14"/>
        </w:rPr>
        <w:t>13</w:t>
      </w:r>
    </w:p>
    <w:p>
      <w:pPr>
        <w:spacing w:line="195" w:lineRule="exact"/>
      </w:pPr>
    </w:p>
    <w:p>
      <w:pPr>
        <w:spacing w:line="195" w:lineRule="exact"/>
        <w:sectPr>
          <w:footerReference w:type="default" r:id="rId33"/>
          <w:type w:val="continuous"/>
          <w:pgSz w:w="11910" w:h="16840"/>
          <w:pgMar w:top="845" w:right="999" w:bottom="1136" w:left="989" w:header="0" w:footer="957" w:gutter="0"/>
          <w:pgNumType w:start="26"/>
          <w:cols w:space="708"/>
        </w:sectPr>
      </w:pPr>
    </w:p>
    <w:p>
      <w:pPr>
        <w:pStyle w:val="BodyText"/>
        <w:spacing w:before="181" w:line="194" w:lineRule="auto"/>
        <w:ind w:left="3479" w:right="950" w:firstLine="590"/>
        <w:rPr>
          <w:sz w:val="14"/>
          <w:szCs w:val="14"/>
        </w:rPr>
      </w:pPr>
      <w:r>
        <w:rPr>
          <w:rFonts w:ascii="LiSu" w:eastAsia="LiSu" w:hAnsi="LiSu" w:cs="LiSu"/>
          <w:spacing w:val="-6"/>
          <w:sz w:val="14"/>
          <w:szCs w:val="14"/>
        </w:rPr>
        <w:t>人民大学站</w:t>
      </w:r>
      <w:r>
        <w:rPr>
          <w:rFonts w:ascii="LiSu" w:eastAsia="LiSu" w:hAnsi="LiSu" w:cs="LiSu"/>
          <w:spacing w:val="3"/>
          <w:sz w:val="14"/>
          <w:szCs w:val="14"/>
        </w:rPr>
        <w:t xml:space="preserve"> </w:t>
      </w:r>
      <w:r>
        <w:rPr>
          <w:spacing w:val="-2"/>
          <w:sz w:val="14"/>
          <w:szCs w:val="14"/>
        </w:rPr>
        <w:t>RENNIN</w:t>
      </w:r>
      <w:r>
        <w:rPr>
          <w:spacing w:val="8"/>
          <w:sz w:val="14"/>
          <w:szCs w:val="14"/>
        </w:rPr>
        <w:t xml:space="preserve">  </w:t>
      </w:r>
      <w:r>
        <w:rPr>
          <w:spacing w:val="-2"/>
          <w:sz w:val="14"/>
          <w:szCs w:val="14"/>
        </w:rPr>
        <w:t>Unhrersy</w:t>
      </w:r>
    </w:p>
    <w:p>
      <w:pPr>
        <w:pStyle w:val="BodyText"/>
        <w:spacing w:before="145" w:line="233" w:lineRule="auto"/>
        <w:ind w:left="3769" w:right="931" w:firstLine="400"/>
        <w:rPr>
          <w:sz w:val="14"/>
          <w:szCs w:val="14"/>
        </w:rPr>
      </w:pPr>
      <w:r>
        <w:rPr>
          <w:rFonts w:ascii="黑体" w:eastAsia="黑体" w:hAnsi="黑体" w:cs="黑体"/>
          <w:spacing w:val="-9"/>
          <w:sz w:val="14"/>
          <w:szCs w:val="14"/>
        </w:rPr>
        <w:t>雄公村姑</w:t>
      </w:r>
      <w:r>
        <w:rPr>
          <w:rFonts w:ascii="黑体" w:eastAsia="黑体" w:hAnsi="黑体" w:cs="黑体"/>
          <w:sz w:val="14"/>
          <w:szCs w:val="14"/>
        </w:rPr>
        <w:t xml:space="preserve">  </w:t>
      </w:r>
      <w:r>
        <w:rPr>
          <w:spacing w:val="-1"/>
          <w:sz w:val="14"/>
          <w:szCs w:val="14"/>
        </w:rPr>
        <w:t>WEIGONGCUN</w:t>
      </w:r>
    </w:p>
    <w:p>
      <w:pPr>
        <w:spacing w:before="1" w:line="172" w:lineRule="auto"/>
        <w:jc w:val="right"/>
        <w:rPr>
          <w:rFonts w:ascii="LiSu" w:eastAsia="LiSu" w:hAnsi="LiSu" w:cs="LiSu"/>
          <w:sz w:val="14"/>
          <w:szCs w:val="14"/>
        </w:rPr>
      </w:pPr>
      <w:r>
        <w:rPr>
          <w:rFonts w:ascii="LiSu" w:eastAsia="LiSu" w:hAnsi="LiSu" w:cs="LiSu"/>
          <w:spacing w:val="-2"/>
          <w:sz w:val="14"/>
          <w:szCs w:val="14"/>
        </w:rPr>
        <w:t>动物因站</w:t>
      </w:r>
    </w:p>
    <w:p>
      <w:pPr>
        <w:pStyle w:val="BodyText"/>
        <w:spacing w:before="97" w:line="191" w:lineRule="auto"/>
        <w:ind w:left="3640" w:right="1023" w:firstLine="159"/>
        <w:rPr>
          <w:sz w:val="14"/>
          <w:szCs w:val="14"/>
        </w:rPr>
      </w:pPr>
      <w:r>
        <w:pict>
          <v:shape id="文本框 18" o:spid="_x0000_s1046" type="#_x0000_t202" style="width:39.3pt;height:8.6pt;margin-top:2.45pt;margin-left:242pt;position:absolute;z-index:251671552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196" w:lineRule="auto"/>
                    <w:ind w:left="20"/>
                    <w:rPr>
                      <w:sz w:val="14"/>
                      <w:szCs w:val="14"/>
                    </w:rPr>
                  </w:pPr>
                  <w:r>
                    <w:rPr>
                      <w:spacing w:val="-2"/>
                      <w:sz w:val="14"/>
                      <w:szCs w:val="14"/>
                    </w:rPr>
                    <w:t>Baiing</w:t>
                  </w:r>
                  <w:r>
                    <w:rPr>
                      <w:spacing w:val="5"/>
                      <w:sz w:val="14"/>
                      <w:szCs w:val="14"/>
                    </w:rPr>
                    <w:t xml:space="preserve">   </w:t>
                  </w:r>
                  <w:r>
                    <w:rPr>
                      <w:spacing w:val="-2"/>
                      <w:sz w:val="14"/>
                      <w:szCs w:val="14"/>
                    </w:rPr>
                    <w:t>Zoo</w:t>
                  </w:r>
                </w:p>
              </w:txbxContent>
            </v:textbox>
          </v:shape>
        </w:pict>
      </w:r>
      <w:r>
        <w:rPr>
          <w:rFonts w:ascii="LiSu" w:eastAsia="LiSu" w:hAnsi="LiSu" w:cs="LiSu"/>
          <w:spacing w:val="-3"/>
          <w:sz w:val="14"/>
          <w:szCs w:val="14"/>
        </w:rPr>
        <w:t xml:space="preserve">国家图书馆站 </w:t>
      </w:r>
      <w:r>
        <w:rPr>
          <w:spacing w:val="-2"/>
          <w:sz w:val="14"/>
          <w:szCs w:val="14"/>
        </w:rPr>
        <w:t>National</w:t>
      </w:r>
      <w:r>
        <w:rPr>
          <w:spacing w:val="8"/>
          <w:sz w:val="14"/>
          <w:szCs w:val="14"/>
        </w:rPr>
        <w:t xml:space="preserve">  </w:t>
      </w:r>
      <w:r>
        <w:rPr>
          <w:spacing w:val="-2"/>
          <w:sz w:val="14"/>
          <w:szCs w:val="14"/>
        </w:rPr>
        <w:t>Uibrary</w:t>
      </w:r>
    </w:p>
    <w:p>
      <w:pPr>
        <w:spacing w:before="22"/>
      </w:pPr>
    </w:p>
    <w:p>
      <w:pPr>
        <w:spacing w:before="21"/>
      </w:pPr>
    </w:p>
    <w:p>
      <w:pPr>
        <w:spacing w:before="21"/>
      </w:pPr>
    </w:p>
    <w:p>
      <w:pPr>
        <w:spacing w:before="21"/>
      </w:pP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tbl>
      <w:tblPr>
        <w:tblStyle w:val="TableNormal12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44"/>
        <w:gridCol w:w="843"/>
      </w:tblGrid>
      <w:tr>
        <w:tblPrEx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996"/>
        </w:trPr>
        <w:tc>
          <w:tcPr>
            <w:tcW w:w="844" w:type="dxa"/>
            <w:textDirection w:val="tbRlV"/>
          </w:tcPr>
          <w:p>
            <w:pPr>
              <w:spacing w:before="302" w:line="205" w:lineRule="auto"/>
              <w:rPr>
                <w:rFonts w:ascii="FZYaoTi" w:eastAsia="FZYaoTi" w:hAnsi="FZYaoTi" w:cs="FZYaoTi"/>
                <w:sz w:val="16"/>
                <w:szCs w:val="16"/>
              </w:rPr>
            </w:pPr>
            <w:r>
              <w:pict>
                <v:shape id="文本框 19" o:spid="_x0000_s1047" type="#_x0000_t202" style="width:32.6pt;height:15.65pt;margin-top:73.5pt;margin-left:-1pt;mso-position-horizontal-relative:page;mso-position-vertical-relative:page;position:absolute;z-index:251673600" filled="f" stroked="f">
                  <o:lock v:ext="edit" aspectratio="f"/>
                  <v:textbox inset="0,0,0,0">
                    <w:txbxContent>
                      <w:p>
                        <w:pPr>
                          <w:spacing w:before="20" w:line="175" w:lineRule="auto"/>
                          <w:ind w:left="30"/>
                          <w:rPr>
                            <w:rFonts w:ascii="LiSu" w:eastAsia="LiSu" w:hAnsi="LiSu" w:cs="LiSu"/>
                            <w:sz w:val="13"/>
                            <w:szCs w:val="13"/>
                          </w:rPr>
                        </w:pPr>
                        <w:r>
                          <w:rPr>
                            <w:rFonts w:ascii="LiSu" w:eastAsia="LiSu" w:hAnsi="LiSu" w:cs="LiSu"/>
                            <w:spacing w:val="-1"/>
                            <w:sz w:val="13"/>
                            <w:szCs w:val="13"/>
                          </w:rPr>
                          <w:t>西真门站</w:t>
                        </w:r>
                      </w:p>
                      <w:p>
                        <w:pPr>
                          <w:spacing w:before="33" w:line="185" w:lineRule="auto"/>
                          <w:ind w:left="20"/>
                          <w:rPr>
                            <w:rFonts w:ascii="Times New Roman" w:eastAsia="Times New Roman" w:hAnsi="Times New Roman" w:cs="Times New Roman"/>
                            <w:sz w:val="13"/>
                            <w:szCs w:val="1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pacing w:val="-4"/>
                            <w:sz w:val="13"/>
                            <w:szCs w:val="13"/>
                          </w:rPr>
                          <w:t>XIZHIMEN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20" o:spid="_x0000_s1048" type="#_x0000_t202" style="width:22.4pt;height:8.5pt;margin-top:94.35pt;margin-left:20pt;mso-position-horizontal-relative:page;mso-position-vertical-relative:page;position:absolute;z-index:251672576" filled="f" stroked="f">
                  <o:lock v:ext="edit" aspectratio="f"/>
                  <v:textbox inset="0,0,0,0">
                    <w:txbxContent>
                      <w:p>
                        <w:pPr>
                          <w:spacing w:before="19" w:line="171" w:lineRule="auto"/>
                          <w:ind w:left="20"/>
                          <w:rPr>
                            <w:rFonts w:ascii="LiSu" w:eastAsia="LiSu" w:hAnsi="LiSu" w:cs="LiSu"/>
                            <w:sz w:val="14"/>
                            <w:szCs w:val="14"/>
                          </w:rPr>
                        </w:pPr>
                        <w:r>
                          <w:rPr>
                            <w:rFonts w:ascii="LiSu" w:eastAsia="LiSu" w:hAnsi="LiSu" w:cs="LiSu"/>
                            <w:spacing w:val="-1"/>
                            <w:sz w:val="14"/>
                            <w:szCs w:val="14"/>
                          </w:rPr>
                          <w:t>否四</w:t>
                        </w:r>
                        <w:r>
                          <w:rPr>
                            <w:rFonts w:ascii="LiSu" w:eastAsia="LiSu" w:hAnsi="LiSu" w:cs="LiSu"/>
                            <w:color w:val="007D7D"/>
                            <w:spacing w:val="-1"/>
                            <w:sz w:val="14"/>
                            <w:szCs w:val="14"/>
                          </w:rPr>
                          <w:t>站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FZYaoTi" w:eastAsia="FZYaoTi" w:hAnsi="FZYaoTi" w:cs="FZYaoTi"/>
                <w:sz w:val="16"/>
                <w:szCs w:val="16"/>
              </w:rPr>
              <w:t>号</w:t>
            </w:r>
            <w:r>
              <w:rPr>
                <w:rFonts w:ascii="FZYaoTi" w:eastAsia="FZYaoTi" w:hAnsi="FZYaoTi" w:cs="FZYaoTi"/>
                <w:spacing w:val="23"/>
                <w:sz w:val="16"/>
                <w:szCs w:val="16"/>
              </w:rPr>
              <w:t xml:space="preserve"> </w:t>
            </w:r>
            <w:r>
              <w:rPr>
                <w:rFonts w:ascii="FZYaoTi" w:eastAsia="FZYaoTi" w:hAnsi="FZYaoTi" w:cs="FZYaoTi"/>
                <w:sz w:val="16"/>
                <w:szCs w:val="16"/>
              </w:rPr>
              <w:t>线</w:t>
            </w:r>
            <w:r>
              <w:rPr>
                <w:rFonts w:ascii="FZYaoTi" w:eastAsia="FZYaoTi" w:hAnsi="FZYaoTi" w:cs="FZYaoTi"/>
                <w:spacing w:val="20"/>
                <w:w w:val="102"/>
                <w:sz w:val="16"/>
                <w:szCs w:val="16"/>
              </w:rPr>
              <w:t xml:space="preserve"> </w:t>
            </w:r>
            <w:r>
              <w:rPr>
                <w:rFonts w:ascii="FZYaoTi" w:eastAsia="FZYaoTi" w:hAnsi="FZYaoTi" w:cs="FZYaoTi"/>
                <w:sz w:val="16"/>
                <w:szCs w:val="16"/>
              </w:rPr>
              <w:t>换</w:t>
            </w:r>
            <w:r>
              <w:rPr>
                <w:rFonts w:ascii="FZYaoTi" w:eastAsia="FZYaoTi" w:hAnsi="FZYaoTi" w:cs="FZYaoTi"/>
                <w:spacing w:val="20"/>
                <w:w w:val="101"/>
                <w:sz w:val="16"/>
                <w:szCs w:val="16"/>
              </w:rPr>
              <w:t xml:space="preserve"> </w:t>
            </w:r>
            <w:r>
              <w:rPr>
                <w:rFonts w:ascii="FZYaoTi" w:eastAsia="FZYaoTi" w:hAnsi="FZYaoTi" w:cs="FZYaoTi"/>
                <w:sz w:val="16"/>
                <w:szCs w:val="16"/>
              </w:rPr>
              <w:t>案</w:t>
            </w:r>
            <w:r>
              <w:rPr>
                <w:rFonts w:ascii="FZYaoTi" w:eastAsia="FZYaoTi" w:hAnsi="FZYaoTi" w:cs="FZYaoTi"/>
                <w:spacing w:val="21"/>
                <w:sz w:val="16"/>
                <w:szCs w:val="16"/>
              </w:rPr>
              <w:t xml:space="preserve"> </w:t>
            </w:r>
            <w:r>
              <w:rPr>
                <w:rFonts w:ascii="FZYaoTi" w:eastAsia="FZYaoTi" w:hAnsi="FZYaoTi" w:cs="FZYaoTi"/>
                <w:sz w:val="16"/>
                <w:szCs w:val="16"/>
              </w:rPr>
              <w:t>站</w:t>
            </w:r>
          </w:p>
        </w:tc>
        <w:tc>
          <w:tcPr>
            <w:tcW w:w="843" w:type="dxa"/>
          </w:tcPr>
          <w:p>
            <w:pPr>
              <w:spacing w:line="271" w:lineRule="auto"/>
            </w:pPr>
          </w:p>
          <w:p>
            <w:pPr>
              <w:spacing w:line="271" w:lineRule="auto"/>
            </w:pPr>
          </w:p>
          <w:p>
            <w:pPr>
              <w:spacing w:line="271" w:lineRule="auto"/>
            </w:pPr>
          </w:p>
          <w:p>
            <w:pPr>
              <w:spacing w:line="271" w:lineRule="auto"/>
            </w:pPr>
          </w:p>
          <w:p>
            <w:pPr>
              <w:spacing w:before="45" w:line="172" w:lineRule="auto"/>
              <w:ind w:left="16"/>
              <w:rPr>
                <w:rFonts w:ascii="LiSu" w:eastAsia="LiSu" w:hAnsi="LiSu" w:cs="LiSu"/>
                <w:sz w:val="14"/>
                <w:szCs w:val="14"/>
              </w:rPr>
            </w:pPr>
            <w:r>
              <w:rPr>
                <w:rFonts w:ascii="LiSu" w:eastAsia="LiSu" w:hAnsi="LiSu" w:cs="LiSu"/>
                <w:spacing w:val="-2"/>
                <w:sz w:val="14"/>
                <w:szCs w:val="14"/>
              </w:rPr>
              <w:t>斯街口站</w:t>
            </w:r>
          </w:p>
          <w:p>
            <w:pPr>
              <w:spacing w:before="24" w:line="198" w:lineRule="auto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XINJIEKOU</w:t>
            </w:r>
          </w:p>
          <w:p>
            <w:pPr>
              <w:spacing w:before="102" w:line="171" w:lineRule="auto"/>
              <w:ind w:left="105"/>
              <w:rPr>
                <w:rFonts w:ascii="LiSu" w:eastAsia="LiSu" w:hAnsi="LiSu" w:cs="LiSu"/>
                <w:sz w:val="14"/>
                <w:szCs w:val="14"/>
              </w:rPr>
            </w:pPr>
            <w:r>
              <w:rPr>
                <w:rFonts w:ascii="LiSu" w:eastAsia="LiSu" w:hAnsi="LiSu" w:cs="LiSu"/>
                <w:spacing w:val="-5"/>
                <w:sz w:val="14"/>
                <w:szCs w:val="14"/>
              </w:rPr>
              <w:t>平安里站</w:t>
            </w:r>
          </w:p>
          <w:p>
            <w:pPr>
              <w:spacing w:before="64" w:line="198" w:lineRule="auto"/>
              <w:ind w:left="105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>PINGANU</w:t>
            </w:r>
          </w:p>
        </w:tc>
      </w:tr>
    </w:tbl>
    <w:p>
      <w:pPr>
        <w:spacing w:before="82" w:line="86" w:lineRule="exact"/>
        <w:ind w:left="529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1"/>
          <w:position w:val="-2"/>
          <w:sz w:val="14"/>
          <w:szCs w:val="14"/>
        </w:rPr>
        <w:t>XISI</w:t>
      </w:r>
    </w:p>
    <w:p>
      <w:pPr>
        <w:spacing w:line="91" w:lineRule="exact"/>
        <w:ind w:left="949"/>
        <w:rPr>
          <w:rFonts w:ascii="LiSu" w:eastAsia="LiSu" w:hAnsi="LiSu" w:cs="LiSu"/>
          <w:sz w:val="14"/>
          <w:szCs w:val="14"/>
        </w:rPr>
      </w:pPr>
      <w:r>
        <w:rPr>
          <w:rFonts w:ascii="LiSu" w:eastAsia="LiSu" w:hAnsi="LiSu" w:cs="LiSu"/>
          <w:spacing w:val="-1"/>
          <w:position w:val="-2"/>
          <w:sz w:val="14"/>
          <w:szCs w:val="14"/>
        </w:rPr>
        <w:t>灵镜胡同站</w:t>
      </w:r>
    </w:p>
    <w:p>
      <w:pPr>
        <w:pStyle w:val="BodyText"/>
        <w:spacing w:line="198" w:lineRule="auto"/>
        <w:ind w:left="949"/>
        <w:rPr>
          <w:sz w:val="18"/>
          <w:szCs w:val="18"/>
        </w:rPr>
      </w:pPr>
      <w:r>
        <w:rPr>
          <w:spacing w:val="-22"/>
          <w:sz w:val="18"/>
          <w:szCs w:val="18"/>
        </w:rPr>
        <w:t>LNGJING</w:t>
      </w:r>
      <w:r>
        <w:rPr>
          <w:spacing w:val="4"/>
          <w:sz w:val="18"/>
          <w:szCs w:val="18"/>
        </w:rPr>
        <w:t xml:space="preserve"> </w:t>
      </w:r>
      <w:r>
        <w:rPr>
          <w:spacing w:val="-22"/>
          <w:sz w:val="18"/>
          <w:szCs w:val="18"/>
        </w:rPr>
        <w:t>Hutong</w:t>
      </w:r>
    </w:p>
    <w:p>
      <w:pPr>
        <w:spacing w:line="198" w:lineRule="auto"/>
        <w:rPr>
          <w:sz w:val="18"/>
          <w:szCs w:val="18"/>
        </w:rPr>
        <w:sectPr>
          <w:footerReference w:type="default" r:id="rId34"/>
          <w:type w:val="continuous"/>
          <w:pgSz w:w="11910" w:h="16840"/>
          <w:pgMar w:top="845" w:right="999" w:bottom="1136" w:left="989" w:header="0" w:footer="957" w:gutter="0"/>
          <w:pgNumType w:start="27"/>
          <w:cols w:num="2" w:space="85" w:equalWidth="0">
            <w:col w:w="5695" w:space="85"/>
            <w:col w:w="4141" w:space="0"/>
          </w:cols>
        </w:sectPr>
      </w:pPr>
    </w:p>
    <w:p>
      <w:pPr>
        <w:spacing w:before="163" w:line="187" w:lineRule="auto"/>
        <w:ind w:left="6170"/>
        <w:rPr>
          <w:rFonts w:ascii="仿宋" w:eastAsia="仿宋" w:hAnsi="仿宋" w:cs="仿宋"/>
          <w:sz w:val="14"/>
          <w:szCs w:val="14"/>
        </w:rPr>
      </w:pPr>
      <w:r>
        <w:rPr>
          <w:rFonts w:ascii="仿宋" w:eastAsia="仿宋" w:hAnsi="仿宋" w:cs="仿宋"/>
          <w:spacing w:val="6"/>
          <w:sz w:val="14"/>
          <w:szCs w:val="14"/>
        </w:rPr>
        <w:t>西单姑</w:t>
      </w:r>
    </w:p>
    <w:p>
      <w:pPr>
        <w:spacing w:line="218" w:lineRule="auto"/>
        <w:ind w:left="6120"/>
        <w:rPr>
          <w:rFonts w:ascii="黑体" w:eastAsia="黑体" w:hAnsi="黑体" w:cs="黑体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xoANO</w:t>
      </w:r>
      <w:r>
        <w:rPr>
          <w:rFonts w:ascii="宋体" w:eastAsia="宋体" w:hAnsi="宋体" w:cs="宋体"/>
          <w:spacing w:val="18"/>
          <w:sz w:val="18"/>
          <w:szCs w:val="18"/>
        </w:rPr>
        <w:t>)1</w:t>
      </w:r>
      <w:r>
        <w:rPr>
          <w:rFonts w:ascii="黑体" w:eastAsia="黑体" w:hAnsi="黑体" w:cs="黑体"/>
          <w:spacing w:val="18"/>
          <w:sz w:val="18"/>
          <w:szCs w:val="18"/>
        </w:rPr>
        <w:t>号线换乘站</w:t>
      </w:r>
    </w:p>
    <w:p>
      <w:pPr>
        <w:pStyle w:val="BodyText"/>
        <w:spacing w:line="298" w:lineRule="auto"/>
      </w:pPr>
    </w:p>
    <w:p>
      <w:pPr>
        <w:spacing w:before="46" w:line="235" w:lineRule="exact"/>
        <w:ind w:left="5939"/>
        <w:rPr>
          <w:rFonts w:ascii="LiSu" w:eastAsia="LiSu" w:hAnsi="LiSu" w:cs="LiSu"/>
          <w:sz w:val="14"/>
          <w:szCs w:val="14"/>
        </w:rPr>
      </w:pPr>
      <w:r>
        <w:pict>
          <v:shape id="文本框 21" o:spid="_x0000_s1049" type="#_x0000_t202" style="width:50.25pt;height:8.95pt;margin-top:0.95pt;margin-left:341.5pt;position:absolute;z-index:251674624" filled="f" stroked="f">
            <o:lock v:ext="edit" aspectratio="f"/>
            <v:textbox inset="0,0,0,0">
              <w:txbxContent>
                <w:p>
                  <w:pPr>
                    <w:spacing w:before="19" w:line="183" w:lineRule="auto"/>
                    <w:ind w:left="20"/>
                    <w:rPr>
                      <w:rFonts w:ascii="LiSu" w:eastAsia="LiSu" w:hAnsi="LiSu" w:cs="LiSu"/>
                      <w:sz w:val="14"/>
                      <w:szCs w:val="14"/>
                    </w:rPr>
                  </w:pPr>
                  <w:r>
                    <w:rPr>
                      <w:rFonts w:ascii="LiSu" w:eastAsia="LiSu" w:hAnsi="LiSu" w:cs="LiSu"/>
                      <w:spacing w:val="-4"/>
                      <w:sz w:val="14"/>
                      <w:szCs w:val="14"/>
                    </w:rPr>
                    <w:t>2</w:t>
                  </w:r>
                  <w:r>
                    <w:rPr>
                      <w:rFonts w:ascii="LiSu" w:eastAsia="LiSu" w:hAnsi="LiSu" w:cs="LiSu"/>
                      <w:spacing w:val="-2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LiSu" w:eastAsia="LiSu" w:hAnsi="LiSu" w:cs="LiSu"/>
                      <w:spacing w:val="-4"/>
                      <w:sz w:val="14"/>
                      <w:szCs w:val="14"/>
                    </w:rPr>
                    <w:t>号</w:t>
                  </w:r>
                  <w:r>
                    <w:rPr>
                      <w:rFonts w:ascii="LiSu" w:eastAsia="LiSu" w:hAnsi="LiSu" w:cs="LiSu"/>
                      <w:spacing w:val="-2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LiSu" w:eastAsia="LiSu" w:hAnsi="LiSu" w:cs="LiSu"/>
                      <w:spacing w:val="-4"/>
                      <w:sz w:val="14"/>
                      <w:szCs w:val="14"/>
                    </w:rPr>
                    <w:t>线</w:t>
                  </w:r>
                  <w:r>
                    <w:rPr>
                      <w:rFonts w:ascii="LiSu" w:eastAsia="LiSu" w:hAnsi="LiSu" w:cs="LiSu"/>
                      <w:spacing w:val="-2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LiSu" w:eastAsia="LiSu" w:hAnsi="LiSu" w:cs="LiSu"/>
                      <w:spacing w:val="-4"/>
                      <w:sz w:val="14"/>
                      <w:szCs w:val="14"/>
                    </w:rPr>
                    <w:t>换</w:t>
                  </w:r>
                  <w:r>
                    <w:rPr>
                      <w:rFonts w:ascii="LiSu" w:eastAsia="LiSu" w:hAnsi="LiSu" w:cs="LiSu"/>
                      <w:spacing w:val="-29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LiSu" w:eastAsia="LiSu" w:hAnsi="LiSu" w:cs="LiSu"/>
                      <w:spacing w:val="-4"/>
                      <w:sz w:val="14"/>
                      <w:szCs w:val="14"/>
                    </w:rPr>
                    <w:t>乘</w:t>
                  </w:r>
                  <w:r>
                    <w:rPr>
                      <w:rFonts w:ascii="LiSu" w:eastAsia="LiSu" w:hAnsi="LiSu" w:cs="LiSu"/>
                      <w:spacing w:val="-2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LiSu" w:eastAsia="LiSu" w:hAnsi="LiSu" w:cs="LiSu"/>
                      <w:spacing w:val="-4"/>
                      <w:sz w:val="14"/>
                      <w:szCs w:val="14"/>
                    </w:rPr>
                    <w:t>站</w:t>
                  </w:r>
                </w:p>
              </w:txbxContent>
            </v:textbox>
          </v:shape>
        </w:pict>
      </w:r>
      <w:r>
        <w:rPr>
          <w:rFonts w:ascii="LiSu" w:eastAsia="LiSu" w:hAnsi="LiSu" w:cs="LiSu"/>
          <w:spacing w:val="6"/>
          <w:position w:val="10"/>
          <w:sz w:val="14"/>
          <w:szCs w:val="14"/>
        </w:rPr>
        <w:t>直武门总，</w:t>
      </w:r>
    </w:p>
    <w:p>
      <w:pPr>
        <w:pStyle w:val="BodyText"/>
        <w:spacing w:line="195" w:lineRule="auto"/>
        <w:ind w:left="5649"/>
        <w:rPr>
          <w:sz w:val="11"/>
          <w:szCs w:val="11"/>
        </w:rPr>
      </w:pPr>
      <w:r>
        <w:rPr>
          <w:spacing w:val="-1"/>
          <w:sz w:val="11"/>
          <w:szCs w:val="11"/>
        </w:rPr>
        <w:t>XUANWUMEN</w:t>
      </w:r>
    </w:p>
    <w:p>
      <w:pPr>
        <w:spacing w:line="215" w:lineRule="exact"/>
      </w:pPr>
    </w:p>
    <w:p>
      <w:pPr>
        <w:spacing w:line="215" w:lineRule="exact"/>
        <w:sectPr>
          <w:footerReference w:type="default" r:id="rId35"/>
          <w:type w:val="continuous"/>
          <w:pgSz w:w="11910" w:h="16840"/>
          <w:pgMar w:top="845" w:right="999" w:bottom="1136" w:left="989" w:header="0" w:footer="957" w:gutter="0"/>
          <w:pgNumType w:start="28"/>
          <w:cols w:space="708"/>
        </w:sectPr>
      </w:pPr>
    </w:p>
    <w:p>
      <w:pPr>
        <w:pStyle w:val="BodyText"/>
        <w:spacing w:before="20" w:line="190" w:lineRule="auto"/>
        <w:ind w:left="5870" w:right="25" w:firstLine="199"/>
        <w:rPr>
          <w:sz w:val="14"/>
          <w:szCs w:val="14"/>
        </w:rPr>
      </w:pPr>
      <w:r>
        <w:rPr>
          <w:rFonts w:ascii="LiSu" w:eastAsia="LiSu" w:hAnsi="LiSu" w:cs="LiSu"/>
          <w:spacing w:val="-7"/>
          <w:sz w:val="14"/>
          <w:szCs w:val="14"/>
        </w:rPr>
        <w:t>果市口站</w:t>
      </w:r>
      <w:r>
        <w:rPr>
          <w:rFonts w:ascii="LiSu" w:eastAsia="LiSu" w:hAnsi="LiSu" w:cs="LiSu"/>
          <w:spacing w:val="1"/>
          <w:sz w:val="14"/>
          <w:szCs w:val="14"/>
        </w:rPr>
        <w:t xml:space="preserve"> </w:t>
      </w:r>
      <w:r>
        <w:rPr>
          <w:spacing w:val="-1"/>
          <w:sz w:val="14"/>
          <w:szCs w:val="14"/>
        </w:rPr>
        <w:t>CASHIKOU</w:t>
      </w:r>
    </w:p>
    <w:p>
      <w:pPr>
        <w:spacing w:before="233" w:line="184" w:lineRule="auto"/>
        <w:ind w:left="5200"/>
        <w:rPr>
          <w:rFonts w:ascii="LiSu" w:eastAsia="LiSu" w:hAnsi="LiSu" w:cs="LiSu"/>
          <w:sz w:val="14"/>
          <w:szCs w:val="14"/>
        </w:rPr>
      </w:pPr>
      <w:r>
        <w:rPr>
          <w:rFonts w:ascii="宋体" w:eastAsia="宋体" w:hAnsi="宋体" w:cs="宋体"/>
          <w:spacing w:val="-5"/>
          <w:sz w:val="14"/>
          <w:szCs w:val="14"/>
        </w:rPr>
        <w:t>Beijing South</w:t>
      </w:r>
      <w:r>
        <w:rPr>
          <w:rFonts w:ascii="宋体" w:eastAsia="宋体" w:hAnsi="宋体" w:cs="宋体"/>
          <w:spacing w:val="4"/>
          <w:sz w:val="14"/>
          <w:szCs w:val="14"/>
        </w:rPr>
        <w:t xml:space="preserve">  </w:t>
      </w:r>
      <w:r>
        <w:rPr>
          <w:rFonts w:ascii="LiSu" w:eastAsia="LiSu" w:hAnsi="LiSu" w:cs="LiSu"/>
          <w:spacing w:val="-5"/>
          <w:sz w:val="14"/>
          <w:szCs w:val="14"/>
        </w:rPr>
        <w:t>京南站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278" w:line="175" w:lineRule="auto"/>
        <w:rPr>
          <w:rFonts w:ascii="LiSu" w:eastAsia="LiSu" w:hAnsi="LiSu" w:cs="LiSu"/>
          <w:sz w:val="14"/>
          <w:szCs w:val="14"/>
        </w:rPr>
      </w:pPr>
      <w:r>
        <w:rPr>
          <w:rFonts w:ascii="LiSu" w:eastAsia="LiSu" w:hAnsi="LiSu" w:cs="LiSu"/>
          <w:color w:val="0E98A8"/>
          <w:spacing w:val="-1"/>
          <w:sz w:val="14"/>
          <w:szCs w:val="14"/>
        </w:rPr>
        <w:t>肉</w:t>
      </w:r>
      <w:r>
        <w:rPr>
          <w:rFonts w:ascii="LiSu" w:eastAsia="LiSu" w:hAnsi="LiSu" w:cs="LiSu"/>
          <w:color w:val="0E98A8"/>
          <w:spacing w:val="-30"/>
          <w:sz w:val="14"/>
          <w:szCs w:val="14"/>
        </w:rPr>
        <w:t xml:space="preserve"> </w:t>
      </w:r>
      <w:r>
        <w:rPr>
          <w:rFonts w:ascii="LiSu" w:eastAsia="LiSu" w:hAnsi="LiSu" w:cs="LiSu"/>
          <w:spacing w:val="-1"/>
          <w:sz w:val="14"/>
          <w:szCs w:val="14"/>
        </w:rPr>
        <w:t>然亭站</w:t>
      </w:r>
    </w:p>
    <w:p>
      <w:pPr>
        <w:pStyle w:val="BodyText"/>
        <w:spacing w:before="46" w:line="198" w:lineRule="auto"/>
        <w:rPr>
          <w:sz w:val="14"/>
          <w:szCs w:val="14"/>
        </w:rPr>
      </w:pPr>
      <w:r>
        <w:rPr>
          <w:spacing w:val="-4"/>
          <w:sz w:val="14"/>
          <w:szCs w:val="14"/>
        </w:rPr>
        <w:t>TAORANTING</w:t>
      </w:r>
    </w:p>
    <w:p>
      <w:pPr>
        <w:spacing w:line="198" w:lineRule="auto"/>
        <w:rPr>
          <w:sz w:val="14"/>
          <w:szCs w:val="14"/>
        </w:rPr>
        <w:sectPr>
          <w:footerReference w:type="default" r:id="rId36"/>
          <w:type w:val="continuous"/>
          <w:pgSz w:w="11910" w:h="16840"/>
          <w:pgMar w:top="845" w:right="999" w:bottom="1136" w:left="989" w:header="0" w:footer="957" w:gutter="0"/>
          <w:pgNumType w:start="29"/>
          <w:cols w:num="2" w:space="100" w:equalWidth="0">
            <w:col w:w="6630" w:space="100"/>
            <w:col w:w="3191" w:space="0"/>
          </w:cols>
        </w:sectPr>
      </w:pPr>
    </w:p>
    <w:p>
      <w:pPr>
        <w:pStyle w:val="BodyText"/>
        <w:spacing w:before="57" w:line="198" w:lineRule="auto"/>
        <w:ind w:left="4859"/>
        <w:rPr>
          <w:sz w:val="14"/>
          <w:szCs w:val="14"/>
        </w:rPr>
      </w:pPr>
      <w:r>
        <w:rPr>
          <w:spacing w:val="-1"/>
          <w:sz w:val="14"/>
          <w:szCs w:val="14"/>
        </w:rPr>
        <w:t>Railway   Staton</w:t>
      </w:r>
    </w:p>
    <w:p>
      <w:pPr>
        <w:spacing w:before="85" w:line="219" w:lineRule="auto"/>
        <w:ind w:left="4839"/>
        <w:rPr>
          <w:rFonts w:ascii="LiSu" w:eastAsia="LiSu" w:hAnsi="LiSu" w:cs="LiSu"/>
          <w:sz w:val="15"/>
          <w:szCs w:val="15"/>
        </w:rPr>
      </w:pPr>
      <w:r>
        <w:rPr>
          <w:rFonts w:ascii="宋体" w:eastAsia="宋体" w:hAnsi="宋体" w:cs="宋体"/>
          <w:spacing w:val="28"/>
          <w:sz w:val="15"/>
          <w:szCs w:val="15"/>
        </w:rPr>
        <w:t>永定门至良乡传捣案址○</w:t>
      </w:r>
      <w:r>
        <w:rPr>
          <w:rFonts w:ascii="LiSu" w:eastAsia="LiSu" w:hAnsi="LiSu" w:cs="LiSu"/>
          <w:spacing w:val="28"/>
          <w:sz w:val="15"/>
          <w:szCs w:val="15"/>
        </w:rPr>
        <w:t>马家堡</w:t>
      </w:r>
    </w:p>
    <w:p>
      <w:pPr>
        <w:spacing w:before="49" w:line="188" w:lineRule="auto"/>
        <w:ind w:left="6729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spacing w:val="-1"/>
          <w:sz w:val="11"/>
          <w:szCs w:val="11"/>
        </w:rPr>
        <w:t>MAJIAPU</w:t>
      </w:r>
    </w:p>
    <w:p>
      <w:pPr>
        <w:spacing w:before="4" w:line="206" w:lineRule="exact"/>
        <w:ind w:left="6030"/>
        <w:rPr>
          <w:rFonts w:ascii="黑体" w:eastAsia="黑体" w:hAnsi="黑体" w:cs="黑体"/>
          <w:sz w:val="14"/>
          <w:szCs w:val="14"/>
        </w:rPr>
      </w:pPr>
      <w:r>
        <w:rPr>
          <w:rFonts w:ascii="黑体" w:eastAsia="黑体" w:hAnsi="黑体" w:cs="黑体"/>
          <w:spacing w:val="4"/>
          <w:position w:val="4"/>
          <w:sz w:val="14"/>
          <w:szCs w:val="14"/>
        </w:rPr>
        <w:t>角门西站</w:t>
      </w:r>
    </w:p>
    <w:p>
      <w:pPr>
        <w:spacing w:line="188" w:lineRule="auto"/>
        <w:ind w:left="563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JAOMEN</w:t>
      </w:r>
      <w:r>
        <w:rPr>
          <w:rFonts w:ascii="Times New Roman" w:eastAsia="Times New Roman" w:hAnsi="Times New Roman" w:cs="Times New Roman"/>
          <w:spacing w:val="6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West</w:t>
      </w:r>
    </w:p>
    <w:p>
      <w:pPr>
        <w:spacing w:before="19" w:line="174" w:lineRule="auto"/>
        <w:ind w:left="6729"/>
        <w:rPr>
          <w:rFonts w:ascii="LiSu" w:eastAsia="LiSu" w:hAnsi="LiSu" w:cs="LiSu"/>
          <w:sz w:val="14"/>
          <w:szCs w:val="14"/>
        </w:rPr>
      </w:pPr>
      <w:r>
        <w:rPr>
          <w:rFonts w:ascii="LiSu" w:eastAsia="LiSu" w:hAnsi="LiSu" w:cs="LiSu"/>
          <w:spacing w:val="-5"/>
          <w:w w:val="98"/>
          <w:sz w:val="14"/>
          <w:szCs w:val="14"/>
        </w:rPr>
        <w:t>公益西桥站</w:t>
      </w:r>
    </w:p>
    <w:p>
      <w:pPr>
        <w:pStyle w:val="BodyText"/>
        <w:spacing w:before="50" w:line="199" w:lineRule="auto"/>
        <w:ind w:left="6729"/>
        <w:rPr>
          <w:sz w:val="14"/>
          <w:szCs w:val="14"/>
        </w:rPr>
      </w:pPr>
      <w:r>
        <w:rPr>
          <w:spacing w:val="-6"/>
          <w:sz w:val="14"/>
          <w:szCs w:val="14"/>
        </w:rPr>
        <w:t>GONGYIXIQIAO</w:t>
      </w:r>
    </w:p>
    <w:p>
      <w:pPr>
        <w:pStyle w:val="BodyText"/>
        <w:spacing w:line="305" w:lineRule="auto"/>
      </w:pPr>
    </w:p>
    <w:p>
      <w:pPr>
        <w:spacing w:before="88" w:line="221" w:lineRule="auto"/>
        <w:ind w:left="30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4"/>
          <w:sz w:val="27"/>
          <w:szCs w:val="27"/>
        </w:rPr>
        <w:t>图1北京地铁4号线运行路线</w:t>
      </w:r>
    </w:p>
    <w:p>
      <w:pPr>
        <w:spacing w:before="255" w:line="222" w:lineRule="auto"/>
        <w:ind w:left="138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-16"/>
          <w:sz w:val="27"/>
          <w:szCs w:val="27"/>
        </w:rPr>
        <w:t>二</w:t>
      </w:r>
      <w:r>
        <w:rPr>
          <w:rFonts w:ascii="黑体" w:eastAsia="黑体" w:hAnsi="黑体" w:cs="黑体"/>
          <w:spacing w:val="-25"/>
          <w:sz w:val="27"/>
          <w:szCs w:val="27"/>
        </w:rPr>
        <w:t xml:space="preserve"> </w:t>
      </w:r>
      <w:r>
        <w:rPr>
          <w:rFonts w:ascii="黑体" w:eastAsia="黑体" w:hAnsi="黑体" w:cs="黑体"/>
          <w:b/>
          <w:bCs/>
          <w:spacing w:val="-16"/>
          <w:sz w:val="27"/>
          <w:szCs w:val="27"/>
        </w:rPr>
        <w:t>、运作模式</w:t>
      </w:r>
    </w:p>
    <w:p>
      <w:pPr>
        <w:spacing w:before="113" w:line="289" w:lineRule="auto"/>
        <w:ind w:left="830" w:right="754" w:firstLine="7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4"/>
          <w:sz w:val="27"/>
          <w:szCs w:val="27"/>
        </w:rPr>
        <w:t>(</w:t>
      </w:r>
      <w:r>
        <w:rPr>
          <w:rFonts w:ascii="仿宋" w:eastAsia="仿宋" w:hAnsi="仿宋" w:cs="仿宋"/>
          <w:spacing w:val="-6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一)具体模式   4号线工程投资建设分为</w:t>
      </w:r>
      <w:r>
        <w:rPr>
          <w:rFonts w:ascii="Times New Roman" w:eastAsia="Times New Roman" w:hAnsi="Times New Roman" w:cs="Times New Roman"/>
          <w:spacing w:val="14"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spacing w:val="-40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14"/>
          <w:sz w:val="27"/>
          <w:szCs w:val="27"/>
        </w:rPr>
        <w:t>、</w:t>
      </w:r>
      <w:r>
        <w:rPr>
          <w:rFonts w:ascii="Times New Roman" w:eastAsia="Times New Roman" w:hAnsi="Times New Roman" w:cs="Times New Roman"/>
          <w:spacing w:val="14"/>
          <w:sz w:val="27"/>
          <w:szCs w:val="27"/>
        </w:rPr>
        <w:t>B</w:t>
      </w:r>
      <w:r>
        <w:rPr>
          <w:rFonts w:ascii="仿宋" w:eastAsia="仿宋" w:hAnsi="仿宋" w:cs="仿宋"/>
          <w:spacing w:val="14"/>
          <w:sz w:val="27"/>
          <w:szCs w:val="27"/>
        </w:rPr>
        <w:t xml:space="preserve">两个相对独  </w:t>
      </w:r>
      <w:r>
        <w:rPr>
          <w:rFonts w:ascii="仿宋" w:eastAsia="仿宋" w:hAnsi="仿宋" w:cs="仿宋"/>
          <w:spacing w:val="10"/>
          <w:sz w:val="27"/>
          <w:szCs w:val="27"/>
        </w:rPr>
        <w:t xml:space="preserve">立的部分： </w:t>
      </w:r>
      <w:r>
        <w:rPr>
          <w:rFonts w:ascii="Times New Roman" w:eastAsia="Times New Roman" w:hAnsi="Times New Roman" w:cs="Times New Roman"/>
          <w:spacing w:val="10"/>
          <w:sz w:val="27"/>
          <w:szCs w:val="27"/>
        </w:rPr>
        <w:t>A</w:t>
      </w:r>
      <w:r>
        <w:rPr>
          <w:rFonts w:ascii="仿宋" w:eastAsia="仿宋" w:hAnsi="仿宋" w:cs="仿宋"/>
          <w:spacing w:val="10"/>
          <w:sz w:val="27"/>
          <w:szCs w:val="27"/>
        </w:rPr>
        <w:t>部分为洞体、车站等土建工程</w:t>
      </w:r>
      <w:r>
        <w:rPr>
          <w:rFonts w:ascii="仿宋" w:eastAsia="仿宋" w:hAnsi="仿宋" w:cs="仿宋"/>
          <w:spacing w:val="9"/>
          <w:sz w:val="27"/>
          <w:szCs w:val="27"/>
        </w:rPr>
        <w:t>，投资额约为107亿元，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约占项目总投资的70%,由北京市政府国有独资</w:t>
      </w:r>
      <w:r>
        <w:rPr>
          <w:rFonts w:ascii="仿宋" w:eastAsia="仿宋" w:hAnsi="仿宋" w:cs="仿宋"/>
          <w:spacing w:val="13"/>
          <w:sz w:val="27"/>
          <w:szCs w:val="27"/>
        </w:rPr>
        <w:t>企业京投公司成立的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"/>
          <w:sz w:val="27"/>
          <w:szCs w:val="27"/>
        </w:rPr>
        <w:t xml:space="preserve">全资子公司四号线公司负责； 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B</w:t>
      </w:r>
      <w:r>
        <w:rPr>
          <w:rFonts w:ascii="Times New Roman" w:eastAsia="Times New Roman" w:hAnsi="Times New Roman" w:cs="Times New Roman"/>
          <w:spacing w:val="-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"/>
          <w:sz w:val="27"/>
          <w:szCs w:val="27"/>
        </w:rPr>
        <w:t>部分为车</w:t>
      </w:r>
      <w:r>
        <w:rPr>
          <w:rFonts w:ascii="仿宋" w:eastAsia="仿宋" w:hAnsi="仿宋" w:cs="仿宋"/>
          <w:sz w:val="27"/>
          <w:szCs w:val="27"/>
        </w:rPr>
        <w:t xml:space="preserve">辆、信号等设备部分，投资 </w:t>
      </w:r>
      <w:r>
        <w:rPr>
          <w:rFonts w:ascii="仿宋" w:eastAsia="仿宋" w:hAnsi="仿宋" w:cs="仿宋"/>
          <w:spacing w:val="21"/>
          <w:sz w:val="27"/>
          <w:szCs w:val="27"/>
        </w:rPr>
        <w:t>额约为46亿元，约占项目总投资的30%,由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2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1"/>
          <w:sz w:val="27"/>
          <w:szCs w:val="27"/>
        </w:rPr>
        <w:t>项目公司北京京港</w:t>
      </w:r>
      <w:r>
        <w:rPr>
          <w:rFonts w:ascii="仿宋" w:eastAsia="仿宋" w:hAnsi="仿宋" w:cs="仿宋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17"/>
          <w:sz w:val="27"/>
          <w:szCs w:val="27"/>
        </w:rPr>
        <w:t>地铁有限公司(简称“京港地铁”)负责。京港地铁是</w:t>
      </w:r>
      <w:r>
        <w:rPr>
          <w:rFonts w:ascii="仿宋" w:eastAsia="仿宋" w:hAnsi="仿宋" w:cs="仿宋"/>
          <w:spacing w:val="16"/>
          <w:sz w:val="27"/>
          <w:szCs w:val="27"/>
        </w:rPr>
        <w:t>由京投公司、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香港地铁公司和首创集团按2:49:49的出资比例组建。</w:t>
      </w:r>
    </w:p>
    <w:p>
      <w:pPr>
        <w:spacing w:before="127" w:line="189" w:lineRule="auto"/>
        <w:ind w:left="19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4"/>
          <w:sz w:val="27"/>
          <w:szCs w:val="27"/>
        </w:rPr>
        <w:t>北京地铁4号线</w:t>
      </w:r>
      <w:r>
        <w:rPr>
          <w:rFonts w:ascii="仿宋" w:eastAsia="仿宋" w:hAnsi="仿宋" w:cs="仿宋"/>
          <w:spacing w:val="-5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仿宋" w:eastAsia="仿宋" w:hAnsi="仿宋" w:cs="仿宋"/>
          <w:spacing w:val="24"/>
          <w:sz w:val="27"/>
          <w:szCs w:val="27"/>
        </w:rPr>
        <w:t>模式如图2所示。</w:t>
      </w:r>
    </w:p>
    <w:p>
      <w:pPr>
        <w:spacing w:line="189" w:lineRule="auto"/>
        <w:rPr>
          <w:rFonts w:ascii="仿宋" w:eastAsia="仿宋" w:hAnsi="仿宋" w:cs="仿宋"/>
          <w:sz w:val="27"/>
          <w:szCs w:val="27"/>
        </w:rPr>
        <w:sectPr>
          <w:footerReference w:type="default" r:id="rId37"/>
          <w:type w:val="continuous"/>
          <w:pgSz w:w="11910" w:h="16840"/>
          <w:pgMar w:top="845" w:right="999" w:bottom="1136" w:left="989" w:header="0" w:footer="957" w:gutter="0"/>
          <w:pgNumType w:start="30"/>
          <w:cols w:space="708"/>
        </w:sectPr>
      </w:pPr>
    </w:p>
    <w:tbl>
      <w:tblPr>
        <w:tblStyle w:val="TableNormal13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30"/>
        <w:gridCol w:w="4670"/>
        <w:gridCol w:w="272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3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23"/>
            </w:pPr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8" w:line="219" w:lineRule="auto"/>
              <w:ind w:left="130"/>
            </w:pPr>
            <w:r>
              <w:rPr>
                <w:spacing w:val="3"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40000"/>
                <w:spacing w:val="-4"/>
              </w:rPr>
              <w:t>书山有路勤为径，学海无涯苦作舟</w:t>
            </w:r>
          </w:p>
        </w:tc>
        <w:tc>
          <w:tcPr>
            <w:tcW w:w="2720" w:type="dxa"/>
            <w:tcBorders>
              <w:right w:val="nil"/>
            </w:tcBorders>
          </w:tcPr>
          <w:p>
            <w:pPr>
              <w:spacing w:line="255" w:lineRule="auto"/>
            </w:pPr>
          </w:p>
          <w:p>
            <w:pPr>
              <w:pStyle w:val="TableText"/>
              <w:spacing w:before="78" w:line="219" w:lineRule="auto"/>
              <w:ind w:left="135"/>
            </w:pPr>
            <w:r>
              <w:rPr>
                <w:spacing w:val="1"/>
              </w:rPr>
              <w:t>页码：第21页共79页</w:t>
            </w:r>
          </w:p>
        </w:tc>
      </w:tr>
    </w:tbl>
    <w:p>
      <w:pPr>
        <w:pStyle w:val="BodyText"/>
        <w:spacing w:line="277" w:lineRule="auto"/>
      </w:pPr>
    </w:p>
    <w:p>
      <w:pPr>
        <w:pStyle w:val="BodyText"/>
        <w:spacing w:line="278" w:lineRule="auto"/>
      </w:pPr>
    </w:p>
    <w:p>
      <w:pPr>
        <w:pStyle w:val="BodyText"/>
        <w:spacing w:line="278" w:lineRule="auto"/>
      </w:pPr>
    </w:p>
    <w:p>
      <w:pPr>
        <w:spacing w:before="62" w:line="222" w:lineRule="auto"/>
        <w:ind w:left="1742"/>
        <w:rPr>
          <w:rFonts w:ascii="黑体" w:eastAsia="黑体" w:hAnsi="黑体" w:cs="黑体"/>
          <w:sz w:val="19"/>
          <w:szCs w:val="19"/>
        </w:rPr>
      </w:pPr>
      <w:r>
        <w:pict>
          <v:shape id="IM 12" o:spid="_x0000_s1050" type="#_x0000_t75" style="width:405.5pt;height:285.5pt;margin-top:-25.1pt;margin-left:44pt;mso-wrap-distance-left:0;mso-wrap-distance-right:0;position:absolute;z-index:-251640832" o:preferrelative="t" filled="f" stroked="f">
            <v:fill o:detectmouseclick="t"/>
            <v:imagedata r:id="rId38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3"/>
          <w:sz w:val="19"/>
          <w:szCs w:val="19"/>
        </w:rPr>
        <w:t>京投公司</w:t>
      </w:r>
    </w:p>
    <w:p>
      <w:pPr>
        <w:spacing w:before="210" w:line="234" w:lineRule="auto"/>
        <w:ind w:left="3722"/>
        <w:rPr>
          <w:rFonts w:ascii="黑体" w:eastAsia="黑体" w:hAnsi="黑体" w:cs="黑体"/>
          <w:sz w:val="19"/>
          <w:szCs w:val="19"/>
        </w:rPr>
      </w:pPr>
      <w:r>
        <w:rPr>
          <w:rFonts w:ascii="黑体" w:eastAsia="黑体" w:hAnsi="黑体" w:cs="黑体"/>
          <w:b/>
          <w:bCs/>
          <w:spacing w:val="2"/>
          <w:position w:val="1"/>
          <w:sz w:val="19"/>
          <w:szCs w:val="19"/>
        </w:rPr>
        <w:t>京投</w:t>
      </w:r>
      <w:r>
        <w:rPr>
          <w:rFonts w:ascii="黑体" w:eastAsia="黑体" w:hAnsi="黑体" w:cs="黑体"/>
          <w:spacing w:val="17"/>
          <w:position w:val="1"/>
          <w:sz w:val="19"/>
          <w:szCs w:val="19"/>
        </w:rPr>
        <w:t xml:space="preserve">    </w:t>
      </w:r>
      <w:r>
        <w:rPr>
          <w:rFonts w:ascii="黑体" w:eastAsia="黑体" w:hAnsi="黑体" w:cs="黑体"/>
          <w:b/>
          <w:bCs/>
          <w:spacing w:val="2"/>
          <w:position w:val="-1"/>
          <w:sz w:val="19"/>
          <w:szCs w:val="19"/>
        </w:rPr>
        <w:t>港铁</w:t>
      </w:r>
      <w:r>
        <w:rPr>
          <w:rFonts w:ascii="黑体" w:eastAsia="黑体" w:hAnsi="黑体" w:cs="黑体"/>
          <w:spacing w:val="7"/>
          <w:position w:val="-1"/>
          <w:sz w:val="19"/>
          <w:szCs w:val="19"/>
        </w:rPr>
        <w:t xml:space="preserve">     </w:t>
      </w:r>
      <w:r>
        <w:rPr>
          <w:rFonts w:ascii="黑体" w:eastAsia="黑体" w:hAnsi="黑体" w:cs="黑体"/>
          <w:b/>
          <w:bCs/>
          <w:spacing w:val="2"/>
          <w:sz w:val="19"/>
          <w:szCs w:val="19"/>
        </w:rPr>
        <w:t>首创</w:t>
      </w:r>
    </w:p>
    <w:p>
      <w:pPr>
        <w:spacing w:before="300" w:line="194" w:lineRule="auto"/>
        <w:ind w:left="3769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pacing w:val="-4"/>
          <w:position w:val="-2"/>
          <w:sz w:val="19"/>
          <w:szCs w:val="19"/>
        </w:rPr>
        <w:t>2%</w:t>
      </w:r>
      <w:r>
        <w:rPr>
          <w:rFonts w:ascii="宋体" w:eastAsia="宋体" w:hAnsi="宋体" w:cs="宋体"/>
          <w:spacing w:val="8"/>
          <w:position w:val="-2"/>
          <w:sz w:val="19"/>
          <w:szCs w:val="19"/>
        </w:rPr>
        <w:t xml:space="preserve">       </w:t>
      </w:r>
      <w:r>
        <w:rPr>
          <w:rFonts w:ascii="宋体" w:eastAsia="宋体" w:hAnsi="宋体" w:cs="宋体"/>
          <w:spacing w:val="-4"/>
          <w:sz w:val="19"/>
          <w:szCs w:val="19"/>
        </w:rPr>
        <w:t>49%</w:t>
      </w:r>
      <w:r>
        <w:rPr>
          <w:rFonts w:ascii="宋体" w:eastAsia="宋体" w:hAnsi="宋体" w:cs="宋体"/>
          <w:spacing w:val="4"/>
          <w:sz w:val="19"/>
          <w:szCs w:val="19"/>
        </w:rPr>
        <w:t xml:space="preserve">      </w:t>
      </w:r>
      <w:r>
        <w:rPr>
          <w:rFonts w:ascii="宋体" w:eastAsia="宋体" w:hAnsi="宋体" w:cs="宋体"/>
          <w:b/>
          <w:bCs/>
          <w:spacing w:val="-4"/>
          <w:position w:val="1"/>
          <w:sz w:val="19"/>
          <w:szCs w:val="19"/>
        </w:rPr>
        <w:t>49%</w:t>
      </w:r>
    </w:p>
    <w:p>
      <w:pPr>
        <w:pStyle w:val="BodyText"/>
        <w:spacing w:line="242" w:lineRule="auto"/>
      </w:pPr>
    </w:p>
    <w:p>
      <w:pPr>
        <w:pStyle w:val="BodyText"/>
        <w:spacing w:line="243" w:lineRule="auto"/>
      </w:pPr>
    </w:p>
    <w:p>
      <w:pPr>
        <w:spacing w:before="62" w:line="198" w:lineRule="auto"/>
        <w:ind w:left="3872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b/>
          <w:bCs/>
          <w:spacing w:val="-10"/>
          <w:sz w:val="19"/>
          <w:szCs w:val="19"/>
        </w:rPr>
        <w:t>北京京港地扶有限公司</w:t>
      </w:r>
    </w:p>
    <w:p>
      <w:pPr>
        <w:spacing w:line="212" w:lineRule="auto"/>
        <w:ind w:left="4350"/>
        <w:rPr>
          <w:rFonts w:ascii="宋体" w:eastAsia="宋体" w:hAnsi="宋体" w:cs="宋体"/>
          <w:sz w:val="19"/>
          <w:szCs w:val="19"/>
        </w:rPr>
      </w:pPr>
      <w:r>
        <w:pict>
          <v:shape id="文本框 22" o:spid="_x0000_s1051" type="#_x0000_t202" style="width:39.55pt;height:13.45pt;margin-top:-3.7pt;margin-left:345.6pt;position:absolute;z-index:251678720" filled="f" stroked="f">
            <o:lock v:ext="edit" aspectratio="f"/>
            <v:textbox inset="0,0,0,0">
              <w:txbxContent>
                <w:p>
                  <w:pPr>
                    <w:spacing w:before="20" w:line="222" w:lineRule="auto"/>
                    <w:ind w:left="20"/>
                    <w:rPr>
                      <w:rFonts w:ascii="黑体" w:eastAsia="黑体" w:hAnsi="黑体" w:cs="黑体"/>
                      <w:sz w:val="19"/>
                      <w:szCs w:val="19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spacing w:val="-4"/>
                      <w:sz w:val="19"/>
                      <w:szCs w:val="19"/>
                    </w:rPr>
                    <w:t>市交通委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(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PPP</w:t>
      </w:r>
      <w:r>
        <w:rPr>
          <w:rFonts w:ascii="宋体" w:eastAsia="宋体" w:hAnsi="宋体" w:cs="宋体"/>
          <w:b/>
          <w:bCs/>
          <w:spacing w:val="1"/>
          <w:sz w:val="19"/>
          <w:szCs w:val="19"/>
        </w:rPr>
        <w:t>公司)</w:t>
      </w:r>
    </w:p>
    <w:p>
      <w:pPr>
        <w:pStyle w:val="BodyText"/>
        <w:spacing w:line="289" w:lineRule="auto"/>
      </w:pPr>
    </w:p>
    <w:p>
      <w:pPr>
        <w:pStyle w:val="BodyText"/>
        <w:spacing w:line="289" w:lineRule="auto"/>
      </w:pPr>
    </w:p>
    <w:p>
      <w:pPr>
        <w:pStyle w:val="BodyText"/>
        <w:spacing w:line="290" w:lineRule="auto"/>
      </w:pPr>
    </w:p>
    <w:p>
      <w:pPr>
        <w:pStyle w:val="BodyText"/>
        <w:spacing w:line="290" w:lineRule="auto"/>
      </w:pPr>
    </w:p>
    <w:p>
      <w:pPr>
        <w:spacing w:before="62" w:line="250" w:lineRule="exact"/>
        <w:ind w:left="4780"/>
        <w:rPr>
          <w:rFonts w:ascii="宋体" w:eastAsia="宋体" w:hAnsi="宋体" w:cs="宋体"/>
          <w:sz w:val="19"/>
          <w:szCs w:val="19"/>
        </w:rPr>
      </w:pPr>
      <w:r>
        <w:pict>
          <v:shape id="文本框 23" o:spid="_x0000_s1052" type="#_x0000_t202" style="width:73.55pt;height:13.3pt;margin-top:8.1pt;margin-left:118.1pt;position:absolute;z-index:251676672" filled="f" stroked="f">
            <o:lock v:ext="edit" aspectratio="f"/>
            <v:textbox inset="0,0,0,0">
              <w:txbxContent>
                <w:p>
                  <w:pPr>
                    <w:spacing w:before="20" w:line="219" w:lineRule="auto"/>
                    <w:ind w:left="20"/>
                    <w:rPr>
                      <w:rFonts w:ascii="宋体" w:eastAsia="宋体" w:hAnsi="宋体" w:cs="宋体"/>
                      <w:sz w:val="19"/>
                      <w:szCs w:val="19"/>
                    </w:rPr>
                  </w:pPr>
                  <w:r>
                    <w:rPr>
                      <w:rFonts w:ascii="宋体" w:eastAsia="宋体" w:hAnsi="宋体" w:cs="宋体"/>
                      <w:b/>
                      <w:bCs/>
                      <w:spacing w:val="-1"/>
                      <w:sz w:val="19"/>
                      <w:szCs w:val="19"/>
                    </w:rPr>
                    <w:t>A部分</w:t>
                  </w:r>
                  <w:r>
                    <w:rPr>
                      <w:rFonts w:ascii="宋体" w:eastAsia="宋体" w:hAnsi="宋体" w:cs="宋体"/>
                      <w:spacing w:val="15"/>
                      <w:sz w:val="19"/>
                      <w:szCs w:val="19"/>
                    </w:rPr>
                    <w:t xml:space="preserve">    </w:t>
                  </w:r>
                  <w:r>
                    <w:rPr>
                      <w:rFonts w:ascii="宋体" w:eastAsia="宋体" w:hAnsi="宋体" w:cs="宋体"/>
                      <w:b/>
                      <w:bCs/>
                      <w:spacing w:val="-1"/>
                      <w:sz w:val="19"/>
                      <w:szCs w:val="19"/>
                    </w:rPr>
                    <w:t>B</w:t>
                  </w:r>
                  <w:r>
                    <w:rPr>
                      <w:rFonts w:ascii="宋体" w:eastAsia="宋体" w:hAnsi="宋体" w:cs="宋体"/>
                      <w:spacing w:val="-57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b/>
                      <w:bCs/>
                      <w:spacing w:val="-1"/>
                      <w:sz w:val="19"/>
                      <w:szCs w:val="19"/>
                    </w:rPr>
                    <w:t>部分</w:t>
                  </w:r>
                </w:p>
              </w:txbxContent>
            </v:textbox>
          </v:shape>
        </w:pict>
      </w:r>
      <w:r>
        <w:pict>
          <v:shape id="文本框 24" o:spid="_x0000_s1053" type="#_x0000_t202" style="width:63.7pt;height:13.3pt;margin-top:8.1pt;margin-left:349.1pt;position:absolute;z-index:251677696" filled="f" stroked="f">
            <o:lock v:ext="edit" aspectratio="f"/>
            <v:textbox inset="0,0,0,0">
              <w:txbxContent>
                <w:p>
                  <w:pPr>
                    <w:spacing w:before="20" w:line="219" w:lineRule="auto"/>
                    <w:ind w:left="20"/>
                    <w:rPr>
                      <w:rFonts w:ascii="宋体" w:eastAsia="宋体" w:hAnsi="宋体" w:cs="宋体"/>
                      <w:sz w:val="19"/>
                      <w:szCs w:val="19"/>
                    </w:rPr>
                  </w:pPr>
                  <w:r>
                    <w:rPr>
                      <w:rFonts w:ascii="宋体" w:eastAsia="宋体" w:hAnsi="宋体" w:cs="宋体"/>
                      <w:b/>
                      <w:bCs/>
                      <w:spacing w:val="-7"/>
                      <w:sz w:val="19"/>
                      <w:szCs w:val="19"/>
                    </w:rPr>
                    <w:t>B</w:t>
                  </w:r>
                  <w:r>
                    <w:rPr>
                      <w:rFonts w:ascii="宋体" w:eastAsia="宋体" w:hAnsi="宋体" w:cs="宋体"/>
                      <w:spacing w:val="-57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b/>
                      <w:bCs/>
                      <w:spacing w:val="-7"/>
                      <w:sz w:val="19"/>
                      <w:szCs w:val="19"/>
                    </w:rPr>
                    <w:t>部分项目设施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bCs/>
          <w:spacing w:val="-8"/>
          <w:position w:val="4"/>
          <w:sz w:val="19"/>
          <w:szCs w:val="19"/>
        </w:rPr>
        <w:t>A</w:t>
      </w:r>
      <w:r>
        <w:rPr>
          <w:rFonts w:ascii="宋体" w:eastAsia="宋体" w:hAnsi="宋体" w:cs="宋体"/>
          <w:b/>
          <w:bCs/>
          <w:spacing w:val="-8"/>
          <w:position w:val="4"/>
          <w:sz w:val="19"/>
          <w:szCs w:val="19"/>
        </w:rPr>
        <w:t>部分+</w:t>
      </w:r>
      <w:r>
        <w:rPr>
          <w:rFonts w:ascii="Times New Roman" w:eastAsia="Times New Roman" w:hAnsi="Times New Roman" w:cs="Times New Roman"/>
          <w:b/>
          <w:bCs/>
          <w:spacing w:val="-8"/>
          <w:position w:val="4"/>
          <w:sz w:val="19"/>
          <w:szCs w:val="19"/>
        </w:rPr>
        <w:t>B</w:t>
      </w:r>
      <w:r>
        <w:rPr>
          <w:rFonts w:ascii="宋体" w:eastAsia="宋体" w:hAnsi="宋体" w:cs="宋体"/>
          <w:b/>
          <w:bCs/>
          <w:spacing w:val="-8"/>
          <w:position w:val="4"/>
          <w:sz w:val="19"/>
          <w:szCs w:val="19"/>
        </w:rPr>
        <w:t>部分</w:t>
      </w:r>
    </w:p>
    <w:p>
      <w:pPr>
        <w:spacing w:line="219" w:lineRule="auto"/>
        <w:ind w:left="4912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b/>
          <w:bCs/>
          <w:spacing w:val="-9"/>
          <w:sz w:val="19"/>
          <w:szCs w:val="19"/>
        </w:rPr>
        <w:t>全部资产</w:t>
      </w: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spacing w:before="87" w:line="222" w:lineRule="auto"/>
        <w:ind w:left="30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4"/>
          <w:sz w:val="27"/>
          <w:szCs w:val="27"/>
        </w:rPr>
        <w:t>图</w:t>
      </w:r>
      <w:r>
        <w:rPr>
          <w:rFonts w:ascii="仿宋" w:eastAsia="仿宋" w:hAnsi="仿宋" w:cs="仿宋"/>
          <w:spacing w:val="-3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2 北京地铁4号线的</w:t>
      </w:r>
      <w:r>
        <w:rPr>
          <w:rFonts w:ascii="仿宋" w:eastAsia="仿宋" w:hAnsi="仿宋" w:cs="仿宋"/>
          <w:spacing w:val="-61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5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模式</w:t>
      </w:r>
    </w:p>
    <w:p>
      <w:pPr>
        <w:spacing w:before="225" w:line="301" w:lineRule="auto"/>
        <w:ind w:left="809" w:right="803" w:firstLine="87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0"/>
          <w:sz w:val="27"/>
          <w:szCs w:val="27"/>
        </w:rPr>
        <w:t xml:space="preserve">4号线项目竣工验收后，京港地铁通过租赁取得四号线公司的 </w:t>
      </w:r>
      <w:r>
        <w:rPr>
          <w:rFonts w:ascii="宋体" w:eastAsia="宋体" w:hAnsi="宋体" w:cs="宋体"/>
          <w:spacing w:val="9"/>
          <w:sz w:val="27"/>
          <w:szCs w:val="27"/>
        </w:rPr>
        <w:t>A</w:t>
      </w:r>
      <w:r>
        <w:rPr>
          <w:rFonts w:ascii="宋体" w:eastAsia="宋体" w:hAnsi="宋体" w:cs="宋体"/>
          <w:spacing w:val="-6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部分资产的使用权。京港地铁负责4号线</w:t>
      </w:r>
      <w:r>
        <w:rPr>
          <w:rFonts w:ascii="仿宋" w:eastAsia="仿宋" w:hAnsi="仿宋" w:cs="仿宋"/>
          <w:spacing w:val="8"/>
          <w:sz w:val="27"/>
          <w:szCs w:val="27"/>
        </w:rPr>
        <w:t>的运营管理、全部设施(包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括</w:t>
      </w:r>
      <w:r>
        <w:rPr>
          <w:rFonts w:ascii="宋体" w:eastAsia="宋体" w:hAnsi="宋体" w:cs="宋体"/>
          <w:spacing w:val="8"/>
          <w:sz w:val="27"/>
          <w:szCs w:val="27"/>
        </w:rPr>
        <w:t>A</w:t>
      </w:r>
      <w:r>
        <w:rPr>
          <w:rFonts w:ascii="宋体" w:eastAsia="宋体" w:hAnsi="宋体" w:cs="宋体"/>
          <w:spacing w:val="-4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和</w:t>
      </w:r>
      <w:r>
        <w:rPr>
          <w:rFonts w:ascii="仿宋" w:eastAsia="仿宋" w:hAnsi="仿宋" w:cs="仿宋"/>
          <w:spacing w:val="-58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8"/>
          <w:sz w:val="27"/>
          <w:szCs w:val="27"/>
        </w:rPr>
        <w:t xml:space="preserve">B </w:t>
      </w:r>
      <w:r>
        <w:rPr>
          <w:rFonts w:ascii="仿宋" w:eastAsia="仿宋" w:hAnsi="仿宋" w:cs="仿宋"/>
          <w:spacing w:val="8"/>
          <w:sz w:val="27"/>
          <w:szCs w:val="27"/>
        </w:rPr>
        <w:t>两部分)的维护和除洞体外的资产更新，以及站内的商业经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营，通过地铁票款收入及站内商业经营收入回收投资并获得合理投资</w:t>
      </w:r>
    </w:p>
    <w:p>
      <w:pPr>
        <w:spacing w:line="223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2"/>
          <w:sz w:val="27"/>
          <w:szCs w:val="27"/>
        </w:rPr>
        <w:t>收益。</w:t>
      </w:r>
    </w:p>
    <w:p>
      <w:pPr>
        <w:spacing w:before="110" w:line="442" w:lineRule="exact"/>
        <w:ind w:left="139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position w:val="12"/>
          <w:sz w:val="27"/>
          <w:szCs w:val="27"/>
        </w:rPr>
        <w:t>30</w:t>
      </w:r>
      <w:r>
        <w:rPr>
          <w:rFonts w:ascii="仿宋" w:eastAsia="仿宋" w:hAnsi="仿宋" w:cs="仿宋"/>
          <w:spacing w:val="-31"/>
          <w:position w:val="1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position w:val="12"/>
          <w:sz w:val="27"/>
          <w:szCs w:val="27"/>
        </w:rPr>
        <w:t>年特许经营期结束后，京港地铁将</w:t>
      </w:r>
      <w:r>
        <w:rPr>
          <w:rFonts w:ascii="Times New Roman" w:eastAsia="Times New Roman" w:hAnsi="Times New Roman" w:cs="Times New Roman"/>
          <w:spacing w:val="9"/>
          <w:position w:val="12"/>
          <w:sz w:val="27"/>
          <w:szCs w:val="27"/>
        </w:rPr>
        <w:t>B</w:t>
      </w:r>
      <w:r>
        <w:rPr>
          <w:rFonts w:ascii="Times New Roman" w:eastAsia="Times New Roman" w:hAnsi="Times New Roman" w:cs="Times New Roman"/>
          <w:spacing w:val="-13"/>
          <w:position w:val="1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position w:val="12"/>
          <w:sz w:val="27"/>
          <w:szCs w:val="27"/>
        </w:rPr>
        <w:t>部分项目设施完好、无</w:t>
      </w:r>
    </w:p>
    <w:p>
      <w:pPr>
        <w:spacing w:before="1" w:line="221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0"/>
          <w:sz w:val="27"/>
          <w:szCs w:val="27"/>
        </w:rPr>
        <w:t>偿地移交给市政府指定部门，将</w:t>
      </w:r>
      <w:r>
        <w:rPr>
          <w:rFonts w:ascii="宋体" w:eastAsia="宋体" w:hAnsi="宋体" w:cs="宋体"/>
          <w:spacing w:val="10"/>
          <w:sz w:val="27"/>
          <w:szCs w:val="27"/>
        </w:rPr>
        <w:t>A</w:t>
      </w:r>
      <w:r>
        <w:rPr>
          <w:rFonts w:ascii="宋体" w:eastAsia="宋体" w:hAnsi="宋体" w:cs="宋体"/>
          <w:spacing w:val="-3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部分项目设施归还给四号线公司。</w:t>
      </w:r>
    </w:p>
    <w:p>
      <w:pPr>
        <w:spacing w:before="127" w:line="222" w:lineRule="auto"/>
        <w:ind w:left="15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5"/>
          <w:sz w:val="27"/>
          <w:szCs w:val="27"/>
        </w:rPr>
        <w:t>(二)实施流程</w:t>
      </w:r>
    </w:p>
    <w:p>
      <w:pPr>
        <w:spacing w:before="104" w:line="300" w:lineRule="auto"/>
        <w:ind w:left="809" w:right="807" w:firstLine="58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2"/>
          <w:sz w:val="27"/>
          <w:szCs w:val="27"/>
        </w:rPr>
        <w:t>4号线</w:t>
      </w:r>
      <w:r>
        <w:rPr>
          <w:rFonts w:ascii="仿宋" w:eastAsia="仿宋" w:hAnsi="仿宋" w:cs="仿宋"/>
          <w:spacing w:val="-6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仿宋" w:eastAsia="仿宋" w:hAnsi="仿宋" w:cs="仿宋"/>
          <w:spacing w:val="12"/>
          <w:sz w:val="27"/>
          <w:szCs w:val="27"/>
        </w:rPr>
        <w:t>项目实施过程大致可分为两个阶段，第一阶段为由北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京市发改委主导的实施方案编制和审批阶段；第二阶段为由北京市交</w:t>
      </w:r>
    </w:p>
    <w:p>
      <w:pPr>
        <w:spacing w:before="1" w:line="220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通委主导的投资人竞争性谈判比选阶段。</w:t>
      </w:r>
    </w:p>
    <w:p>
      <w:pPr>
        <w:spacing w:before="121" w:line="440" w:lineRule="exact"/>
        <w:ind w:left="19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9"/>
          <w:position w:val="12"/>
          <w:sz w:val="27"/>
          <w:szCs w:val="27"/>
        </w:rPr>
        <w:t>经市政府批准，北京市交通委与京港地铁于2006年4月12</w:t>
      </w:r>
    </w:p>
    <w:p>
      <w:pPr>
        <w:spacing w:line="222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sz w:val="27"/>
          <w:szCs w:val="27"/>
        </w:rPr>
        <w:t>日，正式签署了《特许经营协议》。</w:t>
      </w:r>
    </w:p>
    <w:p>
      <w:pPr>
        <w:spacing w:before="126" w:line="222" w:lineRule="auto"/>
        <w:ind w:left="15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7"/>
          <w:sz w:val="27"/>
          <w:szCs w:val="27"/>
        </w:rPr>
        <w:t>(三)协议体系</w:t>
      </w:r>
    </w:p>
    <w:p>
      <w:pPr>
        <w:spacing w:line="222" w:lineRule="auto"/>
        <w:rPr>
          <w:rFonts w:ascii="仿宋" w:eastAsia="仿宋" w:hAnsi="仿宋" w:cs="仿宋"/>
          <w:sz w:val="27"/>
          <w:szCs w:val="27"/>
        </w:rPr>
        <w:sectPr>
          <w:footerReference w:type="default" r:id="rId39"/>
          <w:pgSz w:w="11910" w:h="16840"/>
          <w:pgMar w:top="845" w:right="999" w:bottom="1192" w:left="989" w:header="0" w:footer="966" w:gutter="0"/>
          <w:pgNumType w:start="31"/>
          <w:cols w:space="708"/>
        </w:sectPr>
      </w:pPr>
    </w:p>
    <w:tbl>
      <w:tblPr>
        <w:tblStyle w:val="TableNormal14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90"/>
        <w:gridCol w:w="269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23"/>
            </w:pPr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4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9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78"/>
            </w:pPr>
            <w:r>
              <w:rPr>
                <w:b/>
                <w:bCs/>
                <w:color w:val="F40000"/>
                <w:spacing w:val="-4"/>
              </w:rPr>
              <w:t>书山有路勤为径，学海无涯苦作舟</w:t>
            </w:r>
          </w:p>
        </w:tc>
        <w:tc>
          <w:tcPr>
            <w:tcW w:w="269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页码：第22页共79页</w:t>
            </w:r>
          </w:p>
        </w:tc>
      </w:tr>
    </w:tbl>
    <w:p>
      <w:pPr>
        <w:pStyle w:val="BodyText"/>
        <w:spacing w:line="332" w:lineRule="auto"/>
      </w:pPr>
    </w:p>
    <w:p>
      <w:pPr>
        <w:spacing w:before="88" w:line="222" w:lineRule="auto"/>
        <w:ind w:left="199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8"/>
          <w:sz w:val="27"/>
          <w:szCs w:val="27"/>
        </w:rPr>
        <w:t>4号线</w:t>
      </w:r>
      <w:r>
        <w:rPr>
          <w:rFonts w:ascii="仿宋" w:eastAsia="仿宋" w:hAnsi="仿宋" w:cs="仿宋"/>
          <w:spacing w:val="-63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8"/>
          <w:sz w:val="27"/>
          <w:szCs w:val="27"/>
        </w:rPr>
        <w:t>项目的参与方较多，项目合同结构如</w:t>
      </w:r>
      <w:r>
        <w:rPr>
          <w:rFonts w:ascii="仿宋" w:eastAsia="仿宋" w:hAnsi="仿宋" w:cs="仿宋"/>
          <w:spacing w:val="17"/>
          <w:sz w:val="27"/>
          <w:szCs w:val="27"/>
        </w:rPr>
        <w:t>图3所示。</w:t>
      </w:r>
    </w:p>
    <w:p>
      <w:pPr>
        <w:pStyle w:val="BodyText"/>
        <w:spacing w:line="296" w:lineRule="auto"/>
      </w:pPr>
    </w:p>
    <w:p>
      <w:pPr>
        <w:pStyle w:val="BodyText"/>
        <w:spacing w:line="6540" w:lineRule="exact"/>
        <w:ind w:firstLine="750"/>
      </w:pPr>
      <w:r>
        <w:rPr>
          <w:position w:val="-130"/>
        </w:rPr>
        <w:pict>
          <v:group id="组合 25" o:spid="_x0000_i1054" style="width:419pt;height:327pt;mso-position-horizontal-relative:char;mso-position-vertical-relative:line" coordorigin="0,0" coordsize="8380,6540">
            <v:shape id="图片 26" o:spid="_x0000_s1055" type="#_x0000_t75" style="width:8380;height:6540;position:absolute" filled="f" stroked="f">
              <v:imagedata r:id="rId40" o:title=""/>
              <v:path o:extrusionok="f"/>
              <o:lock v:ext="edit" aspectratio="t"/>
            </v:shape>
            <v:shape id="文本框 27" o:spid="_x0000_s1056" type="#_x0000_t202" style="width:6302;height:6070;left:272;position:absolute;top:166" filled="f" stroked="f">
              <o:lock v:ext="edit" aspectratio="f"/>
              <v:textbox inset="0,0,0,0">
                <w:txbxContent>
                  <w:p>
                    <w:pPr>
                      <w:spacing w:before="19" w:line="219" w:lineRule="auto"/>
                      <w:ind w:left="3291"/>
                      <w:rPr>
                        <w:rFonts w:ascii="宋体" w:eastAsia="宋体" w:hAnsi="宋体" w:cs="宋体"/>
                        <w:sz w:val="27"/>
                        <w:szCs w:val="27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15"/>
                        <w:sz w:val="27"/>
                        <w:szCs w:val="27"/>
                      </w:rPr>
                      <w:t>北</w:t>
                    </w:r>
                    <w:r>
                      <w:rPr>
                        <w:rFonts w:ascii="宋体" w:eastAsia="宋体" w:hAnsi="宋体" w:cs="宋体"/>
                        <w:spacing w:val="-31"/>
                        <w:sz w:val="27"/>
                        <w:szCs w:val="2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b/>
                        <w:bCs/>
                        <w:spacing w:val="-15"/>
                        <w:sz w:val="27"/>
                        <w:szCs w:val="27"/>
                      </w:rPr>
                      <w:t>京</w:t>
                    </w:r>
                    <w:r>
                      <w:rPr>
                        <w:rFonts w:ascii="宋体" w:eastAsia="宋体" w:hAnsi="宋体" w:cs="宋体"/>
                        <w:spacing w:val="-30"/>
                        <w:sz w:val="27"/>
                        <w:szCs w:val="2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b/>
                        <w:bCs/>
                        <w:spacing w:val="-15"/>
                        <w:sz w:val="27"/>
                        <w:szCs w:val="27"/>
                      </w:rPr>
                      <w:t>市</w:t>
                    </w:r>
                    <w:r>
                      <w:rPr>
                        <w:rFonts w:ascii="宋体" w:eastAsia="宋体" w:hAnsi="宋体" w:cs="宋体"/>
                        <w:spacing w:val="-38"/>
                        <w:sz w:val="27"/>
                        <w:szCs w:val="2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b/>
                        <w:bCs/>
                        <w:spacing w:val="-15"/>
                        <w:sz w:val="27"/>
                        <w:szCs w:val="27"/>
                      </w:rPr>
                      <w:t>政</w:t>
                    </w:r>
                    <w:r>
                      <w:rPr>
                        <w:rFonts w:ascii="宋体" w:eastAsia="宋体" w:hAnsi="宋体" w:cs="宋体"/>
                        <w:spacing w:val="-38"/>
                        <w:sz w:val="27"/>
                        <w:szCs w:val="2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b/>
                        <w:bCs/>
                        <w:spacing w:val="-15"/>
                        <w:sz w:val="27"/>
                        <w:szCs w:val="27"/>
                      </w:rPr>
                      <w:t>府</w:t>
                    </w:r>
                  </w:p>
                  <w:p>
                    <w:pPr>
                      <w:spacing w:line="266" w:lineRule="auto"/>
                    </w:pPr>
                  </w:p>
                  <w:p>
                    <w:pPr>
                      <w:spacing w:line="266" w:lineRule="auto"/>
                    </w:pPr>
                  </w:p>
                  <w:p>
                    <w:pPr>
                      <w:spacing w:before="62" w:line="221" w:lineRule="auto"/>
                      <w:ind w:left="3290"/>
                      <w:rPr>
                        <w:rFonts w:ascii="黑体" w:eastAsia="黑体" w:hAnsi="黑体" w:cs="黑体"/>
                        <w:sz w:val="19"/>
                        <w:szCs w:val="19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15"/>
                        <w:sz w:val="19"/>
                        <w:szCs w:val="19"/>
                      </w:rPr>
                      <w:t>北京市交通委员会</w:t>
                    </w:r>
                  </w:p>
                  <w:p>
                    <w:pPr>
                      <w:spacing w:before="147" w:line="211" w:lineRule="auto"/>
                      <w:ind w:left="247"/>
                      <w:rPr>
                        <w:rFonts w:ascii="黑体" w:eastAsia="黑体" w:hAnsi="黑体" w:cs="黑体"/>
                        <w:sz w:val="19"/>
                        <w:szCs w:val="19"/>
                      </w:rPr>
                    </w:pPr>
                    <w:r>
                      <w:rPr>
                        <w:rFonts w:ascii="黑体" w:eastAsia="黑体" w:hAnsi="黑体" w:cs="黑体"/>
                        <w:spacing w:val="-10"/>
                        <w:sz w:val="19"/>
                        <w:szCs w:val="19"/>
                      </w:rPr>
                      <w:t>港铁公司</w:t>
                    </w:r>
                  </w:p>
                  <w:p>
                    <w:pPr>
                      <w:spacing w:line="191" w:lineRule="auto"/>
                      <w:ind w:left="377"/>
                      <w:rPr>
                        <w:rFonts w:ascii="Times New Roman" w:eastAsia="Times New Roman" w:hAnsi="Times New Roman" w:cs="Times New Roman"/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9"/>
                        <w:szCs w:val="19"/>
                      </w:rPr>
                      <w:t>OHR)</w:t>
                    </w:r>
                  </w:p>
                  <w:p>
                    <w:pPr>
                      <w:spacing w:before="207" w:line="219" w:lineRule="auto"/>
                      <w:ind w:left="3390"/>
                      <w:rPr>
                        <w:rFonts w:ascii="宋体" w:eastAsia="宋体" w:hAnsi="宋体" w:cs="宋体"/>
                        <w:sz w:val="27"/>
                        <w:szCs w:val="27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25"/>
                        <w:sz w:val="27"/>
                        <w:szCs w:val="27"/>
                      </w:rPr>
                      <w:t>特许经营协议</w:t>
                    </w:r>
                  </w:p>
                  <w:p>
                    <w:pPr>
                      <w:spacing w:before="47" w:line="216" w:lineRule="auto"/>
                      <w:ind w:left="20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8"/>
                        <w:sz w:val="18"/>
                        <w:szCs w:val="18"/>
                      </w:rPr>
                      <w:t>港铁北京四号线</w:t>
                    </w:r>
                  </w:p>
                  <w:p>
                    <w:pPr>
                      <w:spacing w:line="220" w:lineRule="auto"/>
                      <w:ind w:left="89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9"/>
                        <w:sz w:val="18"/>
                        <w:szCs w:val="18"/>
                      </w:rPr>
                      <w:t>投资有限公司</w:t>
                    </w:r>
                  </w:p>
                  <w:p>
                    <w:pPr>
                      <w:spacing w:line="430" w:lineRule="auto"/>
                    </w:pPr>
                  </w:p>
                  <w:p>
                    <w:pPr>
                      <w:spacing w:before="63" w:line="219" w:lineRule="auto"/>
                      <w:ind w:left="250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4"/>
                        <w:sz w:val="19"/>
                        <w:szCs w:val="19"/>
                      </w:rPr>
                      <w:t>首色集团</w:t>
                    </w:r>
                  </w:p>
                  <w:p>
                    <w:pPr>
                      <w:spacing w:before="133" w:line="222" w:lineRule="auto"/>
                      <w:ind w:left="5850"/>
                      <w:rPr>
                        <w:rFonts w:ascii="黑体" w:eastAsia="黑体" w:hAnsi="黑体" w:cs="黑体"/>
                        <w:sz w:val="19"/>
                        <w:szCs w:val="19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-4"/>
                        <w:sz w:val="19"/>
                        <w:szCs w:val="19"/>
                      </w:rPr>
                      <w:t>协议</w:t>
                    </w:r>
                  </w:p>
                  <w:p>
                    <w:pPr>
                      <w:spacing w:before="173" w:line="219" w:lineRule="auto"/>
                      <w:ind w:left="250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12"/>
                        <w:sz w:val="19"/>
                        <w:szCs w:val="19"/>
                      </w:rPr>
                      <w:t>京投公司</w:t>
                    </w:r>
                  </w:p>
                  <w:p>
                    <w:pPr>
                      <w:spacing w:line="254" w:lineRule="auto"/>
                    </w:pPr>
                  </w:p>
                  <w:p>
                    <w:pPr>
                      <w:spacing w:line="254" w:lineRule="auto"/>
                    </w:pPr>
                  </w:p>
                  <w:p>
                    <w:pPr>
                      <w:spacing w:before="62" w:line="222" w:lineRule="auto"/>
                      <w:ind w:right="5"/>
                      <w:jc w:val="right"/>
                      <w:rPr>
                        <w:rFonts w:ascii="黑体" w:eastAsia="黑体" w:hAnsi="黑体" w:cs="黑体"/>
                        <w:sz w:val="19"/>
                        <w:szCs w:val="19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-12"/>
                        <w:w w:val="97"/>
                        <w:sz w:val="19"/>
                        <w:szCs w:val="19"/>
                      </w:rPr>
                      <w:t>贷款协议</w:t>
                    </w:r>
                    <w:r>
                      <w:rPr>
                        <w:rFonts w:ascii="黑体" w:eastAsia="黑体" w:hAnsi="黑体" w:cs="黑体"/>
                        <w:spacing w:val="9"/>
                        <w:sz w:val="19"/>
                        <w:szCs w:val="19"/>
                      </w:rPr>
                      <w:t xml:space="preserve">     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spacing w:val="-12"/>
                        <w:w w:val="97"/>
                        <w:sz w:val="19"/>
                        <w:szCs w:val="19"/>
                      </w:rPr>
                      <w:t>保险协议</w:t>
                    </w:r>
                  </w:p>
                  <w:p>
                    <w:pPr>
                      <w:spacing w:line="293" w:lineRule="auto"/>
                    </w:pPr>
                  </w:p>
                  <w:p>
                    <w:pPr>
                      <w:spacing w:line="293" w:lineRule="auto"/>
                    </w:pPr>
                  </w:p>
                  <w:p>
                    <w:pPr>
                      <w:spacing w:before="62" w:line="215" w:lineRule="auto"/>
                      <w:ind w:left="1589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16"/>
                        <w:sz w:val="19"/>
                        <w:szCs w:val="19"/>
                      </w:rPr>
                      <w:t>北京地铁四号线</w:t>
                    </w:r>
                  </w:p>
                  <w:p>
                    <w:pPr>
                      <w:spacing w:line="220" w:lineRule="auto"/>
                      <w:ind w:left="1679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15"/>
                        <w:sz w:val="19"/>
                        <w:szCs w:val="19"/>
                      </w:rPr>
                      <w:t>投资有限公司</w:t>
                    </w:r>
                  </w:p>
                </w:txbxContent>
              </v:textbox>
            </v:shape>
            <v:shape id="文本框 28" o:spid="_x0000_s1057" type="#_x0000_t202" style="width:2176;height:502;left:3329;position:absolute;top:3217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color w:val="FFFFFF"/>
                        <w:spacing w:val="23"/>
                        <w:sz w:val="19"/>
                        <w:szCs w:val="19"/>
                      </w:rPr>
                      <w:t>北京京港地铁有限公司</w:t>
                    </w:r>
                  </w:p>
                  <w:p>
                    <w:pPr>
                      <w:spacing w:before="33" w:line="212" w:lineRule="auto"/>
                      <w:ind w:left="400"/>
                      <w:rPr>
                        <w:rFonts w:ascii="黑体" w:eastAsia="黑体" w:hAnsi="黑体" w:cs="黑体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pacing w:val="14"/>
                        <w:sz w:val="19"/>
                        <w:szCs w:val="19"/>
                      </w:rPr>
                      <w:t>(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FFP</w:t>
                    </w:r>
                    <w:r>
                      <w:rPr>
                        <w:rFonts w:ascii="黑体" w:eastAsia="黑体" w:hAnsi="黑体" w:cs="黑体"/>
                        <w:spacing w:val="14"/>
                        <w:sz w:val="19"/>
                        <w:szCs w:val="19"/>
                      </w:rPr>
                      <w:t>项目公司)</w:t>
                    </w:r>
                  </w:p>
                </w:txbxContent>
              </v:textbox>
            </v:shape>
            <v:shape id="文本框 29" o:spid="_x0000_s1058" type="#_x0000_t202" style="width:417;height:863;left:2242;position:absolute;top:3025" filled="f" stroked="f">
              <o:lock v:ext="edit" aspectratio="f"/>
              <v:textbox inset="0,0,0,0">
                <w:txbxContent>
                  <w:p>
                    <w:pPr>
                      <w:spacing w:before="19" w:line="209" w:lineRule="auto"/>
                      <w:ind w:left="20" w:right="20"/>
                      <w:jc w:val="both"/>
                      <w:rPr>
                        <w:rFonts w:ascii="黑体" w:eastAsia="黑体" w:hAnsi="黑体" w:cs="黑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4"/>
                        <w:sz w:val="19"/>
                        <w:szCs w:val="19"/>
                      </w:rPr>
                      <w:t>中外</w:t>
                    </w:r>
                    <w:r>
                      <w:rPr>
                        <w:rFonts w:ascii="宋体" w:eastAsia="宋体" w:hAnsi="宋体" w:cs="宋体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b/>
                        <w:bCs/>
                        <w:spacing w:val="-7"/>
                        <w:sz w:val="19"/>
                        <w:szCs w:val="19"/>
                      </w:rPr>
                      <w:t>合作</w:t>
                    </w:r>
                    <w:r>
                      <w:rPr>
                        <w:rFonts w:ascii="宋体" w:eastAsia="宋体" w:hAnsi="宋体" w:cs="宋体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b/>
                        <w:bCs/>
                        <w:spacing w:val="-7"/>
                        <w:sz w:val="19"/>
                        <w:szCs w:val="19"/>
                      </w:rPr>
                      <w:t>经营</w:t>
                    </w:r>
                    <w:r>
                      <w:rPr>
                        <w:rFonts w:ascii="宋体" w:eastAsia="宋体" w:hAnsi="宋体" w:cs="宋体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spacing w:val="-5"/>
                        <w:sz w:val="19"/>
                        <w:szCs w:val="19"/>
                      </w:rPr>
                      <w:t>合同</w:t>
                    </w:r>
                  </w:p>
                </w:txbxContent>
              </v:textbox>
            </v:shape>
            <v:shape id="文本框 30" o:spid="_x0000_s1059" type="#_x0000_t202" style="width:745;height:452;left:3392;position:absolute;top:5794" filled="f" stroked="f">
              <o:lock v:ext="edit" aspectratio="f"/>
              <v:textbox inset="0,0,0,0">
                <w:txbxContent>
                  <w:p>
                    <w:pPr>
                      <w:spacing w:before="19" w:line="219" w:lineRule="auto"/>
                      <w:ind w:left="170" w:right="20" w:hanging="150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16"/>
                        <w:sz w:val="19"/>
                        <w:szCs w:val="19"/>
                      </w:rPr>
                      <w:t>北京建管</w:t>
                    </w:r>
                    <w:r>
                      <w:rPr>
                        <w:rFonts w:ascii="宋体" w:eastAsia="宋体" w:hAnsi="宋体" w:cs="宋体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b/>
                        <w:bCs/>
                        <w:spacing w:val="-6"/>
                        <w:sz w:val="19"/>
                        <w:szCs w:val="19"/>
                      </w:rPr>
                      <w:t>公司</w:t>
                    </w:r>
                  </w:p>
                </w:txbxContent>
              </v:textbox>
            </v:shape>
            <v:shape id="文本框 31" o:spid="_x0000_s1060" type="#_x0000_t202" style="width:750;height:442;left:3389;position:absolute;top:4817" filled="f" stroked="f">
              <o:lock v:ext="edit" aspectratio="f"/>
              <v:textbox inset="0,0,0,0">
                <w:txbxContent>
                  <w:p>
                    <w:pPr>
                      <w:spacing w:before="19" w:line="213" w:lineRule="auto"/>
                      <w:ind w:left="168" w:right="20" w:hanging="149"/>
                      <w:rPr>
                        <w:rFonts w:ascii="黑体" w:eastAsia="黑体" w:hAnsi="黑体" w:cs="黑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spacing w:val="-13"/>
                        <w:sz w:val="19"/>
                        <w:szCs w:val="19"/>
                      </w:rPr>
                      <w:t>委托建管</w:t>
                    </w:r>
                    <w:r>
                      <w:rPr>
                        <w:rFonts w:ascii="宋体" w:eastAsia="宋体" w:hAnsi="宋体" w:cs="宋体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-2"/>
                        <w:sz w:val="19"/>
                        <w:szCs w:val="19"/>
                      </w:rPr>
                      <w:t>协议</w:t>
                    </w:r>
                  </w:p>
                </w:txbxContent>
              </v:textbox>
            </v:shape>
            <v:shape id="文本框 32" o:spid="_x0000_s1061" type="#_x0000_t202" style="width:779;height:392;left:2089;position:absolute;top:4865" filled="f" stroked="f">
              <o:lock v:ext="edit" aspectratio="f"/>
              <v:textbox inset="0,0,0,0">
                <w:txbxContent>
                  <w:p>
                    <w:pPr>
                      <w:spacing w:before="19" w:line="218" w:lineRule="auto"/>
                      <w:ind w:left="50" w:right="20" w:hanging="30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  <w:t>ASB</w:t>
                    </w:r>
                    <w:r>
                      <w:rPr>
                        <w:rFonts w:ascii="宋体" w:eastAsia="宋体" w:hAnsi="宋体" w:cs="宋体"/>
                        <w:spacing w:val="15"/>
                        <w:sz w:val="14"/>
                        <w:szCs w:val="14"/>
                      </w:rPr>
                      <w:t>分资产</w:t>
                    </w:r>
                    <w:r>
                      <w:rPr>
                        <w:rFonts w:ascii="宋体" w:eastAsia="宋体" w:hAnsi="宋体" w:cs="宋体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3"/>
                        <w:sz w:val="19"/>
                        <w:szCs w:val="19"/>
                      </w:rPr>
                      <w:t>租赁协议</w:t>
                    </w:r>
                  </w:p>
                </w:txbxContent>
              </v:textbox>
            </v:shape>
            <v:shape id="文本框 33" o:spid="_x0000_s1062" type="#_x0000_t202" style="width:427;height:557;left:6099;position:absolute;top:3044" filled="f" stroked="f">
              <o:lock v:ext="edit" aspectratio="f"/>
              <v:textbox inset="0,0,0,0">
                <w:txbxContent>
                  <w:p>
                    <w:pPr>
                      <w:spacing w:before="20" w:line="236" w:lineRule="auto"/>
                      <w:ind w:left="22" w:right="2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-13"/>
                        <w:w w:val="98"/>
                        <w:sz w:val="19"/>
                        <w:szCs w:val="19"/>
                      </w:rPr>
                      <w:t>设备</w:t>
                    </w:r>
                    <w:r>
                      <w:rPr>
                        <w:rFonts w:ascii="黑体" w:eastAsia="黑体" w:hAnsi="黑体" w:cs="黑体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b/>
                        <w:bCs/>
                        <w:spacing w:val="20"/>
                        <w:sz w:val="17"/>
                        <w:szCs w:val="17"/>
                      </w:rPr>
                      <w:t>采购</w:t>
                    </w:r>
                  </w:p>
                  <w:p>
                    <w:pPr>
                      <w:spacing w:before="6" w:line="50" w:lineRule="exact"/>
                      <w:ind w:left="20"/>
                      <w:rPr>
                        <w:rFonts w:ascii="宋体" w:eastAsia="宋体" w:hAnsi="宋体" w:cs="宋体"/>
                        <w:sz w:val="5"/>
                        <w:szCs w:val="5"/>
                      </w:rPr>
                    </w:pPr>
                    <w:r>
                      <w:rPr>
                        <w:rFonts w:ascii="黑体" w:eastAsia="黑体" w:hAnsi="黑体" w:cs="黑体"/>
                        <w:spacing w:val="-2"/>
                        <w:sz w:val="6"/>
                        <w:szCs w:val="6"/>
                      </w:rPr>
                      <w:t>一</w:t>
                    </w:r>
                    <w:r>
                      <w:rPr>
                        <w:rFonts w:ascii="黑体" w:eastAsia="黑体" w:hAnsi="黑体" w:cs="黑体"/>
                        <w:spacing w:val="4"/>
                        <w:sz w:val="6"/>
                        <w:szCs w:val="6"/>
                      </w:rPr>
                      <w:t xml:space="preserve">     </w:t>
                    </w:r>
                    <w:r>
                      <w:rPr>
                        <w:rFonts w:ascii="宋体" w:eastAsia="宋体" w:hAnsi="宋体" w:cs="宋体"/>
                        <w:spacing w:val="-2"/>
                        <w:sz w:val="5"/>
                        <w:szCs w:val="5"/>
                      </w:rPr>
                      <w:t>市</w:t>
                    </w:r>
                  </w:p>
                </w:txbxContent>
              </v:textbox>
            </v:shape>
            <v:shape id="文本框 34" o:spid="_x0000_s1063" type="#_x0000_t202" style="width:906;height:230;left:7112;position:absolute;top:3834" filled="f" stroked="f">
              <o:lock v:ext="edit" aspectratio="f"/>
              <v:textbox inset="0,0,0,0">
                <w:txbxContent>
                  <w:p>
                    <w:pPr>
                      <w:spacing w:before="19" w:line="219" w:lineRule="auto"/>
                      <w:ind w:right="3"/>
                      <w:jc w:val="right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16"/>
                        <w:sz w:val="19"/>
                        <w:szCs w:val="19"/>
                      </w:rPr>
                      <w:t>设备供应商</w:t>
                    </w:r>
                  </w:p>
                </w:txbxContent>
              </v:textbox>
            </v:shape>
            <v:shape id="文本框 35" o:spid="_x0000_s1064" type="#_x0000_t202" style="width:790;height:230;left:7212;position:absolute;top:2904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4"/>
                        <w:sz w:val="19"/>
                        <w:szCs w:val="19"/>
                      </w:rPr>
                      <w:t>建管公司</w:t>
                    </w:r>
                  </w:p>
                </w:txbxContent>
              </v:textbox>
            </v:shape>
            <v:shape id="文本框 36" o:spid="_x0000_s1065" type="#_x0000_t202" style="width:723;height:232;left:5862;position:absolute;top:5904" filled="f" stroked="f">
              <o:lock v:ext="edit" aspectratio="f"/>
              <v:textbox inset="0,0,0,0">
                <w:txbxContent>
                  <w:p>
                    <w:pPr>
                      <w:spacing w:before="20" w:line="222" w:lineRule="auto"/>
                      <w:jc w:val="right"/>
                      <w:rPr>
                        <w:rFonts w:ascii="黑体" w:eastAsia="黑体" w:hAnsi="黑体" w:cs="黑体"/>
                        <w:sz w:val="19"/>
                        <w:szCs w:val="19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-17"/>
                        <w:sz w:val="19"/>
                        <w:szCs w:val="19"/>
                      </w:rPr>
                      <w:t>保险公司</w:t>
                    </w:r>
                  </w:p>
                </w:txbxContent>
              </v:textbox>
            </v:shape>
            <v:shape id="文本框 37" o:spid="_x0000_s1066" type="#_x0000_t202" style="width:415;height:232;left:4782;position:absolute;top:5904" filled="f" stroked="f">
              <o:lock v:ext="edit" aspectratio="f"/>
              <v:textbox inset="0,0,0,0">
                <w:txbxContent>
                  <w:p>
                    <w:pPr>
                      <w:spacing w:before="19" w:line="222" w:lineRule="auto"/>
                      <w:ind w:left="20"/>
                      <w:rPr>
                        <w:rFonts w:ascii="黑体" w:eastAsia="黑体" w:hAnsi="黑体" w:cs="黑体"/>
                        <w:sz w:val="19"/>
                        <w:szCs w:val="19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-4"/>
                        <w:sz w:val="19"/>
                        <w:szCs w:val="19"/>
                      </w:rPr>
                      <w:t>银行</w:t>
                    </w:r>
                  </w:p>
                </w:txbxContent>
              </v:textbox>
            </v:shape>
            <v:shape id="文本框 38" o:spid="_x0000_s1067" type="#_x0000_t202" style="width:143;height:151;left:6319;position:absolute;top:3544" filled="f" stroked="f">
              <o:lock v:ext="edit" aspectratio="f"/>
              <v:textbox inset="0,0,0,0">
                <w:txbxContent>
                  <w:p>
                    <w:pPr>
                      <w:spacing w:before="19" w:line="222" w:lineRule="auto"/>
                      <w:ind w:left="20"/>
                      <w:rPr>
                        <w:rFonts w:ascii="黑体" w:eastAsia="黑体" w:hAnsi="黑体" w:cs="黑体"/>
                        <w:sz w:val="11"/>
                        <w:szCs w:val="11"/>
                      </w:rPr>
                    </w:pPr>
                    <w:r>
                      <w:rPr>
                        <w:rFonts w:ascii="黑体" w:eastAsia="黑体" w:hAnsi="黑体" w:cs="黑体"/>
                        <w:sz w:val="11"/>
                        <w:szCs w:val="11"/>
                      </w:rPr>
                      <w:t>力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line="260" w:lineRule="auto"/>
      </w:pPr>
    </w:p>
    <w:p>
      <w:pPr>
        <w:spacing w:before="88" w:line="223" w:lineRule="auto"/>
        <w:ind w:left="114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2"/>
          <w:sz w:val="27"/>
          <w:szCs w:val="27"/>
        </w:rPr>
        <w:t>图</w:t>
      </w:r>
      <w:r>
        <w:rPr>
          <w:rFonts w:ascii="仿宋" w:eastAsia="仿宋" w:hAnsi="仿宋" w:cs="仿宋"/>
          <w:spacing w:val="-3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2"/>
          <w:sz w:val="27"/>
          <w:szCs w:val="27"/>
        </w:rPr>
        <w:t>3</w:t>
      </w:r>
      <w:r>
        <w:rPr>
          <w:rFonts w:ascii="仿宋" w:eastAsia="仿宋" w:hAnsi="仿宋" w:cs="仿宋"/>
          <w:spacing w:val="-4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2"/>
          <w:sz w:val="27"/>
          <w:szCs w:val="27"/>
        </w:rPr>
        <w:t>4</w:t>
      </w:r>
      <w:r>
        <w:rPr>
          <w:rFonts w:ascii="仿宋" w:eastAsia="仿宋" w:hAnsi="仿宋" w:cs="仿宋"/>
          <w:spacing w:val="-3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2"/>
          <w:sz w:val="27"/>
          <w:szCs w:val="27"/>
        </w:rPr>
        <w:t>号</w:t>
      </w:r>
      <w:r>
        <w:rPr>
          <w:rFonts w:ascii="仿宋" w:eastAsia="仿宋" w:hAnsi="仿宋" w:cs="仿宋"/>
          <w:spacing w:val="-3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2"/>
          <w:sz w:val="27"/>
          <w:szCs w:val="27"/>
        </w:rPr>
        <w:t>线</w:t>
      </w:r>
      <w:r>
        <w:rPr>
          <w:rFonts w:ascii="仿宋" w:eastAsia="仿宋" w:hAnsi="仿宋" w:cs="仿宋"/>
          <w:spacing w:val="-63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7"/>
          <w:szCs w:val="27"/>
        </w:rPr>
        <w:t>PPP</w:t>
      </w:r>
      <w:r>
        <w:rPr>
          <w:rFonts w:ascii="仿宋" w:eastAsia="仿宋" w:hAnsi="仿宋" w:cs="仿宋"/>
          <w:spacing w:val="-2"/>
          <w:sz w:val="27"/>
          <w:szCs w:val="27"/>
        </w:rPr>
        <w:t>项目合同结构图</w:t>
      </w:r>
    </w:p>
    <w:p>
      <w:pPr>
        <w:spacing w:before="210" w:line="301" w:lineRule="auto"/>
        <w:ind w:left="830" w:right="800" w:firstLine="5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8"/>
          <w:sz w:val="27"/>
          <w:szCs w:val="27"/>
        </w:rPr>
        <w:t>特许经营协议是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项目的核心，为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-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项目投资建设和运营管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理提供了明确的依据和坚实的法律保障。4号线项目特许</w:t>
      </w:r>
      <w:r>
        <w:rPr>
          <w:rFonts w:ascii="仿宋" w:eastAsia="仿宋" w:hAnsi="仿宋" w:cs="仿宋"/>
          <w:spacing w:val="9"/>
          <w:sz w:val="27"/>
          <w:szCs w:val="27"/>
        </w:rPr>
        <w:t>经营协议由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主协议、16个附件协议以及后续的补充协议共</w:t>
      </w:r>
      <w:r>
        <w:rPr>
          <w:rFonts w:ascii="仿宋" w:eastAsia="仿宋" w:hAnsi="仿宋" w:cs="仿宋"/>
          <w:spacing w:val="3"/>
          <w:sz w:val="27"/>
          <w:szCs w:val="27"/>
        </w:rPr>
        <w:t>同构成，涵盖了投资、</w:t>
      </w:r>
    </w:p>
    <w:p>
      <w:pPr>
        <w:spacing w:line="221" w:lineRule="auto"/>
        <w:ind w:left="8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建设、试运营、运营、移交各个阶段，形成了一个完整的合同体系。</w:t>
      </w:r>
    </w:p>
    <w:p>
      <w:pPr>
        <w:spacing w:before="128" w:line="222" w:lineRule="auto"/>
        <w:ind w:left="15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8"/>
          <w:sz w:val="27"/>
          <w:szCs w:val="27"/>
        </w:rPr>
        <w:t>(四)主要权利义务的约定</w:t>
      </w:r>
    </w:p>
    <w:p>
      <w:pPr>
        <w:spacing w:before="125" w:line="222" w:lineRule="auto"/>
        <w:ind w:left="14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3"/>
          <w:sz w:val="27"/>
          <w:szCs w:val="27"/>
        </w:rPr>
        <w:t>1、</w:t>
      </w:r>
      <w:r>
        <w:rPr>
          <w:rFonts w:ascii="仿宋" w:eastAsia="仿宋" w:hAnsi="仿宋" w:cs="仿宋"/>
          <w:spacing w:val="-7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3"/>
          <w:sz w:val="27"/>
          <w:szCs w:val="27"/>
        </w:rPr>
        <w:t>北京市政府</w:t>
      </w:r>
    </w:p>
    <w:p>
      <w:pPr>
        <w:spacing w:before="103" w:line="222" w:lineRule="auto"/>
        <w:ind w:left="14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北京市政府及其职能部门的权利义务主要包</w:t>
      </w:r>
      <w:r>
        <w:rPr>
          <w:rFonts w:ascii="仿宋" w:eastAsia="仿宋" w:hAnsi="仿宋" w:cs="仿宋"/>
          <w:spacing w:val="4"/>
          <w:sz w:val="27"/>
          <w:szCs w:val="27"/>
        </w:rPr>
        <w:t>括：</w:t>
      </w:r>
    </w:p>
    <w:p>
      <w:pPr>
        <w:spacing w:before="107" w:line="301" w:lineRule="auto"/>
        <w:ind w:left="830" w:right="811" w:firstLine="5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8"/>
          <w:sz w:val="27"/>
          <w:szCs w:val="27"/>
        </w:rPr>
        <w:t>建设阶段：负责项目</w:t>
      </w:r>
      <w:r>
        <w:rPr>
          <w:rFonts w:ascii="Times New Roman" w:eastAsia="Times New Roman" w:hAnsi="Times New Roman" w:cs="Times New Roman"/>
          <w:spacing w:val="8"/>
          <w:sz w:val="27"/>
          <w:szCs w:val="27"/>
        </w:rPr>
        <w:t>A</w:t>
      </w:r>
      <w:r>
        <w:rPr>
          <w:rFonts w:ascii="仿宋" w:eastAsia="仿宋" w:hAnsi="仿宋" w:cs="仿宋"/>
          <w:spacing w:val="8"/>
          <w:sz w:val="27"/>
          <w:szCs w:val="27"/>
        </w:rPr>
        <w:t>部分的建设和</w:t>
      </w:r>
      <w:r>
        <w:rPr>
          <w:rFonts w:ascii="Times New Roman" w:eastAsia="Times New Roman" w:hAnsi="Times New Roman" w:cs="Times New Roman"/>
          <w:spacing w:val="8"/>
          <w:sz w:val="27"/>
          <w:szCs w:val="27"/>
        </w:rPr>
        <w:t>B</w:t>
      </w:r>
      <w:r>
        <w:rPr>
          <w:rFonts w:ascii="Times New Roman" w:eastAsia="Times New Roman" w:hAnsi="Times New Roman" w:cs="Times New Roman"/>
          <w:spacing w:val="-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部分质量的监管</w:t>
      </w:r>
      <w:r>
        <w:rPr>
          <w:rFonts w:ascii="仿宋" w:eastAsia="仿宋" w:hAnsi="仿宋" w:cs="仿宋"/>
          <w:spacing w:val="7"/>
          <w:sz w:val="27"/>
          <w:szCs w:val="27"/>
        </w:rPr>
        <w:t>，主要包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9"/>
          <w:sz w:val="27"/>
          <w:szCs w:val="27"/>
        </w:rPr>
        <w:t>括制定项目建设标准(包括设计、施工和验收标准)</w:t>
      </w:r>
      <w:r>
        <w:rPr>
          <w:rFonts w:ascii="仿宋" w:eastAsia="仿宋" w:hAnsi="仿宋" w:cs="仿宋"/>
          <w:spacing w:val="18"/>
          <w:sz w:val="27"/>
          <w:szCs w:val="27"/>
        </w:rPr>
        <w:t>,对工程的建设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进度、质量进行监督和检查，以及项目的试运行和竣工验收，审批竣</w:t>
      </w:r>
    </w:p>
    <w:p>
      <w:pPr>
        <w:spacing w:line="222" w:lineRule="auto"/>
        <w:ind w:left="8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sz w:val="27"/>
          <w:szCs w:val="27"/>
        </w:rPr>
        <w:t>工验收报告等。</w:t>
      </w:r>
    </w:p>
    <w:p>
      <w:pPr>
        <w:spacing w:line="222" w:lineRule="auto"/>
        <w:rPr>
          <w:rFonts w:ascii="仿宋" w:eastAsia="仿宋" w:hAnsi="仿宋" w:cs="仿宋"/>
          <w:sz w:val="27"/>
          <w:szCs w:val="27"/>
        </w:rPr>
        <w:sectPr>
          <w:footerReference w:type="default" r:id="rId41"/>
          <w:pgSz w:w="11910" w:h="16840"/>
          <w:pgMar w:top="845" w:right="1019" w:bottom="1192" w:left="989" w:header="0" w:footer="966" w:gutter="0"/>
          <w:pgNumType w:start="32"/>
          <w:cols w:space="708"/>
        </w:sectPr>
      </w:pPr>
    </w:p>
    <w:tbl>
      <w:tblPr>
        <w:tblStyle w:val="TableNormal15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90"/>
        <w:gridCol w:w="269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23"/>
            </w:pPr>
            <w:bookmarkStart w:id="23" w:name="bookmark24"/>
            <w:bookmarkEnd w:id="23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4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9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7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69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页码：第23页共79页</w:t>
            </w:r>
          </w:p>
        </w:tc>
      </w:tr>
    </w:tbl>
    <w:p>
      <w:pPr>
        <w:pStyle w:val="BodyText"/>
        <w:spacing w:line="282" w:lineRule="auto"/>
      </w:pPr>
    </w:p>
    <w:p>
      <w:pPr>
        <w:spacing w:before="88" w:line="301" w:lineRule="auto"/>
        <w:ind w:left="830" w:right="744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 xml:space="preserve">运营阶段：负责对项目进行监管，包括制定运营和票价标准并监 </w:t>
      </w:r>
      <w:r>
        <w:rPr>
          <w:rFonts w:ascii="仿宋" w:eastAsia="仿宋" w:hAnsi="仿宋" w:cs="仿宋"/>
          <w:spacing w:val="-2"/>
          <w:sz w:val="27"/>
          <w:szCs w:val="27"/>
        </w:rPr>
        <w:t>督京港地铁执行，在发生紧急事件时，统一调度或临时接管项目设施；</w:t>
      </w:r>
      <w:r>
        <w:rPr>
          <w:rFonts w:ascii="仿宋" w:eastAsia="仿宋" w:hAnsi="仿宋" w:cs="仿宋"/>
          <w:spacing w:val="1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协调京港地铁和其他线路的运营商建立相应的收入分配分账</w:t>
      </w:r>
      <w:r>
        <w:rPr>
          <w:rFonts w:ascii="仿宋" w:eastAsia="仿宋" w:hAnsi="仿宋" w:cs="仿宋"/>
          <w:spacing w:val="7"/>
          <w:sz w:val="27"/>
          <w:szCs w:val="27"/>
        </w:rPr>
        <w:t>机制及</w:t>
      </w:r>
    </w:p>
    <w:p>
      <w:pPr>
        <w:spacing w:line="221" w:lineRule="auto"/>
        <w:ind w:left="8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sz w:val="27"/>
          <w:szCs w:val="27"/>
        </w:rPr>
        <w:t>相关配套办法。</w:t>
      </w:r>
    </w:p>
    <w:p>
      <w:pPr>
        <w:spacing w:before="117" w:line="448" w:lineRule="exact"/>
        <w:ind w:left="14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position w:val="12"/>
          <w:sz w:val="27"/>
          <w:szCs w:val="27"/>
        </w:rPr>
        <w:t>此外，因政府要求或法律变更导致京港地铁建设或运营成本增加</w:t>
      </w:r>
    </w:p>
    <w:p>
      <w:pPr>
        <w:spacing w:before="1" w:line="221" w:lineRule="auto"/>
        <w:ind w:left="8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时，政府方负责给予其合理补偿。</w:t>
      </w:r>
    </w:p>
    <w:p>
      <w:pPr>
        <w:spacing w:before="98" w:line="223" w:lineRule="auto"/>
        <w:ind w:left="14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3"/>
          <w:sz w:val="27"/>
          <w:szCs w:val="27"/>
        </w:rPr>
        <w:t>2、</w:t>
      </w:r>
      <w:r>
        <w:rPr>
          <w:rFonts w:ascii="仿宋" w:eastAsia="仿宋" w:hAnsi="仿宋" w:cs="仿宋"/>
          <w:spacing w:val="-5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3"/>
          <w:sz w:val="27"/>
          <w:szCs w:val="27"/>
        </w:rPr>
        <w:t>京港地铁</w:t>
      </w:r>
    </w:p>
    <w:p>
      <w:pPr>
        <w:spacing w:before="120" w:line="301" w:lineRule="auto"/>
        <w:ind w:left="830" w:right="811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京港地铁公司作为项目</w:t>
      </w:r>
      <w:r>
        <w:rPr>
          <w:rFonts w:ascii="宋体" w:eastAsia="宋体" w:hAnsi="宋体" w:cs="宋体"/>
          <w:spacing w:val="5"/>
          <w:sz w:val="27"/>
          <w:szCs w:val="27"/>
        </w:rPr>
        <w:t>B</w:t>
      </w:r>
      <w:r>
        <w:rPr>
          <w:rFonts w:ascii="宋体" w:eastAsia="宋体" w:hAnsi="宋体" w:cs="宋体"/>
          <w:spacing w:val="-3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部分的投资建设责任主</w:t>
      </w:r>
      <w:r>
        <w:rPr>
          <w:rFonts w:ascii="仿宋" w:eastAsia="仿宋" w:hAnsi="仿宋" w:cs="仿宋"/>
          <w:spacing w:val="4"/>
          <w:sz w:val="27"/>
          <w:szCs w:val="27"/>
        </w:rPr>
        <w:t>体，负责项目资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金筹措、建设管理和运营。为方便</w:t>
      </w:r>
      <w:r>
        <w:rPr>
          <w:rFonts w:ascii="Times New Roman" w:eastAsia="Times New Roman" w:hAnsi="Times New Roman" w:cs="Times New Roman"/>
          <w:spacing w:val="7"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spacing w:val="-23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7"/>
          <w:sz w:val="27"/>
          <w:szCs w:val="27"/>
        </w:rPr>
        <w:t>、</w:t>
      </w:r>
      <w:r>
        <w:rPr>
          <w:rFonts w:ascii="Times New Roman" w:eastAsia="Times New Roman" w:hAnsi="Times New Roman" w:cs="Times New Roman"/>
          <w:spacing w:val="7"/>
          <w:sz w:val="27"/>
          <w:szCs w:val="27"/>
        </w:rPr>
        <w:t>B</w:t>
      </w:r>
      <w:r>
        <w:rPr>
          <w:rFonts w:ascii="仿宋" w:eastAsia="仿宋" w:hAnsi="仿宋" w:cs="仿宋"/>
          <w:spacing w:val="7"/>
          <w:sz w:val="27"/>
          <w:szCs w:val="27"/>
        </w:rPr>
        <w:t>两部分的施工衔接，协议要</w:t>
      </w:r>
    </w:p>
    <w:p>
      <w:pPr>
        <w:spacing w:before="1" w:line="220" w:lineRule="auto"/>
        <w:ind w:left="8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0"/>
          <w:sz w:val="27"/>
          <w:szCs w:val="27"/>
        </w:rPr>
        <w:t>求京港地铁将</w:t>
      </w:r>
      <w:r>
        <w:rPr>
          <w:rFonts w:ascii="宋体" w:eastAsia="宋体" w:hAnsi="宋体" w:cs="宋体"/>
          <w:spacing w:val="10"/>
          <w:sz w:val="27"/>
          <w:szCs w:val="27"/>
        </w:rPr>
        <w:t>B</w:t>
      </w:r>
      <w:r>
        <w:rPr>
          <w:rFonts w:ascii="宋体" w:eastAsia="宋体" w:hAnsi="宋体" w:cs="宋体"/>
          <w:spacing w:val="-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部分的建设管理任务委托给</w:t>
      </w:r>
      <w:r>
        <w:rPr>
          <w:rFonts w:ascii="宋体" w:eastAsia="宋体" w:hAnsi="宋体" w:cs="宋体"/>
          <w:spacing w:val="10"/>
          <w:sz w:val="27"/>
          <w:szCs w:val="27"/>
        </w:rPr>
        <w:t>A</w:t>
      </w:r>
      <w:r>
        <w:rPr>
          <w:rFonts w:ascii="宋体" w:eastAsia="宋体" w:hAnsi="宋体" w:cs="宋体"/>
          <w:spacing w:val="-2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部分的建设管理单位。</w:t>
      </w:r>
    </w:p>
    <w:p>
      <w:pPr>
        <w:spacing w:before="106" w:line="301" w:lineRule="auto"/>
        <w:ind w:left="830" w:right="820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8"/>
          <w:sz w:val="27"/>
          <w:szCs w:val="27"/>
        </w:rPr>
        <w:t>运营阶段：京港地铁在特许经营期内利用4号线项目设施自主经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营，提供客运服务并获得票款收入。协议要求，京港地铁</w:t>
      </w:r>
      <w:r>
        <w:rPr>
          <w:rFonts w:ascii="仿宋" w:eastAsia="仿宋" w:hAnsi="仿宋" w:cs="仿宋"/>
          <w:spacing w:val="4"/>
          <w:sz w:val="27"/>
          <w:szCs w:val="27"/>
        </w:rPr>
        <w:t>公司须保持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充分的客运服务能力和高效的客运服务质量，同时须遵照</w:t>
      </w:r>
      <w:r>
        <w:rPr>
          <w:rFonts w:ascii="仿宋" w:eastAsia="仿宋" w:hAnsi="仿宋" w:cs="仿宋"/>
          <w:spacing w:val="4"/>
          <w:sz w:val="27"/>
          <w:szCs w:val="27"/>
        </w:rPr>
        <w:t>《北京市城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市轨道交通安全运营管理办法》的规定，建立安全管理系统，制定和</w:t>
      </w:r>
    </w:p>
    <w:p>
      <w:pPr>
        <w:spacing w:before="2" w:line="220" w:lineRule="auto"/>
        <w:ind w:left="8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实施安全演习计划以及应急处理预案等措施，保证项目安全运营。</w:t>
      </w:r>
    </w:p>
    <w:p>
      <w:pPr>
        <w:spacing w:before="124" w:line="442" w:lineRule="exact"/>
        <w:ind w:left="14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position w:val="12"/>
          <w:sz w:val="27"/>
          <w:szCs w:val="27"/>
        </w:rPr>
        <w:t>在遵守相关法律法规，特别是运营安全规定的前提下，京港地铁</w:t>
      </w:r>
    </w:p>
    <w:p>
      <w:pPr>
        <w:spacing w:line="220" w:lineRule="auto"/>
        <w:ind w:left="8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公司可以利用项目设施从事广告、通信等商业经营并取</w:t>
      </w:r>
      <w:r>
        <w:rPr>
          <w:rFonts w:ascii="仿宋" w:eastAsia="仿宋" w:hAnsi="仿宋" w:cs="仿宋"/>
          <w:spacing w:val="8"/>
          <w:sz w:val="27"/>
          <w:szCs w:val="27"/>
        </w:rPr>
        <w:t>得相关收益。</w:t>
      </w:r>
    </w:p>
    <w:p>
      <w:pPr>
        <w:spacing w:before="128" w:line="222" w:lineRule="auto"/>
        <w:ind w:left="138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-16"/>
          <w:sz w:val="27"/>
          <w:szCs w:val="27"/>
        </w:rPr>
        <w:t>三</w:t>
      </w:r>
      <w:r>
        <w:rPr>
          <w:rFonts w:ascii="黑体" w:eastAsia="黑体" w:hAnsi="黑体" w:cs="黑体"/>
          <w:spacing w:val="-23"/>
          <w:sz w:val="27"/>
          <w:szCs w:val="27"/>
        </w:rPr>
        <w:t xml:space="preserve"> </w:t>
      </w:r>
      <w:r>
        <w:rPr>
          <w:rFonts w:ascii="黑体" w:eastAsia="黑体" w:hAnsi="黑体" w:cs="黑体"/>
          <w:b/>
          <w:bCs/>
          <w:spacing w:val="-16"/>
          <w:sz w:val="27"/>
          <w:szCs w:val="27"/>
        </w:rPr>
        <w:t>、借鉴价值</w:t>
      </w:r>
    </w:p>
    <w:p>
      <w:pPr>
        <w:spacing w:before="116" w:line="221" w:lineRule="auto"/>
        <w:ind w:left="15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8"/>
          <w:sz w:val="27"/>
          <w:szCs w:val="27"/>
        </w:rPr>
        <w:t>(一)建立有力的政策保障体系</w:t>
      </w:r>
    </w:p>
    <w:p>
      <w:pPr>
        <w:spacing w:before="108" w:line="257" w:lineRule="auto"/>
        <w:ind w:left="830" w:right="725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北京地铁4号线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仿宋" w:eastAsia="仿宋" w:hAnsi="仿宋" w:cs="仿宋"/>
          <w:spacing w:val="5"/>
          <w:sz w:val="27"/>
          <w:szCs w:val="27"/>
        </w:rPr>
        <w:t>项目的成功实施，得益于政府方的积极协调，</w:t>
      </w:r>
      <w:r>
        <w:rPr>
          <w:rFonts w:ascii="仿宋" w:eastAsia="仿宋" w:hAnsi="仿宋" w:cs="仿宋"/>
          <w:spacing w:val="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为项目推进提供了全方位保障。</w:t>
      </w:r>
    </w:p>
    <w:p>
      <w:pPr>
        <w:spacing w:before="125" w:line="301" w:lineRule="auto"/>
        <w:ind w:left="830" w:right="795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在整个项目实施过程中，政府由以往的领导者转变成了全</w:t>
      </w:r>
      <w:r>
        <w:rPr>
          <w:rFonts w:ascii="仿宋" w:eastAsia="仿宋" w:hAnsi="仿宋" w:cs="仿宋"/>
          <w:spacing w:val="2"/>
          <w:sz w:val="27"/>
          <w:szCs w:val="27"/>
        </w:rPr>
        <w:t>程参与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者和全力保障者，并为项目配套出台了《关于</w:t>
      </w:r>
      <w:r>
        <w:rPr>
          <w:rFonts w:ascii="仿宋" w:eastAsia="仿宋" w:hAnsi="仿宋" w:cs="仿宋"/>
          <w:spacing w:val="5"/>
          <w:sz w:val="27"/>
          <w:szCs w:val="27"/>
        </w:rPr>
        <w:t>本市深化城市基础设施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投融资体制改革的实施意见》等相关政策。为推动项目有效实施，政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府成立了由市政府副秘书长牵头的招商领导小组；发</w:t>
      </w:r>
      <w:r>
        <w:rPr>
          <w:rFonts w:ascii="仿宋" w:eastAsia="仿宋" w:hAnsi="仿宋" w:cs="仿宋"/>
          <w:spacing w:val="5"/>
          <w:sz w:val="27"/>
          <w:szCs w:val="27"/>
        </w:rPr>
        <w:t>改委主导完成了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四号线</w:t>
      </w:r>
      <w:r>
        <w:rPr>
          <w:rFonts w:ascii="仿宋" w:eastAsia="仿宋" w:hAnsi="仿宋" w:cs="仿宋"/>
          <w:spacing w:val="-63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仿宋" w:eastAsia="仿宋" w:hAnsi="仿宋" w:cs="仿宋"/>
          <w:spacing w:val="7"/>
          <w:sz w:val="27"/>
          <w:szCs w:val="27"/>
        </w:rPr>
        <w:t>项目实施方案；交通委主导谈判；京投公</w:t>
      </w:r>
      <w:r>
        <w:rPr>
          <w:rFonts w:ascii="仿宋" w:eastAsia="仿宋" w:hAnsi="仿宋" w:cs="仿宋"/>
          <w:spacing w:val="6"/>
          <w:sz w:val="27"/>
          <w:szCs w:val="27"/>
        </w:rPr>
        <w:t>司在这一过程中</w:t>
      </w:r>
    </w:p>
    <w:p>
      <w:pPr>
        <w:spacing w:line="220" w:lineRule="auto"/>
        <w:ind w:left="8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z w:val="27"/>
          <w:szCs w:val="27"/>
        </w:rPr>
        <w:t>负责具体操作和研究。</w:t>
      </w:r>
    </w:p>
    <w:p>
      <w:pPr>
        <w:spacing w:before="122" w:line="222" w:lineRule="auto"/>
        <w:ind w:left="14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4"/>
          <w:sz w:val="27"/>
          <w:szCs w:val="27"/>
        </w:rPr>
        <w:t>四号线</w:t>
      </w:r>
      <w:r>
        <w:rPr>
          <w:rFonts w:ascii="仿宋" w:eastAsia="仿宋" w:hAnsi="仿宋" w:cs="仿宋"/>
          <w:spacing w:val="-55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仿宋" w:eastAsia="仿宋" w:hAnsi="仿宋" w:cs="仿宋"/>
          <w:spacing w:val="14"/>
          <w:sz w:val="27"/>
          <w:szCs w:val="27"/>
        </w:rPr>
        <w:t>项目招商组织架构如图4所示。</w:t>
      </w:r>
    </w:p>
    <w:p>
      <w:pPr>
        <w:spacing w:line="222" w:lineRule="auto"/>
        <w:rPr>
          <w:rFonts w:ascii="仿宋" w:eastAsia="仿宋" w:hAnsi="仿宋" w:cs="仿宋"/>
          <w:sz w:val="27"/>
          <w:szCs w:val="27"/>
        </w:rPr>
        <w:sectPr>
          <w:footerReference w:type="default" r:id="rId42"/>
          <w:pgSz w:w="11910" w:h="16840"/>
          <w:pgMar w:top="845" w:right="1019" w:bottom="1182" w:left="989" w:header="0" w:footer="969" w:gutter="0"/>
          <w:pgNumType w:start="33"/>
          <w:cols w:space="708"/>
        </w:sectPr>
      </w:pPr>
    </w:p>
    <w:tbl>
      <w:tblPr>
        <w:tblStyle w:val="TableNormal16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80"/>
        <w:gridCol w:w="269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0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21" w:line="219" w:lineRule="auto"/>
              <w:ind w:left="113"/>
            </w:pPr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2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8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40000"/>
                <w:spacing w:val="-4"/>
              </w:rPr>
              <w:t>书山有路勤为径，学海无涯苦作舟</w:t>
            </w:r>
          </w:p>
        </w:tc>
        <w:tc>
          <w:tcPr>
            <w:tcW w:w="2690" w:type="dxa"/>
            <w:tcBorders>
              <w:right w:val="nil"/>
            </w:tcBorders>
          </w:tcPr>
          <w:p>
            <w:pPr>
              <w:spacing w:line="252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页码：第24页共79页</w:t>
            </w:r>
          </w:p>
        </w:tc>
      </w:tr>
    </w:tbl>
    <w:p>
      <w:pPr>
        <w:pStyle w:val="BodyText"/>
        <w:spacing w:line="289" w:lineRule="auto"/>
      </w:pPr>
    </w:p>
    <w:p>
      <w:pPr>
        <w:pStyle w:val="BodyText"/>
        <w:spacing w:line="290" w:lineRule="auto"/>
      </w:pPr>
    </w:p>
    <w:p>
      <w:pPr>
        <w:pStyle w:val="BodyText"/>
        <w:spacing w:line="290" w:lineRule="auto"/>
      </w:pPr>
    </w:p>
    <w:p>
      <w:pPr>
        <w:pStyle w:val="BodyText"/>
        <w:spacing w:line="3420" w:lineRule="exact"/>
        <w:ind w:firstLine="740"/>
      </w:pPr>
      <w:r>
        <w:rPr>
          <w:position w:val="-68"/>
        </w:rPr>
        <w:pict>
          <v:group id="组合 39" o:spid="_x0000_i1068" style="width:415pt;height:171pt;mso-position-horizontal-relative:char;mso-position-vertical-relative:line" coordorigin="0,0" coordsize="8300,3420">
            <v:shape id="图片 40" o:spid="_x0000_s1069" type="#_x0000_t75" style="width:8300;height:3420;position:absolute" filled="f" stroked="f">
              <v:imagedata r:id="rId43" o:title=""/>
              <v:path o:extrusionok="f"/>
              <o:lock v:ext="edit" aspectratio="t"/>
            </v:shape>
            <v:shape id="文本框 41" o:spid="_x0000_s1070" type="#_x0000_t202" style="width:7022;height:3292;left:969;position:absolute;top:57" filled="f" stroked="f">
              <o:lock v:ext="edit" aspectratio="f"/>
              <v:textbox inset="0,0,0,0">
                <w:txbxContent>
                  <w:p>
                    <w:pPr>
                      <w:spacing w:before="20" w:line="206" w:lineRule="auto"/>
                      <w:ind w:left="174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21"/>
                        <w:szCs w:val="21"/>
                      </w:rPr>
                      <w:t>北京市政府领导小组</w:t>
                    </w:r>
                  </w:p>
                  <w:p>
                    <w:pPr>
                      <w:spacing w:line="173" w:lineRule="exact"/>
                      <w:ind w:left="193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5"/>
                        <w:position w:val="-2"/>
                        <w:sz w:val="21"/>
                        <w:szCs w:val="21"/>
                      </w:rPr>
                      <w:t>(副秘书长牵头)</w:t>
                    </w:r>
                  </w:p>
                  <w:p>
                    <w:pPr>
                      <w:spacing w:line="333" w:lineRule="auto"/>
                    </w:pPr>
                  </w:p>
                  <w:p>
                    <w:pPr>
                      <w:spacing w:before="69" w:line="223" w:lineRule="auto"/>
                      <w:ind w:left="4599"/>
                      <w:rPr>
                        <w:rFonts w:ascii="STXinwei" w:eastAsia="STXinwei" w:hAnsi="STXinwei" w:cs="STXinwei"/>
                      </w:rPr>
                    </w:pPr>
                    <w:r>
                      <w:rPr>
                        <w:rFonts w:ascii="STXinwei" w:eastAsia="STXinwei" w:hAnsi="STXinwei" w:cs="STXinwei"/>
                        <w:spacing w:val="-1"/>
                        <w:sz w:val="21"/>
                        <w:szCs w:val="21"/>
                      </w:rPr>
                      <w:t>市交通委</w:t>
                    </w:r>
                  </w:p>
                  <w:p>
                    <w:pPr>
                      <w:spacing w:before="127" w:line="161" w:lineRule="auto"/>
                      <w:ind w:left="5129"/>
                      <w:rPr>
                        <w:rFonts w:ascii="STXinwei" w:eastAsia="STXinwei" w:hAnsi="STXinwei" w:cs="STXinwei"/>
                        <w:sz w:val="17"/>
                        <w:szCs w:val="17"/>
                      </w:rPr>
                    </w:pPr>
                    <w:r>
                      <w:rPr>
                        <w:rFonts w:ascii="STXinwei" w:eastAsia="STXinwei" w:hAnsi="STXinwei" w:cs="STXinwei"/>
                        <w:color w:val="FFFFFF"/>
                        <w:spacing w:val="-1"/>
                        <w:sz w:val="17"/>
                        <w:szCs w:val="17"/>
                      </w:rPr>
                      <w:t>牵头</w:t>
                    </w:r>
                  </w:p>
                  <w:p>
                    <w:pPr>
                      <w:spacing w:line="201" w:lineRule="auto"/>
                      <w:ind w:left="5170"/>
                      <w:rPr>
                        <w:rFonts w:ascii="STXinwei" w:eastAsia="STXinwei" w:hAnsi="STXinwei" w:cs="STXinwei"/>
                        <w:sz w:val="17"/>
                        <w:szCs w:val="17"/>
                      </w:rPr>
                    </w:pPr>
                    <w:r>
                      <w:rPr>
                        <w:rFonts w:ascii="STXinwei" w:eastAsia="STXinwei" w:hAnsi="STXinwei" w:cs="STXinwei"/>
                        <w:color w:val="FFFFFF"/>
                        <w:spacing w:val="-5"/>
                        <w:sz w:val="17"/>
                        <w:szCs w:val="17"/>
                      </w:rPr>
                      <w:t>主导</w:t>
                    </w:r>
                  </w:p>
                  <w:p>
                    <w:pPr>
                      <w:spacing w:before="1" w:line="177" w:lineRule="auto"/>
                      <w:ind w:left="4189" w:right="1182" w:hanging="190"/>
                      <w:rPr>
                        <w:rFonts w:ascii="LiSu" w:eastAsia="LiSu" w:hAnsi="LiSu" w:cs="LiSu"/>
                      </w:rPr>
                    </w:pPr>
                    <w:r>
                      <w:rPr>
                        <w:rFonts w:ascii="LiSu" w:eastAsia="LiSu" w:hAnsi="LiSu" w:cs="LiSu"/>
                        <w:spacing w:val="-15"/>
                        <w:position w:val="1"/>
                        <w:sz w:val="21"/>
                        <w:szCs w:val="21"/>
                      </w:rPr>
                      <w:t>第二阶段，</w:t>
                    </w:r>
                    <w:r>
                      <w:rPr>
                        <w:rFonts w:ascii="宋体" w:eastAsia="宋体" w:hAnsi="宋体" w:cs="宋体"/>
                        <w:spacing w:val="-15"/>
                        <w:position w:val="-1"/>
                        <w:sz w:val="17"/>
                        <w:szCs w:val="17"/>
                      </w:rPr>
                      <w:t>《</w:t>
                    </w:r>
                    <w:r>
                      <w:rPr>
                        <w:rFonts w:ascii="宋体" w:eastAsia="宋体" w:hAnsi="宋体" w:cs="宋体"/>
                        <w:spacing w:val="18"/>
                        <w:position w:val="-1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position w:val="-1"/>
                        <w:sz w:val="17"/>
                        <w:szCs w:val="17"/>
                      </w:rPr>
                      <w:t>特 许 协</w:t>
                    </w:r>
                    <w:r>
                      <w:rPr>
                        <w:rFonts w:ascii="宋体" w:eastAsia="宋体" w:hAnsi="宋体" w:cs="宋体"/>
                        <w:position w:val="-1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LiSu" w:eastAsia="LiSu" w:hAnsi="LiSu" w:cs="LiSu"/>
                        <w:spacing w:val="3"/>
                        <w:sz w:val="21"/>
                        <w:szCs w:val="21"/>
                      </w:rPr>
                      <w:t>议》的谈判阶段</w:t>
                    </w:r>
                  </w:p>
                  <w:p>
                    <w:pPr>
                      <w:spacing w:before="186" w:line="116" w:lineRule="exact"/>
                      <w:ind w:left="20"/>
                      <w:rPr>
                        <w:rFonts w:ascii="LiSu" w:eastAsia="LiSu" w:hAnsi="LiSu" w:cs="LiSu"/>
                        <w:sz w:val="17"/>
                        <w:szCs w:val="17"/>
                      </w:rPr>
                    </w:pPr>
                    <w:r>
                      <w:rPr>
                        <w:rFonts w:ascii="LiSu" w:eastAsia="LiSu" w:hAnsi="LiSu" w:cs="LiSu"/>
                        <w:spacing w:val="-12"/>
                        <w:w w:val="97"/>
                        <w:position w:val="-1"/>
                        <w:sz w:val="17"/>
                        <w:szCs w:val="17"/>
                      </w:rPr>
                      <w:t>编制、</w:t>
                    </w:r>
                  </w:p>
                  <w:p>
                    <w:pPr>
                      <w:spacing w:line="125" w:lineRule="exact"/>
                      <w:ind w:left="5230"/>
                      <w:rPr>
                        <w:rFonts w:ascii="LiSu" w:eastAsia="LiSu" w:hAnsi="LiSu" w:cs="LiSu"/>
                        <w:sz w:val="17"/>
                        <w:szCs w:val="17"/>
                      </w:rPr>
                    </w:pPr>
                    <w:r>
                      <w:rPr>
                        <w:rFonts w:ascii="LiSu" w:eastAsia="LiSu" w:hAnsi="LiSu" w:cs="LiSu"/>
                        <w:spacing w:val="-4"/>
                        <w:w w:val="93"/>
                        <w:position w:val="-2"/>
                        <w:sz w:val="17"/>
                        <w:szCs w:val="17"/>
                      </w:rPr>
                      <w:t>组织</w:t>
                    </w:r>
                  </w:p>
                  <w:p>
                    <w:pPr>
                      <w:spacing w:line="225" w:lineRule="auto"/>
                      <w:ind w:right="20"/>
                      <w:jc w:val="right"/>
                      <w:rPr>
                        <w:rFonts w:ascii="STXinwei" w:eastAsia="STXinwei" w:hAnsi="STXinwei" w:cs="STXinwei"/>
                      </w:rPr>
                    </w:pPr>
                    <w:r>
                      <w:rPr>
                        <w:rFonts w:ascii="STXinwei" w:eastAsia="STXinwei" w:hAnsi="STXinwei" w:cs="STXinwei"/>
                        <w:spacing w:val="15"/>
                        <w:sz w:val="21"/>
                        <w:szCs w:val="21"/>
                      </w:rPr>
                      <w:t>特许公司</w:t>
                    </w:r>
                  </w:p>
                  <w:p>
                    <w:pPr>
                      <w:spacing w:before="32" w:line="137" w:lineRule="exact"/>
                      <w:ind w:left="2609"/>
                      <w:rPr>
                        <w:rFonts w:ascii="LiSu" w:eastAsia="LiSu" w:hAnsi="LiSu" w:cs="LiSu"/>
                        <w:sz w:val="17"/>
                        <w:szCs w:val="17"/>
                      </w:rPr>
                    </w:pPr>
                    <w:r>
                      <w:rPr>
                        <w:rFonts w:ascii="LiSu" w:eastAsia="LiSu" w:hAnsi="LiSu" w:cs="LiSu"/>
                        <w:spacing w:val="-1"/>
                        <w:sz w:val="17"/>
                        <w:szCs w:val="17"/>
                      </w:rPr>
                      <w:t>咨询</w:t>
                    </w:r>
                  </w:p>
                  <w:p>
                    <w:pPr>
                      <w:spacing w:line="222" w:lineRule="auto"/>
                      <w:ind w:left="279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z w:val="11"/>
                        <w:szCs w:val="11"/>
                      </w:rPr>
                      <w:t>问</w:t>
                    </w:r>
                  </w:p>
                  <w:p>
                    <w:pPr>
                      <w:spacing w:before="140" w:line="223" w:lineRule="auto"/>
                      <w:ind w:left="4259"/>
                      <w:rPr>
                        <w:rFonts w:ascii="仿宋" w:eastAsia="仿宋" w:hAnsi="仿宋" w:cs="仿宋"/>
                        <w:sz w:val="17"/>
                        <w:szCs w:val="17"/>
                      </w:rPr>
                    </w:pPr>
                    <w:r>
                      <w:rPr>
                        <w:rFonts w:ascii="仿宋" w:eastAsia="仿宋" w:hAnsi="仿宋" w:cs="仿宋"/>
                        <w:spacing w:val="5"/>
                        <w:sz w:val="17"/>
                        <w:szCs w:val="17"/>
                      </w:rPr>
                      <w:t>客流</w:t>
                    </w:r>
                  </w:p>
                </w:txbxContent>
              </v:textbox>
            </v:shape>
            <v:shape id="文本框 42" o:spid="_x0000_s1071" type="#_x0000_t202" style="width:940;height:535;left:699;position:absolute;top:955" filled="f" stroked="f">
              <o:lock v:ext="edit" aspectratio="f"/>
              <v:textbox inset="0,0,0,0">
                <w:txbxContent>
                  <w:p>
                    <w:pPr>
                      <w:spacing w:before="20" w:line="176" w:lineRule="auto"/>
                      <w:ind w:left="80"/>
                      <w:rPr>
                        <w:rFonts w:ascii="LiSu" w:eastAsia="LiSu" w:hAnsi="LiSu" w:cs="LiSu"/>
                      </w:rPr>
                    </w:pPr>
                    <w:r>
                      <w:rPr>
                        <w:rFonts w:ascii="LiSu" w:eastAsia="LiSu" w:hAnsi="LiSu" w:cs="LiSu"/>
                        <w:sz w:val="21"/>
                        <w:szCs w:val="21"/>
                      </w:rPr>
                      <w:t>市发改委</w:t>
                    </w:r>
                  </w:p>
                  <w:p>
                    <w:pPr>
                      <w:spacing w:before="118" w:line="188" w:lineRule="auto"/>
                      <w:ind w:left="20"/>
                      <w:rPr>
                        <w:rFonts w:ascii="STXinwei" w:eastAsia="STXinwei" w:hAnsi="STXinwei" w:cs="STXinwei"/>
                        <w:sz w:val="17"/>
                        <w:szCs w:val="17"/>
                      </w:rPr>
                    </w:pPr>
                    <w:r>
                      <w:rPr>
                        <w:rFonts w:ascii="STXinwei" w:eastAsia="STXinwei" w:hAnsi="STXinwei" w:cs="STXinwei"/>
                        <w:spacing w:val="-5"/>
                        <w:sz w:val="17"/>
                        <w:szCs w:val="17"/>
                      </w:rPr>
                      <w:t>蜂头</w:t>
                    </w:r>
                  </w:p>
                </w:txbxContent>
              </v:textbox>
            </v:shape>
            <v:shape id="文本框 43" o:spid="_x0000_s1072" type="#_x0000_t202" style="width:1843;height:632;left:279;position:absolute;top:1397" filled="f" stroked="f">
              <o:lock v:ext="edit" aspectratio="f"/>
              <v:textbox inset="0,0,0,0">
                <w:txbxContent>
                  <w:p>
                    <w:pPr>
                      <w:spacing w:before="20" w:line="204" w:lineRule="auto"/>
                      <w:ind w:left="460"/>
                      <w:rPr>
                        <w:rFonts w:ascii="STXinwei" w:eastAsia="STXinwei" w:hAnsi="STXinwei" w:cs="STXinwei"/>
                        <w:sz w:val="17"/>
                        <w:szCs w:val="17"/>
                      </w:rPr>
                    </w:pPr>
                    <w:r>
                      <w:rPr>
                        <w:rFonts w:ascii="STXinwei" w:eastAsia="STXinwei" w:hAnsi="STXinwei" w:cs="STXinwei"/>
                        <w:spacing w:val="-9"/>
                        <w:sz w:val="17"/>
                        <w:szCs w:val="17"/>
                      </w:rPr>
                      <w:t>中批</w:t>
                    </w:r>
                  </w:p>
                  <w:p>
                    <w:pPr>
                      <w:spacing w:before="1" w:line="201" w:lineRule="auto"/>
                      <w:ind w:left="100" w:right="20" w:hanging="80"/>
                      <w:rPr>
                        <w:rFonts w:ascii="LiSu" w:eastAsia="LiSu" w:hAnsi="LiSu" w:cs="LiSu"/>
                      </w:rPr>
                    </w:pPr>
                    <w:r>
                      <w:rPr>
                        <w:rFonts w:ascii="宋体" w:eastAsia="宋体" w:hAnsi="宋体" w:cs="宋体"/>
                        <w:color w:val="FFFFFF"/>
                        <w:spacing w:val="-2"/>
                        <w:sz w:val="21"/>
                        <w:szCs w:val="21"/>
                      </w:rPr>
                      <w:t>第一阶段*</w:t>
                    </w: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实施方案</w:t>
                    </w:r>
                    <w:r>
                      <w:rPr>
                        <w:rFonts w:ascii="宋体" w:eastAsia="宋体" w:hAnsi="宋体" w:cs="宋体"/>
                        <w:spacing w:val="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LiSu" w:eastAsia="LiSu" w:hAnsi="LiSu" w:cs="LiSu"/>
                        <w:spacing w:val="5"/>
                        <w:sz w:val="21"/>
                        <w:szCs w:val="21"/>
                      </w:rPr>
                      <w:t>的研究及审批阶段</w:t>
                    </w:r>
                  </w:p>
                </w:txbxContent>
              </v:textbox>
            </v:shape>
            <v:shape id="文本框 44" o:spid="_x0000_s1073" type="#_x0000_t202" style="width:649;height:487;left:3299;position:absolute;top:1030" filled="f" stroked="f">
              <o:lock v:ext="edit" aspectratio="f"/>
              <v:textbox inset="0,0,0,0">
                <w:txbxContent>
                  <w:p>
                    <w:pPr>
                      <w:spacing w:before="20" w:line="152" w:lineRule="exact"/>
                      <w:ind w:left="20"/>
                      <w:rPr>
                        <w:rFonts w:ascii="LiSu" w:eastAsia="LiSu" w:hAnsi="LiSu" w:cs="LiSu"/>
                      </w:rPr>
                    </w:pPr>
                    <w:r>
                      <w:rPr>
                        <w:rFonts w:ascii="LiSu" w:eastAsia="LiSu" w:hAnsi="LiSu" w:cs="LiSu"/>
                        <w:spacing w:val="-5"/>
                        <w:position w:val="-2"/>
                        <w:sz w:val="21"/>
                        <w:szCs w:val="21"/>
                      </w:rPr>
                      <w:t>国资委</w:t>
                    </w:r>
                  </w:p>
                  <w:p>
                    <w:pPr>
                      <w:spacing w:line="129" w:lineRule="exact"/>
                      <w:ind w:left="20"/>
                      <w:rPr>
                        <w:rFonts w:ascii="LiSu" w:eastAsia="LiSu" w:hAnsi="LiSu" w:cs="LiSu"/>
                      </w:rPr>
                    </w:pPr>
                    <w:r>
                      <w:rPr>
                        <w:rFonts w:ascii="LiSu" w:eastAsia="LiSu" w:hAnsi="LiSu" w:cs="LiSu"/>
                        <w:spacing w:val="-4"/>
                        <w:w w:val="98"/>
                        <w:position w:val="-3"/>
                        <w:sz w:val="21"/>
                        <w:szCs w:val="21"/>
                      </w:rPr>
                      <w:t>法制办</w:t>
                    </w:r>
                  </w:p>
                  <w:p>
                    <w:pPr>
                      <w:spacing w:line="178" w:lineRule="auto"/>
                      <w:ind w:left="2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28"/>
                        <w:sz w:val="17"/>
                        <w:szCs w:val="17"/>
                      </w:rPr>
                      <w:t>财政局</w:t>
                    </w:r>
                  </w:p>
                </w:txbxContent>
              </v:textbox>
            </v:shape>
            <v:shape id="文本框 45" o:spid="_x0000_s1074" type="#_x0000_t202" style="width:2290;height:156;left:2589;position:absolute;top:2392" filled="f" stroked="f">
              <o:lock v:ext="edit" aspectratio="f"/>
              <v:textbox inset="0,0,0,0">
                <w:txbxContent>
                  <w:p>
                    <w:pPr>
                      <w:spacing w:before="20" w:line="176" w:lineRule="auto"/>
                      <w:ind w:left="20"/>
                      <w:rPr>
                        <w:rFonts w:ascii="LiSu" w:eastAsia="LiSu" w:hAnsi="LiSu" w:cs="LiSu"/>
                        <w:sz w:val="17"/>
                        <w:szCs w:val="17"/>
                      </w:rPr>
                    </w:pPr>
                    <w:r>
                      <w:rPr>
                        <w:rFonts w:ascii="LiSu" w:eastAsia="LiSu" w:hAnsi="LiSu" w:cs="LiSu"/>
                        <w:spacing w:val="3"/>
                        <w:sz w:val="17"/>
                        <w:szCs w:val="17"/>
                      </w:rPr>
                      <w:t>北京市基础设施投资有限公司</w:t>
                    </w:r>
                  </w:p>
                </w:txbxContent>
              </v:textbox>
            </v:shape>
            <v:shape id="文本框 46" o:spid="_x0000_s1075" type="#_x0000_t202" style="width:661;height:392;left:3299;position:absolute;top:1418" filled="f" stroked="f">
              <o:lock v:ext="edit" aspectratio="f"/>
              <v:textbox inset="0,0,0,0">
                <w:txbxContent>
                  <w:p>
                    <w:pPr>
                      <w:spacing w:before="20" w:line="207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运输局</w:t>
                    </w:r>
                  </w:p>
                  <w:p>
                    <w:pPr>
                      <w:spacing w:line="177" w:lineRule="auto"/>
                      <w:ind w:left="20"/>
                      <w:rPr>
                        <w:rFonts w:ascii="LiSu" w:eastAsia="LiSu" w:hAnsi="LiSu" w:cs="LiSu"/>
                        <w:sz w:val="17"/>
                        <w:szCs w:val="17"/>
                      </w:rPr>
                    </w:pPr>
                    <w:r>
                      <w:rPr>
                        <w:rFonts w:ascii="LiSu" w:eastAsia="LiSu" w:hAnsi="LiSu" w:cs="LiSu"/>
                        <w:spacing w:val="31"/>
                        <w:sz w:val="17"/>
                        <w:szCs w:val="17"/>
                      </w:rPr>
                      <w:t>路政局</w:t>
                    </w:r>
                  </w:p>
                </w:txbxContent>
              </v:textbox>
            </v:shape>
            <v:shape id="文本框 47" o:spid="_x0000_s1076" type="#_x0000_t202" style="width:165;height:961;left:7699;position:absolute;top:1132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19" w:line="236" w:lineRule="auto"/>
                      <w:ind w:left="20"/>
                      <w:rPr>
                        <w:rFonts w:ascii="LiSu" w:eastAsia="LiSu" w:hAnsi="LiSu" w:cs="LiSu"/>
                        <w:sz w:val="12"/>
                        <w:szCs w:val="12"/>
                      </w:rPr>
                    </w:pPr>
                    <w:r>
                      <w:rPr>
                        <w:rFonts w:ascii="LiSu" w:eastAsia="LiSu" w:hAnsi="LiSu" w:cs="LiSu"/>
                        <w:sz w:val="12"/>
                        <w:szCs w:val="12"/>
                      </w:rPr>
                      <w:t>签</w:t>
                    </w:r>
                    <w:r>
                      <w:rPr>
                        <w:rFonts w:ascii="LiSu" w:eastAsia="LiSu" w:hAnsi="LiSu" w:cs="LiSu"/>
                        <w:spacing w:val="-2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LiSu" w:eastAsia="LiSu" w:hAnsi="LiSu" w:cs="LiSu"/>
                        <w:sz w:val="12"/>
                        <w:szCs w:val="12"/>
                      </w:rPr>
                      <w:t>署</w:t>
                    </w:r>
                    <w:r>
                      <w:rPr>
                        <w:rFonts w:ascii="LiSu" w:eastAsia="LiSu" w:hAnsi="LiSu" w:cs="LiSu"/>
                        <w:spacing w:val="-2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LiSu" w:eastAsia="LiSu" w:hAnsi="LiSu" w:cs="LiSu"/>
                        <w:sz w:val="12"/>
                        <w:szCs w:val="12"/>
                      </w:rPr>
                      <w:t>特</w:t>
                    </w:r>
                    <w:r>
                      <w:rPr>
                        <w:rFonts w:ascii="LiSu" w:eastAsia="LiSu" w:hAnsi="LiSu" w:cs="LiSu"/>
                        <w:spacing w:val="-2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LiSu" w:eastAsia="LiSu" w:hAnsi="LiSu" w:cs="LiSu"/>
                        <w:sz w:val="12"/>
                        <w:szCs w:val="12"/>
                      </w:rPr>
                      <w:t>许</w:t>
                    </w:r>
                    <w:r>
                      <w:rPr>
                        <w:rFonts w:ascii="LiSu" w:eastAsia="LiSu" w:hAnsi="LiSu" w:cs="LiSu"/>
                        <w:spacing w:val="-2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LiSu" w:eastAsia="LiSu" w:hAnsi="LiSu" w:cs="LiSu"/>
                        <w:sz w:val="12"/>
                        <w:szCs w:val="12"/>
                      </w:rPr>
                      <w:t>协</w:t>
                    </w:r>
                    <w:r>
                      <w:rPr>
                        <w:rFonts w:ascii="LiSu" w:eastAsia="LiSu" w:hAnsi="LiSu" w:cs="LiSu"/>
                        <w:spacing w:val="-2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LiSu" w:eastAsia="LiSu" w:hAnsi="LiSu" w:cs="LiSu"/>
                        <w:sz w:val="12"/>
                        <w:szCs w:val="12"/>
                      </w:rPr>
                      <w:t>议</w:t>
                    </w:r>
                  </w:p>
                </w:txbxContent>
              </v:textbox>
            </v:shape>
            <v:shape id="文本框 48" o:spid="_x0000_s1077" type="#_x0000_t202" style="width:300;height:310;left:4609;position:absolute;top:1170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27"/>
                        <w:szCs w:val="27"/>
                      </w:rPr>
                    </w:pPr>
                    <w:r>
                      <w:rPr>
                        <w:rFonts w:ascii="宋体" w:eastAsia="宋体" w:hAnsi="宋体" w:cs="宋体"/>
                        <w:sz w:val="27"/>
                        <w:szCs w:val="27"/>
                      </w:rPr>
                      <w:t>每</w:t>
                    </w:r>
                  </w:p>
                </w:txbxContent>
              </v:textbox>
            </v:shape>
            <v:shape id="文本框 49" o:spid="_x0000_s1078" type="#_x0000_t202" style="width:387;height:217;left:3039;position:absolute;top:3146" filled="f" stroked="f">
              <o:lock v:ext="edit" aspectratio="f"/>
              <v:textbox inset="0,0,0,0">
                <w:txbxContent>
                  <w:p>
                    <w:pPr>
                      <w:spacing w:before="19"/>
                      <w:ind w:left="20"/>
                      <w:rPr>
                        <w:rFonts w:ascii="STXinwei" w:eastAsia="STXinwei" w:hAnsi="STXinwei" w:cs="STXinwei"/>
                        <w:sz w:val="17"/>
                        <w:szCs w:val="17"/>
                      </w:rPr>
                    </w:pPr>
                    <w:r>
                      <w:rPr>
                        <w:rFonts w:ascii="STXinwei" w:eastAsia="STXinwei" w:hAnsi="STXinwei" w:cs="STXinwei"/>
                        <w:spacing w:val="3"/>
                        <w:sz w:val="17"/>
                        <w:szCs w:val="17"/>
                      </w:rPr>
                      <w:t>技术</w:t>
                    </w:r>
                  </w:p>
                </w:txbxContent>
              </v:textbox>
            </v:shape>
            <v:shape id="文本框 50" o:spid="_x0000_s1079" type="#_x0000_t202" style="width:399;height:210;left:1949;position:absolute;top:3136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9"/>
                        <w:sz w:val="17"/>
                        <w:szCs w:val="17"/>
                      </w:rPr>
                      <w:t>财务</w:t>
                    </w:r>
                  </w:p>
                </w:txbxContent>
              </v:textbox>
            </v:shape>
            <v:shape id="文本框 51" o:spid="_x0000_s1080" type="#_x0000_t202" style="width:370;height:151;left:2439;position:absolute;top:1156" filled="f" stroked="f">
              <o:lock v:ext="edit" aspectratio="f"/>
              <v:textbox inset="0,0,0,0">
                <w:txbxContent>
                  <w:p>
                    <w:pPr>
                      <w:spacing w:before="20" w:line="111" w:lineRule="exact"/>
                      <w:ind w:left="20"/>
                      <w:rPr>
                        <w:rFonts w:ascii="LiSu" w:eastAsia="LiSu" w:hAnsi="LiSu" w:cs="LiSu"/>
                        <w:sz w:val="17"/>
                        <w:szCs w:val="17"/>
                      </w:rPr>
                    </w:pPr>
                    <w:r>
                      <w:rPr>
                        <w:rFonts w:ascii="LiSu" w:eastAsia="LiSu" w:hAnsi="LiSu" w:cs="LiSu"/>
                        <w:spacing w:val="-3"/>
                        <w:position w:val="-2"/>
                        <w:sz w:val="17"/>
                        <w:szCs w:val="17"/>
                      </w:rPr>
                      <w:t>参与</w:t>
                    </w:r>
                  </w:p>
                </w:txbxContent>
              </v:textbox>
            </v:shape>
            <v:shape id="文本框 52" o:spid="_x0000_s1081" type="#_x0000_t202" style="width:369;height:213;left:2449;position:absolute;top:1236" filled="f" stroked="f">
              <o:lock v:ext="edit" aspectratio="f"/>
              <v:textbox inset="0,0,0,0">
                <w:txbxContent>
                  <w:p>
                    <w:pPr>
                      <w:spacing w:before="20" w:line="223" w:lineRule="auto"/>
                      <w:ind w:left="20"/>
                      <w:rPr>
                        <w:rFonts w:ascii="仿宋" w:eastAsia="仿宋" w:hAnsi="仿宋" w:cs="仿宋"/>
                        <w:sz w:val="17"/>
                        <w:szCs w:val="17"/>
                      </w:rPr>
                    </w:pPr>
                    <w:r>
                      <w:rPr>
                        <w:rFonts w:ascii="仿宋" w:eastAsia="仿宋" w:hAnsi="仿宋" w:cs="仿宋"/>
                        <w:spacing w:val="-3"/>
                        <w:sz w:val="17"/>
                        <w:szCs w:val="17"/>
                      </w:rPr>
                      <w:t>指导</w:t>
                    </w:r>
                  </w:p>
                </w:txbxContent>
              </v:textbox>
            </v:shape>
            <v:shape id="文本框 53" o:spid="_x0000_s1082" type="#_x0000_t202" style="width:330;height:213;left:1189;position:absolute;top:2275" filled="f" stroked="f">
              <o:lock v:ext="edit" aspectratio="f"/>
              <v:textbox inset="0,0,0,0">
                <w:txbxContent>
                  <w:p>
                    <w:pPr>
                      <w:spacing w:before="20" w:line="222" w:lineRule="auto"/>
                      <w:jc w:val="right"/>
                      <w:rPr>
                        <w:rFonts w:ascii="仿宋" w:eastAsia="仿宋" w:hAnsi="仿宋" w:cs="仿宋"/>
                        <w:sz w:val="17"/>
                        <w:szCs w:val="17"/>
                      </w:rPr>
                    </w:pPr>
                    <w:r>
                      <w:rPr>
                        <w:rFonts w:ascii="仿宋" w:eastAsia="仿宋" w:hAnsi="仿宋" w:cs="仿宋"/>
                        <w:spacing w:val="-27"/>
                        <w:w w:val="96"/>
                        <w:sz w:val="17"/>
                        <w:szCs w:val="17"/>
                      </w:rPr>
                      <w:t>报</w:t>
                    </w:r>
                    <w:r>
                      <w:rPr>
                        <w:rFonts w:ascii="仿宋" w:eastAsia="仿宋" w:hAnsi="仿宋" w:cs="仿宋"/>
                        <w:spacing w:val="-11"/>
                        <w:w w:val="96"/>
                        <w:sz w:val="17"/>
                        <w:szCs w:val="17"/>
                      </w:rPr>
                      <w:t>批</w:t>
                    </w:r>
                  </w:p>
                </w:txbxContent>
              </v:textbox>
            </v:shape>
            <v:shape id="文本框 54" o:spid="_x0000_s1083" type="#_x0000_t202" style="width:404;height:150;left:4149;position:absolute;top:3189" filled="f" stroked="f">
              <o:lock v:ext="edit" aspectratio="f"/>
              <v:textbox inset="0,0,0,0">
                <w:txbxContent>
                  <w:p>
                    <w:pPr>
                      <w:spacing w:before="19" w:line="174" w:lineRule="auto"/>
                      <w:ind w:left="20"/>
                      <w:rPr>
                        <w:rFonts w:ascii="LiSu" w:eastAsia="LiSu" w:hAnsi="LiSu" w:cs="LiSu"/>
                        <w:sz w:val="17"/>
                        <w:szCs w:val="17"/>
                      </w:rPr>
                    </w:pPr>
                    <w:r>
                      <w:rPr>
                        <w:rFonts w:ascii="LiSu" w:eastAsia="LiSu" w:hAnsi="LiSu" w:cs="LiSu"/>
                        <w:spacing w:val="11"/>
                        <w:sz w:val="17"/>
                        <w:szCs w:val="17"/>
                      </w:rPr>
                      <w:t>法律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before="189" w:line="222" w:lineRule="auto"/>
        <w:ind w:left="234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4"/>
          <w:sz w:val="27"/>
          <w:szCs w:val="27"/>
        </w:rPr>
        <w:t>图4北京地铁4号线</w:t>
      </w:r>
      <w:r>
        <w:rPr>
          <w:rFonts w:ascii="仿宋" w:eastAsia="仿宋" w:hAnsi="仿宋" w:cs="仿宋"/>
          <w:spacing w:val="-46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仿宋" w:eastAsia="仿宋" w:hAnsi="仿宋" w:cs="仿宋"/>
          <w:spacing w:val="24"/>
          <w:sz w:val="27"/>
          <w:szCs w:val="27"/>
        </w:rPr>
        <w:t>项目招商组织架构</w:t>
      </w:r>
    </w:p>
    <w:p>
      <w:pPr>
        <w:spacing w:before="243" w:line="222" w:lineRule="auto"/>
        <w:ind w:left="154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5"/>
          <w:sz w:val="27"/>
          <w:szCs w:val="27"/>
        </w:rPr>
        <w:t>(二)构建合理的收益分配及风险分担机制</w:t>
      </w:r>
    </w:p>
    <w:p>
      <w:pPr>
        <w:spacing w:before="106" w:line="301" w:lineRule="auto"/>
        <w:ind w:left="820" w:right="625" w:firstLine="11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北京地铁4号线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6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项目中政府方和社会投资人的顺畅</w:t>
      </w:r>
      <w:r>
        <w:rPr>
          <w:rFonts w:ascii="仿宋" w:eastAsia="仿宋" w:hAnsi="仿宋" w:cs="仿宋"/>
          <w:spacing w:val="8"/>
          <w:sz w:val="27"/>
          <w:szCs w:val="27"/>
        </w:rPr>
        <w:t>合作，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得益于项目具有合理的收益分配机制以及有效的风险分担机制。该项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 目通过票价机制和客流机制的巧妙设计，在社会投资人的经济利益和</w:t>
      </w:r>
      <w:r>
        <w:rPr>
          <w:rFonts w:ascii="仿宋" w:eastAsia="仿宋" w:hAnsi="仿宋" w:cs="仿宋"/>
          <w:spacing w:val="9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5"/>
          <w:sz w:val="27"/>
          <w:szCs w:val="27"/>
        </w:rPr>
        <w:t>政府方的公共利益之间找到了有效平衡点，在为社会投资人带来合理</w:t>
      </w:r>
    </w:p>
    <w:p>
      <w:pPr>
        <w:spacing w:line="222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预期收益的同时，提高了北京市轨道交通领域的管理和服务效率。</w:t>
      </w:r>
    </w:p>
    <w:p>
      <w:pPr>
        <w:spacing w:before="113" w:line="222" w:lineRule="auto"/>
        <w:ind w:left="19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3"/>
          <w:sz w:val="27"/>
          <w:szCs w:val="27"/>
        </w:rPr>
        <w:t>1、</w:t>
      </w:r>
      <w:r>
        <w:rPr>
          <w:rFonts w:ascii="仿宋" w:eastAsia="仿宋" w:hAnsi="仿宋" w:cs="仿宋"/>
          <w:spacing w:val="-8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3"/>
          <w:sz w:val="27"/>
          <w:szCs w:val="27"/>
        </w:rPr>
        <w:t>票价机制</w:t>
      </w:r>
    </w:p>
    <w:p>
      <w:pPr>
        <w:spacing w:before="125" w:line="276" w:lineRule="auto"/>
        <w:ind w:left="820" w:right="805" w:firstLine="11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4号线运营票价实行政府定价管理，实际平均人次票价不能</w:t>
      </w:r>
      <w:r>
        <w:rPr>
          <w:rFonts w:ascii="仿宋" w:eastAsia="仿宋" w:hAnsi="仿宋" w:cs="仿宋"/>
          <w:spacing w:val="1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完全反映地铁线路本身的运行成本和合理收益等财务特征。因此，项</w:t>
      </w:r>
      <w:r>
        <w:rPr>
          <w:rFonts w:ascii="仿宋" w:eastAsia="仿宋" w:hAnsi="仿宋" w:cs="仿宋"/>
          <w:spacing w:val="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目采用“测算票价”作为确定投资方运营收入的依据，同时建立了测</w:t>
      </w:r>
      <w:r>
        <w:rPr>
          <w:rFonts w:ascii="仿宋" w:eastAsia="仿宋" w:hAnsi="仿宋" w:cs="仿宋"/>
          <w:spacing w:val="1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算票价的调整机制。</w:t>
      </w:r>
    </w:p>
    <w:p>
      <w:pPr>
        <w:spacing w:before="145" w:line="301" w:lineRule="auto"/>
        <w:ind w:left="820" w:right="812" w:firstLine="11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以测算票价为基础，特许经营协议中约定了相应的票价差额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补偿和收益分享机制，构建了票价风险的分担机制。如果实际票价收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入水平低于测算票价收入水平，市政府需就其差额给予特许经营公司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补偿。如果实际票价收入水平高于测算票价收入水平，特许经营公司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应将其差额的70%返还给市政府。四号线</w:t>
      </w:r>
      <w:r>
        <w:rPr>
          <w:rFonts w:ascii="仿宋" w:eastAsia="仿宋" w:hAnsi="仿宋" w:cs="仿宋"/>
          <w:spacing w:val="-62"/>
          <w:sz w:val="27"/>
          <w:szCs w:val="27"/>
        </w:rPr>
        <w:t xml:space="preserve"> 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4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项目票价补偿和返还机</w:t>
      </w:r>
    </w:p>
    <w:p>
      <w:pPr>
        <w:spacing w:before="1" w:line="221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1"/>
          <w:sz w:val="27"/>
          <w:szCs w:val="27"/>
        </w:rPr>
        <w:t>制见图5所示。</w:t>
      </w:r>
    </w:p>
    <w:p>
      <w:pPr>
        <w:spacing w:line="221" w:lineRule="auto"/>
        <w:rPr>
          <w:rFonts w:ascii="仿宋" w:eastAsia="仿宋" w:hAnsi="仿宋" w:cs="仿宋"/>
          <w:sz w:val="27"/>
          <w:szCs w:val="27"/>
        </w:rPr>
        <w:sectPr>
          <w:footerReference w:type="default" r:id="rId44"/>
          <w:pgSz w:w="11910" w:h="16840"/>
          <w:pgMar w:top="834" w:right="1019" w:bottom="1173" w:left="999" w:header="0" w:footer="971" w:gutter="0"/>
          <w:pgNumType w:start="34"/>
          <w:cols w:space="708"/>
        </w:sectPr>
      </w:pPr>
    </w:p>
    <w:tbl>
      <w:tblPr>
        <w:tblStyle w:val="TableNormal17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30"/>
        <w:gridCol w:w="4680"/>
        <w:gridCol w:w="271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0"/>
        </w:trPr>
        <w:tc>
          <w:tcPr>
            <w:tcW w:w="2530" w:type="dxa"/>
            <w:tcBorders>
              <w:left w:val="nil"/>
            </w:tcBorders>
          </w:tcPr>
          <w:p>
            <w:pPr>
              <w:pStyle w:val="TableText"/>
              <w:spacing w:before="21" w:line="219" w:lineRule="auto"/>
              <w:ind w:left="123"/>
            </w:pPr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4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8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40000"/>
                <w:spacing w:val="-4"/>
              </w:rPr>
              <w:t>书山有路勤为径，学海无涯苦作舟</w:t>
            </w:r>
          </w:p>
        </w:tc>
        <w:tc>
          <w:tcPr>
            <w:tcW w:w="2710" w:type="dxa"/>
            <w:tcBorders>
              <w:right w:val="nil"/>
            </w:tcBorders>
          </w:tcPr>
          <w:p>
            <w:pPr>
              <w:spacing w:line="252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页码：第25页共79页</w:t>
            </w:r>
          </w:p>
        </w:tc>
      </w:tr>
    </w:tbl>
    <w:p>
      <w:pPr>
        <w:pStyle w:val="BodyText"/>
        <w:spacing w:line="313" w:lineRule="auto"/>
      </w:pPr>
    </w:p>
    <w:p>
      <w:pPr>
        <w:pStyle w:val="BodyText"/>
        <w:spacing w:line="3290" w:lineRule="exact"/>
        <w:ind w:firstLine="1310"/>
      </w:pPr>
      <w:r>
        <w:rPr>
          <w:position w:val="-65"/>
        </w:rPr>
        <w:pict>
          <v:group id="组合 55" o:spid="_x0000_i1084" style="width:342.5pt;height:164.55pt;mso-position-horizontal-relative:char;mso-position-vertical-relative:line" coordorigin="0,0" coordsize="6850,3291">
            <v:shape id="图片 56" o:spid="_x0000_s1085" type="#_x0000_t75" style="width:6850;height:3291;position:absolute" filled="f" stroked="f">
              <v:imagedata r:id="rId45" o:title=""/>
              <v:path o:extrusionok="f"/>
              <o:lock v:ext="edit" aspectratio="t"/>
            </v:shape>
            <v:shape id="文本框 57" o:spid="_x0000_s1086" type="#_x0000_t202" style="width:5710;height:2792;left:1052;position:absolute;top:69" filled="f" stroked="f">
              <o:lock v:ext="edit" aspectratio="f"/>
              <v:textbox inset="0,0,0,0">
                <w:txbxContent>
                  <w:p>
                    <w:pPr>
                      <w:spacing w:before="19" w:line="156" w:lineRule="auto"/>
                      <w:ind w:left="3790" w:right="20" w:hanging="1010"/>
                      <w:rPr>
                        <w:rFonts w:ascii="LiSu" w:eastAsia="LiSu" w:hAnsi="LiSu" w:cs="LiSu"/>
                        <w:sz w:val="22"/>
                        <w:szCs w:val="22"/>
                      </w:rPr>
                    </w:pPr>
                    <w:r>
                      <w:rPr>
                        <w:rFonts w:ascii="LiSu" w:eastAsia="LiSu" w:hAnsi="LiSu" w:cs="LiSu"/>
                        <w:b/>
                        <w:bCs/>
                        <w:spacing w:val="-10"/>
                        <w:w w:val="96"/>
                        <w:sz w:val="24"/>
                        <w:szCs w:val="24"/>
                      </w:rPr>
                      <w:t>经调整后的测算平均人次票价</w:t>
                    </w:r>
                    <w:r>
                      <w:rPr>
                        <w:rFonts w:ascii="LiSu" w:eastAsia="LiSu" w:hAnsi="LiSu" w:cs="LiSu"/>
                        <w:spacing w:val="1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LiSu" w:eastAsia="LiSu" w:hAnsi="LiSu" w:cs="LiSu"/>
                        <w:b/>
                        <w:bCs/>
                        <w:spacing w:val="2"/>
                        <w:sz w:val="22"/>
                        <w:szCs w:val="22"/>
                      </w:rPr>
                      <w:t>收入水平</w:t>
                    </w:r>
                  </w:p>
                  <w:p>
                    <w:pPr>
                      <w:spacing w:line="433" w:lineRule="auto"/>
                    </w:pPr>
                  </w:p>
                  <w:p>
                    <w:pPr>
                      <w:spacing w:before="72" w:line="172" w:lineRule="auto"/>
                      <w:ind w:left="376"/>
                      <w:rPr>
                        <w:rFonts w:ascii="LiSu" w:eastAsia="LiSu" w:hAnsi="LiSu" w:cs="LiSu"/>
                        <w:sz w:val="22"/>
                        <w:szCs w:val="22"/>
                      </w:rPr>
                    </w:pPr>
                    <w:r>
                      <w:rPr>
                        <w:rFonts w:ascii="LiSu" w:eastAsia="LiSu" w:hAnsi="LiSu" w:cs="LiSu"/>
                        <w:sz w:val="22"/>
                        <w:szCs w:val="22"/>
                      </w:rPr>
                      <w:t>是</w:t>
                    </w:r>
                  </w:p>
                  <w:p>
                    <w:pPr>
                      <w:spacing w:line="419" w:lineRule="auto"/>
                    </w:pPr>
                  </w:p>
                  <w:p>
                    <w:pPr>
                      <w:spacing w:before="71" w:line="175" w:lineRule="auto"/>
                      <w:ind w:left="20"/>
                      <w:rPr>
                        <w:rFonts w:ascii="LiSu" w:eastAsia="LiSu" w:hAnsi="LiSu" w:cs="LiSu"/>
                        <w:sz w:val="22"/>
                        <w:szCs w:val="22"/>
                      </w:rPr>
                    </w:pPr>
                    <w:r>
                      <w:rPr>
                        <w:rFonts w:ascii="LiSu" w:eastAsia="LiSu" w:hAnsi="LiSu" w:cs="LiSu"/>
                        <w:b/>
                        <w:bCs/>
                        <w:spacing w:val="-6"/>
                        <w:w w:val="97"/>
                        <w:sz w:val="22"/>
                        <w:szCs w:val="22"/>
                      </w:rPr>
                      <w:t>差额部分</w:t>
                    </w:r>
                  </w:p>
                  <w:p>
                    <w:pPr>
                      <w:spacing w:before="84" w:line="181" w:lineRule="auto"/>
                      <w:ind w:left="4458"/>
                      <w:rPr>
                        <w:rFonts w:ascii="仿宋" w:eastAsia="仿宋" w:hAnsi="仿宋" w:cs="仿宋"/>
                        <w:sz w:val="13"/>
                        <w:szCs w:val="13"/>
                      </w:rPr>
                    </w:pPr>
                    <w:r>
                      <w:rPr>
                        <w:rFonts w:ascii="仿宋" w:eastAsia="仿宋" w:hAnsi="仿宋" w:cs="仿宋"/>
                        <w:b/>
                        <w:bCs/>
                        <w:spacing w:val="-5"/>
                        <w:sz w:val="13"/>
                        <w:szCs w:val="13"/>
                      </w:rPr>
                      <w:t>100%</w:t>
                    </w:r>
                  </w:p>
                  <w:p>
                    <w:pPr>
                      <w:spacing w:before="251" w:line="151" w:lineRule="exact"/>
                      <w:ind w:left="3300"/>
                      <w:rPr>
                        <w:rFonts w:ascii="LiSu" w:eastAsia="LiSu" w:hAnsi="LiSu" w:cs="LiSu"/>
                        <w:sz w:val="22"/>
                        <w:szCs w:val="22"/>
                      </w:rPr>
                    </w:pPr>
                    <w:r>
                      <w:rPr>
                        <w:rFonts w:ascii="LiSu" w:eastAsia="LiSu" w:hAnsi="LiSu" w:cs="LiSu"/>
                        <w:b/>
                        <w:bCs/>
                        <w:spacing w:val="-1"/>
                        <w:position w:val="-2"/>
                        <w:sz w:val="22"/>
                        <w:szCs w:val="22"/>
                      </w:rPr>
                      <w:t>由市政府给予特许公</w:t>
                    </w:r>
                  </w:p>
                  <w:p>
                    <w:pPr>
                      <w:spacing w:before="111" w:line="217" w:lineRule="auto"/>
                      <w:ind w:left="29"/>
                      <w:rPr>
                        <w:rFonts w:ascii="黑体" w:eastAsia="黑体" w:hAnsi="黑体" w:cs="黑体"/>
                        <w:sz w:val="13"/>
                        <w:szCs w:val="13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-30"/>
                        <w:sz w:val="22"/>
                        <w:szCs w:val="22"/>
                      </w:rPr>
                      <w:t>金|</w:t>
                    </w:r>
                    <w:r>
                      <w:rPr>
                        <w:rFonts w:ascii="黑体" w:eastAsia="黑体" w:hAnsi="黑体" w:cs="黑体"/>
                        <w:sz w:val="13"/>
                        <w:szCs w:val="13"/>
                      </w:rPr>
                      <w:t>的</w:t>
                    </w:r>
                  </w:p>
                </w:txbxContent>
              </v:textbox>
            </v:shape>
            <v:shape id="文本框 58" o:spid="_x0000_s1087" type="#_x0000_t202" style="width:2041;height:382;left:4333;position:absolute;top:2474" filled="f" stroked="f">
              <o:lock v:ext="edit" aspectratio="f"/>
              <v:textbox inset="0,0,0,0">
                <w:txbxContent>
                  <w:p>
                    <w:pPr>
                      <w:spacing w:before="20" w:line="342" w:lineRule="exact"/>
                      <w:ind w:left="20"/>
                    </w:pPr>
                    <w:r>
                      <w:ruby>
                        <w:rubyPr>
                          <w:rubyAlign w:val="left"/>
                          <w:hps w:val="22"/>
                          <w:hpsRaise w:val="10"/>
                          <w:hpsBaseText w:val="21"/>
                          <w:lid w:val="en-US"/>
                        </w:rubyPr>
                        <w:rt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w w:val="97"/>
                              <w:position w:val="1"/>
                              <w:sz w:val="22"/>
                              <w:szCs w:val="22"/>
                            </w:rPr>
                            <w:t>司</w:t>
                          </w:r>
                        </w:rt>
                        <w:rubyBase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w w:val="95"/>
                              <w:position w:val="-7"/>
                              <w:sz w:val="22"/>
                              <w:szCs w:val="22"/>
                            </w:rPr>
                            <w:t>部</w:t>
                          </w:r>
                        </w:rubyBase>
                      </w:ruby>
                    </w:r>
                    <w:r>
                      <w:ruby>
                        <w:rubyPr>
                          <w:rubyAlign w:val="left"/>
                          <w:hps w:val="22"/>
                          <w:hpsRaise w:val="10"/>
                          <w:hpsBaseText w:val="21"/>
                          <w:lid w:val="en-US"/>
                        </w:rubyPr>
                        <w:rt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w w:val="98"/>
                              <w:position w:val="1"/>
                              <w:sz w:val="22"/>
                              <w:szCs w:val="22"/>
                            </w:rPr>
                            <w:t>补</w:t>
                          </w:r>
                        </w:rt>
                        <w:rubyBase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w w:val="99"/>
                              <w:position w:val="-7"/>
                              <w:sz w:val="22"/>
                              <w:szCs w:val="22"/>
                            </w:rPr>
                            <w:t>分</w:t>
                          </w:r>
                        </w:rubyBase>
                      </w:ruby>
                    </w:r>
                    <w:r>
                      <w:ruby>
                        <w:rubyPr>
                          <w:rubyAlign w:val="left"/>
                          <w:hps w:val="22"/>
                          <w:hpsRaise w:val="10"/>
                          <w:hpsBaseText w:val="21"/>
                          <w:lid w:val="en-US"/>
                        </w:rubyPr>
                        <w:rt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w w:val="98"/>
                              <w:position w:val="1"/>
                              <w:sz w:val="22"/>
                              <w:szCs w:val="22"/>
                            </w:rPr>
                            <w:t>偿</w:t>
                          </w:r>
                        </w:rt>
                        <w:rubyBase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position w:val="-7"/>
                              <w:sz w:val="22"/>
                              <w:szCs w:val="22"/>
                            </w:rPr>
                            <w:t>风</w:t>
                          </w:r>
                        </w:rubyBase>
                      </w:ruby>
                    </w:r>
                    <w:r>
                      <w:ruby>
                        <w:rubyPr>
                          <w:rubyAlign w:val="left"/>
                          <w:hps w:val="22"/>
                          <w:hpsRaise w:val="10"/>
                          <w:hpsBaseText w:val="21"/>
                          <w:lid w:val="en-US"/>
                        </w:rubyPr>
                        <w:rt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w w:val="23"/>
                              <w:position w:val="1"/>
                              <w:sz w:val="22"/>
                              <w:szCs w:val="22"/>
                            </w:rPr>
                            <w:t>，</w:t>
                          </w:r>
                        </w:rt>
                        <w:rubyBase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position w:val="-7"/>
                              <w:sz w:val="22"/>
                              <w:szCs w:val="22"/>
                            </w:rPr>
                            <w:t>险</w:t>
                          </w:r>
                        </w:rubyBase>
                      </w:ruby>
                    </w:r>
                    <w:r>
                      <w:ruby>
                        <w:rubyPr>
                          <w:rubyAlign w:val="left"/>
                          <w:hps w:val="22"/>
                          <w:hpsRaise w:val="10"/>
                          <w:hpsBaseText w:val="21"/>
                          <w:lid w:val="en-US"/>
                        </w:rubyPr>
                        <w:rt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w w:val="95"/>
                              <w:position w:val="1"/>
                              <w:sz w:val="22"/>
                              <w:szCs w:val="22"/>
                            </w:rPr>
                            <w:t>即</w:t>
                          </w:r>
                        </w:rt>
                        <w:rubyBase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position w:val="-7"/>
                              <w:sz w:val="22"/>
                              <w:szCs w:val="22"/>
                            </w:rPr>
                            <w:t>由</w:t>
                          </w:r>
                        </w:rubyBase>
                      </w:ruby>
                    </w:r>
                    <w:r>
                      <w:ruby>
                        <w:rubyPr>
                          <w:rubyAlign w:val="left"/>
                          <w:hps w:val="22"/>
                          <w:hpsRaise w:val="10"/>
                          <w:hpsBaseText w:val="21"/>
                          <w:lid w:val="en-US"/>
                        </w:rubyPr>
                        <w:rt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w w:val="94"/>
                              <w:position w:val="1"/>
                              <w:sz w:val="22"/>
                              <w:szCs w:val="22"/>
                            </w:rPr>
                            <w:t>票</w:t>
                          </w:r>
                        </w:rt>
                        <w:rubyBase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position w:val="-7"/>
                              <w:sz w:val="22"/>
                              <w:szCs w:val="22"/>
                            </w:rPr>
                            <w:t>政</w:t>
                          </w:r>
                        </w:rubyBase>
                      </w:ruby>
                    </w:r>
                    <w:r>
                      <w:ruby>
                        <w:rubyPr>
                          <w:rubyAlign w:val="left"/>
                          <w:hps w:val="22"/>
                          <w:hpsRaise w:val="10"/>
                          <w:hpsBaseText w:val="21"/>
                          <w:lid w:val="en-US"/>
                        </w:rubyPr>
                        <w:rt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w w:val="92"/>
                              <w:position w:val="1"/>
                              <w:sz w:val="22"/>
                              <w:szCs w:val="22"/>
                            </w:rPr>
                            <w:t>价</w:t>
                          </w:r>
                        </w:rt>
                        <w:rubyBase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position w:val="-7"/>
                              <w:sz w:val="22"/>
                              <w:szCs w:val="22"/>
                            </w:rPr>
                            <w:t>府</w:t>
                          </w:r>
                        </w:rubyBase>
                      </w:ruby>
                    </w:r>
                    <w:r>
                      <w:ruby>
                        <w:rubyPr>
                          <w:rubyAlign w:val="left"/>
                          <w:hps w:val="22"/>
                          <w:hpsRaise w:val="10"/>
                          <w:hpsBaseText w:val="21"/>
                          <w:lid w:val="en-US"/>
                        </w:rubyPr>
                        <w:rt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w w:val="91"/>
                              <w:position w:val="1"/>
                              <w:sz w:val="22"/>
                              <w:szCs w:val="22"/>
                            </w:rPr>
                            <w:t>收</w:t>
                          </w:r>
                        </w:rt>
                        <w:rubyBase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position w:val="-7"/>
                              <w:sz w:val="22"/>
                              <w:szCs w:val="22"/>
                            </w:rPr>
                            <w:t>承</w:t>
                          </w:r>
                        </w:rubyBase>
                      </w:ruby>
                    </w:r>
                    <w:r>
                      <w:ruby>
                        <w:rubyPr>
                          <w:rubyAlign w:val="left"/>
                          <w:hps w:val="22"/>
                          <w:hpsRaise w:val="10"/>
                          <w:hpsBaseText w:val="21"/>
                          <w:lid w:val="en-US"/>
                        </w:rubyPr>
                        <w:rt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w w:val="89"/>
                              <w:position w:val="1"/>
                              <w:sz w:val="22"/>
                              <w:szCs w:val="22"/>
                            </w:rPr>
                            <w:t>入</w:t>
                          </w:r>
                        </w:rt>
                        <w:rubyBase>
                          <w:r>
                            <w:rPr>
                              <w:rFonts w:ascii="LiSu" w:eastAsia="LiSu" w:hAnsi="LiSu" w:cs="LiSu"/>
                              <w:b/>
                              <w:bCs/>
                              <w:position w:val="-7"/>
                              <w:sz w:val="22"/>
                              <w:szCs w:val="22"/>
                            </w:rPr>
                            <w:t>担</w:t>
                          </w:r>
                        </w:rubyBase>
                      </w:ruby>
                    </w:r>
                  </w:p>
                </w:txbxContent>
              </v:textbox>
            </v:shape>
            <v:shape id="文本框 59" o:spid="_x0000_s1088" type="#_x0000_t202" style="width:2703;height:260;left:243;position:absolute;top:114" filled="f" stroked="f">
              <o:lock v:ext="edit" aspectratio="f"/>
              <v:textbox inset="0,0,0,0">
                <w:txbxContent>
                  <w:p>
                    <w:pPr>
                      <w:spacing w:before="19" w:line="218" w:lineRule="auto"/>
                      <w:ind w:left="20"/>
                      <w:rPr>
                        <w:rFonts w:ascii="宋体" w:eastAsia="宋体" w:hAnsi="宋体" w:cs="宋体"/>
                        <w:sz w:val="22"/>
                        <w:szCs w:val="22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1"/>
                        <w:sz w:val="22"/>
                        <w:szCs w:val="22"/>
                      </w:rPr>
                      <w:t>实际平均人次票价收入水平</w:t>
                    </w:r>
                  </w:p>
                </w:txbxContent>
              </v:textbox>
            </v:shape>
            <v:shape id="文本框 60" o:spid="_x0000_s1089" type="#_x0000_t202" style="width:1370;height:430;left:2812;position:absolute;top:956" filled="f" stroked="f">
              <o:lock v:ext="edit" aspectratio="f"/>
              <v:textbox inset="0,0,0,0">
                <w:txbxContent>
                  <w:p>
                    <w:pPr>
                      <w:spacing w:before="20" w:line="189" w:lineRule="auto"/>
                      <w:ind w:left="218" w:right="20" w:hanging="19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9"/>
                        <w:sz w:val="21"/>
                        <w:szCs w:val="21"/>
                      </w:rPr>
                      <w:t>比较前者是否</w:t>
                    </w:r>
                    <w:r>
                      <w:rPr>
                        <w:rFonts w:ascii="宋体" w:eastAsia="宋体" w:hAnsi="宋体" w:cs="宋体"/>
                        <w:spacing w:val="1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b/>
                        <w:bCs/>
                        <w:spacing w:val="13"/>
                        <w:sz w:val="21"/>
                        <w:szCs w:val="21"/>
                      </w:rPr>
                      <w:t>大于后者</w:t>
                    </w:r>
                  </w:p>
                </w:txbxContent>
              </v:textbox>
            </v:shape>
            <v:shape id="文本框 61" o:spid="_x0000_s1090" type="#_x0000_t202" style="width:909;height:260;left:4893;position:absolute;top:1635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22"/>
                        <w:szCs w:val="22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5"/>
                        <w:sz w:val="22"/>
                        <w:szCs w:val="22"/>
                      </w:rPr>
                      <w:t>差额部分</w:t>
                    </w:r>
                  </w:p>
                </w:txbxContent>
              </v:textbox>
            </v:shape>
            <v:shape id="文本框 62" o:spid="_x0000_s1091" type="#_x0000_t202" style="width:527;height:367;left:2162;position:absolute;top:2318" filled="f" stroked="f">
              <o:lock v:ext="edit" aspectratio="f"/>
              <v:textbox inset="0,0,0,0">
                <w:txbxContent>
                  <w:p>
                    <w:pPr>
                      <w:spacing w:before="19" w:line="224" w:lineRule="auto"/>
                      <w:jc w:val="right"/>
                      <w:rPr>
                        <w:rFonts w:ascii="仿宋" w:eastAsia="仿宋" w:hAnsi="仿宋" w:cs="仿宋"/>
                        <w:sz w:val="32"/>
                        <w:szCs w:val="32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spacing w:val="-31"/>
                        <w:w w:val="83"/>
                        <w:sz w:val="32"/>
                        <w:szCs w:val="32"/>
                      </w:rPr>
                      <w:t>酱</w:t>
                    </w:r>
                    <w:r>
                      <w:rPr>
                        <w:rFonts w:ascii="仿宋" w:eastAsia="仿宋" w:hAnsi="仿宋" w:cs="仿宋"/>
                        <w:b/>
                        <w:bCs/>
                        <w:spacing w:val="-21"/>
                        <w:w w:val="83"/>
                        <w:sz w:val="32"/>
                        <w:szCs w:val="32"/>
                      </w:rPr>
                      <w:t>旗</w:t>
                    </w:r>
                  </w:p>
                </w:txbxContent>
              </v:textbox>
            </v:shape>
            <v:shape id="文本框 63" o:spid="_x0000_s1092" type="#_x0000_t202" style="width:181;height:530;left:1918;position:absolute;top:2322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20" w:line="216" w:lineRule="auto"/>
                      <w:ind w:left="20"/>
                      <w:rPr>
                        <w:rFonts w:ascii="宋体" w:eastAsia="宋体" w:hAnsi="宋体" w:cs="宋体"/>
                        <w:sz w:val="14"/>
                        <w:szCs w:val="14"/>
                      </w:rPr>
                    </w:pPr>
                    <w:r>
                      <w:rPr>
                        <w:rFonts w:ascii="宋体" w:eastAsia="宋体" w:hAnsi="宋体" w:cs="宋体"/>
                        <w:spacing w:val="23"/>
                        <w:sz w:val="14"/>
                        <w:szCs w:val="14"/>
                      </w:rPr>
                      <w:t>归公有</w:t>
                    </w:r>
                  </w:p>
                </w:txbxContent>
              </v:textbox>
            </v:shape>
            <v:shape id="文本框 64" o:spid="_x0000_s1093" type="#_x0000_t202" style="width:258;height:175;left:5339;position:absolute;top:994" filled="f" stroked="f">
              <o:lock v:ext="edit" aspectratio="f"/>
              <v:textbox inset="0,0,0,0">
                <w:txbxContent>
                  <w:p>
                    <w:pPr>
                      <w:spacing w:before="19" w:line="168" w:lineRule="auto"/>
                      <w:ind w:left="20"/>
                      <w:rPr>
                        <w:rFonts w:ascii="LiSu" w:eastAsia="LiSu" w:hAnsi="LiSu" w:cs="LiSu"/>
                        <w:sz w:val="22"/>
                        <w:szCs w:val="22"/>
                      </w:rPr>
                    </w:pPr>
                    <w:r>
                      <w:rPr>
                        <w:rFonts w:ascii="LiSu" w:eastAsia="LiSu" w:hAnsi="LiSu" w:cs="LiSu"/>
                        <w:sz w:val="22"/>
                        <w:szCs w:val="22"/>
                      </w:rPr>
                      <w:t>否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before="257" w:line="222" w:lineRule="auto"/>
        <w:ind w:left="34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8"/>
          <w:sz w:val="27"/>
          <w:szCs w:val="27"/>
        </w:rPr>
        <w:t>图5票价补偿和返还机制</w:t>
      </w:r>
    </w:p>
    <w:p>
      <w:pPr>
        <w:spacing w:before="235" w:line="222" w:lineRule="auto"/>
        <w:ind w:left="13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2"/>
          <w:sz w:val="27"/>
          <w:szCs w:val="27"/>
        </w:rPr>
        <w:t>2、</w:t>
      </w:r>
      <w:r>
        <w:rPr>
          <w:rFonts w:ascii="仿宋" w:eastAsia="仿宋" w:hAnsi="仿宋" w:cs="仿宋"/>
          <w:spacing w:val="-5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2"/>
          <w:sz w:val="27"/>
          <w:szCs w:val="27"/>
        </w:rPr>
        <w:t>客流机制</w:t>
      </w:r>
    </w:p>
    <w:p>
      <w:pPr>
        <w:spacing w:before="125" w:line="276" w:lineRule="auto"/>
        <w:ind w:left="809" w:right="833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票款是4号线实现盈利的主要收入来源，由于采用政府定价</w:t>
      </w:r>
      <w:r>
        <w:rPr>
          <w:rFonts w:ascii="仿宋" w:eastAsia="仿宋" w:hAnsi="仿宋" w:cs="仿宋"/>
          <w:spacing w:val="8"/>
          <w:sz w:val="27"/>
          <w:szCs w:val="27"/>
        </w:rPr>
        <w:t>，客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流量成为影响项目收益的主要因素。客流量既受特许公司服务质量的</w:t>
      </w:r>
      <w:r>
        <w:rPr>
          <w:rFonts w:ascii="仿宋" w:eastAsia="仿宋" w:hAnsi="仿宋" w:cs="仿宋"/>
          <w:spacing w:val="1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影响，也受市政府城市规划等因素的影响，因此，需要建立一种风险</w:t>
      </w:r>
      <w:r>
        <w:rPr>
          <w:rFonts w:ascii="仿宋" w:eastAsia="仿宋" w:hAnsi="仿宋" w:cs="仿宋"/>
          <w:spacing w:val="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共担、收益共享的客流机制。</w:t>
      </w:r>
    </w:p>
    <w:p>
      <w:pPr>
        <w:spacing w:before="137" w:line="301" w:lineRule="auto"/>
        <w:ind w:left="809" w:right="882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2"/>
          <w:sz w:val="27"/>
          <w:szCs w:val="27"/>
        </w:rPr>
        <w:t>4号线项目的客流机制为：当客流量连续三年低于预</w:t>
      </w:r>
      <w:r>
        <w:rPr>
          <w:rFonts w:ascii="仿宋" w:eastAsia="仿宋" w:hAnsi="仿宋" w:cs="仿宋"/>
          <w:spacing w:val="11"/>
          <w:sz w:val="27"/>
          <w:szCs w:val="27"/>
        </w:rPr>
        <w:t>测客流的</w:t>
      </w:r>
      <w:r>
        <w:rPr>
          <w:rFonts w:ascii="仿宋" w:eastAsia="仿宋" w:hAnsi="仿宋" w:cs="仿宋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13"/>
          <w:sz w:val="27"/>
          <w:szCs w:val="27"/>
        </w:rPr>
        <w:t>80%,特许经营公司可申请补偿，或者放弃项目；当</w:t>
      </w:r>
      <w:r>
        <w:rPr>
          <w:rFonts w:ascii="仿宋" w:eastAsia="仿宋" w:hAnsi="仿宋" w:cs="仿宋"/>
          <w:spacing w:val="12"/>
          <w:sz w:val="27"/>
          <w:szCs w:val="27"/>
        </w:rPr>
        <w:t>客流量超过预测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客流时，政府分享超出预测客流量10%以内票款收入的50%、超出客</w:t>
      </w:r>
    </w:p>
    <w:p>
      <w:pPr>
        <w:spacing w:line="223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2"/>
          <w:sz w:val="27"/>
          <w:szCs w:val="27"/>
        </w:rPr>
        <w:t>流量10%以上的票款收入的60%。</w:t>
      </w:r>
    </w:p>
    <w:p>
      <w:pPr>
        <w:spacing w:before="123" w:line="270" w:lineRule="auto"/>
        <w:ind w:left="809" w:right="848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8"/>
          <w:sz w:val="27"/>
          <w:szCs w:val="27"/>
        </w:rPr>
        <w:t>4号线项目的客流机制充分考虑了市场因素和政策因素，其共担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客流风险、共享客流收益的机制符合轨道交通行业特点和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模式要</w:t>
      </w:r>
      <w:r>
        <w:rPr>
          <w:rFonts w:ascii="仿宋" w:eastAsia="仿宋" w:hAnsi="仿宋" w:cs="仿宋"/>
          <w:spacing w:val="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4"/>
          <w:sz w:val="27"/>
          <w:szCs w:val="27"/>
        </w:rPr>
        <w:t>求。</w:t>
      </w:r>
    </w:p>
    <w:p>
      <w:pPr>
        <w:spacing w:before="135" w:line="222" w:lineRule="auto"/>
        <w:ind w:left="15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9"/>
          <w:sz w:val="27"/>
          <w:szCs w:val="27"/>
        </w:rPr>
        <w:t>(三)建立完备的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1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9"/>
          <w:sz w:val="27"/>
          <w:szCs w:val="27"/>
        </w:rPr>
        <w:t>项目监管体系</w:t>
      </w:r>
    </w:p>
    <w:p>
      <w:pPr>
        <w:spacing w:before="98" w:line="302" w:lineRule="auto"/>
        <w:ind w:left="809" w:right="850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北京地铁4号线</w:t>
      </w:r>
      <w:r>
        <w:rPr>
          <w:rFonts w:ascii="仿宋" w:eastAsia="仿宋" w:hAnsi="仿宋" w:cs="仿宋"/>
          <w:spacing w:val="-47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仿宋" w:eastAsia="仿宋" w:hAnsi="仿宋" w:cs="仿宋"/>
          <w:spacing w:val="9"/>
          <w:sz w:val="27"/>
          <w:szCs w:val="27"/>
        </w:rPr>
        <w:t>项目的持续运转，得益于项目具有相对完备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的监管体系。清晰确定政府与市场的边界、详细设计相应监管机制是</w:t>
      </w:r>
    </w:p>
    <w:p>
      <w:pPr>
        <w:spacing w:line="220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4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模式下做好政府监管工作的关键。</w:t>
      </w:r>
    </w:p>
    <w:p>
      <w:pPr>
        <w:spacing w:before="115" w:line="302" w:lineRule="auto"/>
        <w:ind w:left="809" w:right="852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2"/>
          <w:sz w:val="27"/>
          <w:szCs w:val="27"/>
        </w:rPr>
        <w:t>4号线项目中，政府的监督主要体现在文件、计</w:t>
      </w:r>
      <w:r>
        <w:rPr>
          <w:rFonts w:ascii="仿宋" w:eastAsia="仿宋" w:hAnsi="仿宋" w:cs="仿宋"/>
          <w:spacing w:val="-3"/>
          <w:sz w:val="27"/>
          <w:szCs w:val="27"/>
        </w:rPr>
        <w:t>划、申请的审批，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建设、试运营的验收、备案，运营过程和服务质量的监督检查三个方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面，既体现了不同阶段的控制，同时也体现了事前、事中、事后的全</w:t>
      </w:r>
    </w:p>
    <w:p>
      <w:pPr>
        <w:spacing w:before="1" w:line="221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1"/>
          <w:sz w:val="27"/>
          <w:szCs w:val="27"/>
        </w:rPr>
        <w:t>过程控制。</w:t>
      </w:r>
    </w:p>
    <w:p>
      <w:pPr>
        <w:spacing w:line="221" w:lineRule="auto"/>
        <w:rPr>
          <w:rFonts w:ascii="仿宋" w:eastAsia="仿宋" w:hAnsi="仿宋" w:cs="仿宋"/>
          <w:sz w:val="27"/>
          <w:szCs w:val="27"/>
        </w:rPr>
        <w:sectPr>
          <w:footerReference w:type="default" r:id="rId46"/>
          <w:pgSz w:w="11910" w:h="16840"/>
          <w:pgMar w:top="834" w:right="999" w:bottom="1221" w:left="989" w:header="0" w:footer="959" w:gutter="0"/>
          <w:pgNumType w:start="35"/>
          <w:cols w:space="708"/>
        </w:sectPr>
      </w:pPr>
    </w:p>
    <w:tbl>
      <w:tblPr>
        <w:tblStyle w:val="TableNormal18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70"/>
        <w:gridCol w:w="273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13"/>
            </w:pPr>
            <w:r>
              <w:pict>
                <v:shape id="TextBox 14" o:spid="_x0000_s1094" type="#_x0000_t202" style="width:30.4pt;height:17.15pt;margin-top:426.68pt;margin-left:237.62pt;mso-position-horizontal-relative:page;mso-position-vertical-relative:page;mso-wrap-distance-left:0;mso-wrap-distance-right:0;mso-wrap-style:square;position:absolute;rotation:-90;v-text-anchor:top;z-index:251679744" o:allowincell="f" filled="f" stroked="f">
                  <v:fill o:detectmouseclick="t"/>
                  <o:lock v:ext="edit" aspectratio="f"/>
                  <v:textbox style="layout-flow:horizontal" inset="0,0,0,0">
                    <w:txbxContent>
                      <w:p>
                        <w:pPr>
                          <w:spacing w:before="61" w:line="219" w:lineRule="auto"/>
                          <w:jc w:val="right"/>
                          <w:rPr>
                            <w:rFonts w:ascii="宋体" w:eastAsia="宋体" w:hAnsi="宋体" w:cs="宋体"/>
                            <w:sz w:val="22"/>
                            <w:szCs w:val="22"/>
                          </w:rPr>
                        </w:pPr>
                        <w:r>
                          <w:rPr>
                            <w:rFonts w:ascii="宋体" w:eastAsia="宋体" w:hAnsi="宋体" w:cs="宋体"/>
                            <w:spacing w:val="-13"/>
                            <w:w w:val="70"/>
                            <w:sz w:val="22"/>
                            <w:szCs w:val="22"/>
                          </w:rPr>
                          <w:t>要尊盘毒</w:t>
                        </w:r>
                      </w:p>
                    </w:txbxContent>
                  </v:textbox>
                </v:shape>
              </w:pict>
            </w:r>
            <w:bookmarkStart w:id="24" w:name="bookmark25"/>
            <w:bookmarkStart w:id="25" w:name="bookmark26"/>
            <w:bookmarkEnd w:id="24"/>
            <w:bookmarkEnd w:id="25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2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3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页码：第26页共79页</w:t>
            </w:r>
          </w:p>
        </w:tc>
      </w:tr>
    </w:tbl>
    <w:p>
      <w:pPr>
        <w:pStyle w:val="BodyText"/>
        <w:spacing w:line="269" w:lineRule="auto"/>
      </w:pPr>
    </w:p>
    <w:p>
      <w:pPr>
        <w:spacing w:before="88" w:line="302" w:lineRule="auto"/>
        <w:ind w:left="820" w:right="831" w:firstLine="59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4号线的监管体系在监管范围上，包括投资、建设</w:t>
      </w:r>
      <w:r>
        <w:rPr>
          <w:rFonts w:ascii="仿宋" w:eastAsia="仿宋" w:hAnsi="仿宋" w:cs="仿宋"/>
          <w:spacing w:val="8"/>
          <w:sz w:val="27"/>
          <w:szCs w:val="27"/>
        </w:rPr>
        <w:t>、运营的全过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程；在监督时序上，包括事前监管、事中监管和事后监管；在监管标 准上，结合具体内容，遵守了能量化的尽量量化，不能量化的尽量细</w:t>
      </w:r>
    </w:p>
    <w:p>
      <w:pPr>
        <w:spacing w:line="222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2"/>
          <w:sz w:val="27"/>
          <w:szCs w:val="27"/>
        </w:rPr>
        <w:t>化的原则。具体监管体系如图6所示。</w:t>
      </w:r>
    </w:p>
    <w:p>
      <w:pPr>
        <w:pStyle w:val="BodyText"/>
        <w:spacing w:line="246" w:lineRule="auto"/>
      </w:pPr>
    </w:p>
    <w:p>
      <w:pPr>
        <w:pStyle w:val="BodyText"/>
        <w:spacing w:line="247" w:lineRule="auto"/>
      </w:pPr>
    </w:p>
    <w:p>
      <w:pPr>
        <w:pStyle w:val="BodyText"/>
        <w:spacing w:line="5239" w:lineRule="exact"/>
        <w:ind w:firstLine="1349"/>
      </w:pPr>
      <w:r>
        <w:rPr>
          <w:position w:val="-104"/>
        </w:rPr>
        <w:pict>
          <v:group id="组合 65" o:spid="_x0000_i1095" style="width:363pt;height:262pt;mso-position-horizontal-relative:char;mso-position-vertical-relative:line" coordorigin="0,0" coordsize="7260,5240">
            <v:shape id="图片 66" o:spid="_x0000_s1096" type="#_x0000_t75" style="width:7260;height:5240;position:absolute" filled="f" stroked="f">
              <v:imagedata r:id="rId47" o:title=""/>
              <v:path o:extrusionok="f"/>
              <o:lock v:ext="edit" aspectratio="t"/>
            </v:shape>
            <v:shape id="文本框 67" o:spid="_x0000_s1097" type="#_x0000_t202" style="width:7035;height:4756;left:50;position:absolute;top:96" filled="f" stroked="f">
              <o:lock v:ext="edit" aspectratio="f"/>
              <v:textbox inset="0,0,0,0">
                <w:txbxContent>
                  <w:p>
                    <w:pPr>
                      <w:spacing w:before="20" w:line="197" w:lineRule="exact"/>
                      <w:ind w:left="850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宋体" w:eastAsia="宋体" w:hAnsi="宋体" w:cs="宋体"/>
                        <w:spacing w:val="-17"/>
                        <w:position w:val="3"/>
                        <w:sz w:val="15"/>
                        <w:szCs w:val="15"/>
                      </w:rPr>
                      <w:t>发委、交意接、财政局</w:t>
                    </w:r>
                  </w:p>
                  <w:p>
                    <w:pPr>
                      <w:spacing w:line="223" w:lineRule="auto"/>
                      <w:ind w:left="89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-1"/>
                        <w:sz w:val="11"/>
                        <w:szCs w:val="11"/>
                      </w:rPr>
                      <w:t>京投公司、京港公司组成了</w:t>
                    </w:r>
                  </w:p>
                  <w:p>
                    <w:pPr>
                      <w:spacing w:before="88" w:line="176" w:lineRule="auto"/>
                      <w:ind w:left="1160"/>
                      <w:rPr>
                        <w:rFonts w:ascii="LiSu" w:eastAsia="LiSu" w:hAnsi="LiSu" w:cs="LiSu"/>
                        <w:sz w:val="11"/>
                        <w:szCs w:val="11"/>
                      </w:rPr>
                    </w:pPr>
                    <w:r>
                      <w:rPr>
                        <w:rFonts w:ascii="LiSu" w:eastAsia="LiSu" w:hAnsi="LiSu" w:cs="LiSu"/>
                        <w:spacing w:val="-1"/>
                        <w:sz w:val="11"/>
                        <w:szCs w:val="11"/>
                      </w:rPr>
                      <w:t>运营协调委员会</w:t>
                    </w:r>
                  </w:p>
                  <w:p>
                    <w:pPr>
                      <w:spacing w:before="99" w:line="62" w:lineRule="exact"/>
                      <w:ind w:left="6640"/>
                      <w:rPr>
                        <w:rFonts w:ascii="LiSu" w:eastAsia="LiSu" w:hAnsi="LiSu" w:cs="LiSu"/>
                        <w:sz w:val="11"/>
                        <w:szCs w:val="11"/>
                      </w:rPr>
                    </w:pPr>
                    <w:r>
                      <w:rPr>
                        <w:rFonts w:ascii="LiSu" w:eastAsia="LiSu" w:hAnsi="LiSu" w:cs="LiSu"/>
                        <w:spacing w:val="-4"/>
                        <w:w w:val="94"/>
                        <w:position w:val="-2"/>
                        <w:sz w:val="11"/>
                        <w:szCs w:val="11"/>
                      </w:rPr>
                      <w:t>公要局</w:t>
                    </w:r>
                  </w:p>
                  <w:p>
                    <w:pPr>
                      <w:spacing w:line="206" w:lineRule="auto"/>
                      <w:ind w:left="2409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3"/>
                        <w:sz w:val="11"/>
                        <w:szCs w:val="11"/>
                      </w:rPr>
                      <w:t>行业监管</w:t>
                    </w:r>
                  </w:p>
                  <w:p>
                    <w:pPr>
                      <w:spacing w:before="179" w:line="223" w:lineRule="auto"/>
                      <w:ind w:left="664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-5"/>
                        <w:sz w:val="11"/>
                        <w:szCs w:val="11"/>
                      </w:rPr>
                      <w:t>国出局</w:t>
                    </w:r>
                  </w:p>
                  <w:p>
                    <w:pPr>
                      <w:spacing w:before="107" w:line="174" w:lineRule="auto"/>
                      <w:ind w:left="2949"/>
                      <w:rPr>
                        <w:rFonts w:ascii="LiSu" w:eastAsia="LiSu" w:hAnsi="LiSu" w:cs="LiSu"/>
                        <w:sz w:val="11"/>
                        <w:szCs w:val="11"/>
                      </w:rPr>
                    </w:pPr>
                    <w:r>
                      <w:rPr>
                        <w:rFonts w:ascii="LiSu" w:eastAsia="LiSu" w:hAnsi="LiSu" w:cs="LiSu"/>
                        <w:color w:val="FFFFFF"/>
                        <w:spacing w:val="-11"/>
                        <w:w w:val="93"/>
                        <w:sz w:val="11"/>
                        <w:szCs w:val="11"/>
                      </w:rPr>
                      <w:t>国制发展质址：</w:t>
                    </w:r>
                  </w:p>
                  <w:p>
                    <w:pPr>
                      <w:spacing w:before="69" w:line="85" w:lineRule="exact"/>
                      <w:ind w:left="2949"/>
                      <w:rPr>
                        <w:rFonts w:ascii="宋体" w:eastAsia="宋体" w:hAnsi="宋体" w:cs="宋体"/>
                        <w:sz w:val="11"/>
                        <w:szCs w:val="11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11"/>
                        <w:szCs w:val="11"/>
                      </w:rPr>
                      <w:t>=</w:t>
                    </w:r>
                    <w:r>
                      <w:rPr>
                        <w:rFonts w:ascii="宋体" w:eastAsia="宋体" w:hAnsi="宋体" w:cs="宋体"/>
                        <w:spacing w:val="6"/>
                        <w:sz w:val="11"/>
                        <w:szCs w:val="11"/>
                      </w:rPr>
                      <w:t xml:space="preserve">     </w:t>
                    </w:r>
                    <w:r>
                      <w:rPr>
                        <w:rFonts w:ascii="宋体" w:eastAsia="宋体" w:hAnsi="宋体" w:cs="宋体"/>
                        <w:spacing w:val="-2"/>
                        <w:sz w:val="11"/>
                        <w:szCs w:val="11"/>
                      </w:rPr>
                      <w:t>;</w:t>
                    </w:r>
                  </w:p>
                  <w:p>
                    <w:pPr>
                      <w:spacing w:before="51" w:line="188" w:lineRule="auto"/>
                      <w:ind w:left="2949"/>
                      <w:rPr>
                        <w:rFonts w:ascii="LiSu" w:eastAsia="LiSu" w:hAnsi="LiSu" w:cs="LiSu"/>
                        <w:sz w:val="10"/>
                        <w:szCs w:val="10"/>
                      </w:rPr>
                    </w:pPr>
                    <w:r>
                      <w:rPr>
                        <w:rFonts w:ascii="LiSu" w:eastAsia="LiSu" w:hAnsi="LiSu" w:cs="LiSu"/>
                        <w:spacing w:val="-4"/>
                        <w:w w:val="95"/>
                        <w:sz w:val="10"/>
                        <w:szCs w:val="10"/>
                      </w:rPr>
                      <w:t>国制行业年度计划。并组次实练。建</w:t>
                    </w:r>
                  </w:p>
                  <w:p>
                    <w:pPr>
                      <w:spacing w:before="1" w:line="223" w:lineRule="auto"/>
                      <w:ind w:left="2949"/>
                      <w:rPr>
                        <w:rFonts w:ascii="仿宋" w:eastAsia="仿宋" w:hAnsi="仿宋" w:cs="仿宋"/>
                        <w:sz w:val="13"/>
                        <w:szCs w:val="13"/>
                      </w:rPr>
                    </w:pPr>
                    <w:r>
                      <w:rPr>
                        <w:rFonts w:ascii="仿宋" w:eastAsia="仿宋" w:hAnsi="仿宋" w:cs="仿宋"/>
                        <w:spacing w:val="-4"/>
                        <w:sz w:val="13"/>
                        <w:szCs w:val="13"/>
                      </w:rPr>
                      <w:t>管通：</w:t>
                    </w:r>
                  </w:p>
                  <w:p>
                    <w:pPr>
                      <w:spacing w:before="11" w:line="224" w:lineRule="auto"/>
                      <w:ind w:left="2949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-17"/>
                        <w:sz w:val="11"/>
                        <w:szCs w:val="11"/>
                      </w:rPr>
                      <w:t>安全监管：</w:t>
                    </w:r>
                  </w:p>
                  <w:p>
                    <w:pPr>
                      <w:spacing w:before="27" w:line="176" w:lineRule="auto"/>
                      <w:ind w:left="3020"/>
                      <w:rPr>
                        <w:rFonts w:ascii="LiSu" w:eastAsia="LiSu" w:hAnsi="LiSu" w:cs="LiSu"/>
                        <w:sz w:val="11"/>
                        <w:szCs w:val="11"/>
                      </w:rPr>
                    </w:pPr>
                    <w:r>
                      <w:rPr>
                        <w:rFonts w:ascii="LiSu" w:eastAsia="LiSu" w:hAnsi="LiSu" w:cs="LiSu"/>
                        <w:spacing w:val="-2"/>
                        <w:w w:val="87"/>
                        <w:sz w:val="11"/>
                        <w:szCs w:val="11"/>
                      </w:rPr>
                      <w:t>项费业使用体况验置</w:t>
                    </w:r>
                  </w:p>
                  <w:p>
                    <w:pPr>
                      <w:spacing w:before="124" w:line="176" w:lineRule="auto"/>
                      <w:ind w:right="1"/>
                      <w:jc w:val="right"/>
                      <w:rPr>
                        <w:rFonts w:ascii="LiSu" w:eastAsia="LiSu" w:hAnsi="LiSu" w:cs="LiSu"/>
                        <w:sz w:val="11"/>
                        <w:szCs w:val="11"/>
                      </w:rPr>
                    </w:pPr>
                    <w:r>
                      <w:rPr>
                        <w:rFonts w:ascii="LiSu" w:eastAsia="LiSu" w:hAnsi="LiSu" w:cs="LiSu"/>
                        <w:spacing w:val="-4"/>
                        <w:w w:val="89"/>
                        <w:sz w:val="11"/>
                        <w:szCs w:val="11"/>
                      </w:rPr>
                      <w:t>普成力容费</w:t>
                    </w:r>
                  </w:p>
                  <w:p>
                    <w:pPr>
                      <w:spacing w:before="50" w:line="217" w:lineRule="exact"/>
                      <w:ind w:left="640"/>
                      <w:rPr>
                        <w:sz w:val="35"/>
                        <w:szCs w:val="35"/>
                      </w:rPr>
                    </w:pPr>
                    <w:r>
                      <w:rPr>
                        <w:rFonts w:ascii="Arial" w:eastAsia="Arial" w:hAnsi="Arial" w:cs="Arial"/>
                        <w:spacing w:val="-13"/>
                        <w:position w:val="-1"/>
                        <w:sz w:val="35"/>
                        <w:szCs w:val="35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position w:val="-1"/>
                        <w:sz w:val="35"/>
                        <w:szCs w:val="35"/>
                      </w:rPr>
                      <w:t xml:space="preserve"> </w:t>
                    </w:r>
                    <w:r>
                      <w:rPr>
                        <w:position w:val="-5"/>
                        <w:sz w:val="35"/>
                        <w:szCs w:val="35"/>
                      </w:rPr>
                      <w:pict>
                        <v:shape id="IM 16" o:spid="_x0000_i1098" type="#_x0000_t75" style="width:7.96pt;height:7.01pt;mso-wrap-distance-left:0;mso-wrap-distance-right:0" o:preferrelative="t" filled="f" stroked="f">
                          <v:fill o:detectmouseclick="t"/>
                          <v:imagedata r:id="rId48" o:title=""/>
                          <v:path o:extrusionok="f"/>
                          <o:lock v:ext="edit" aspectratio="f"/>
                        </v:shape>
                      </w:pict>
                    </w:r>
                  </w:p>
                  <w:p>
                    <w:pPr>
                      <w:spacing w:line="213" w:lineRule="auto"/>
                      <w:ind w:left="60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-7"/>
                        <w:sz w:val="17"/>
                        <w:szCs w:val="17"/>
                      </w:rPr>
                      <w:t>肆</w:t>
                    </w:r>
                    <w:r>
                      <w:rPr>
                        <w:rFonts w:ascii="宋体" w:eastAsia="宋体" w:hAnsi="宋体" w:cs="宋体"/>
                        <w:spacing w:val="31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position w:val="-5"/>
                        <w:sz w:val="17"/>
                        <w:szCs w:val="17"/>
                      </w:rPr>
                      <w:pict>
                        <v:shape id="IM 18" o:spid="_x0000_i1099" type="#_x0000_t75" style="width:23.96pt;height:9.86pt;mso-wrap-distance-left:0;mso-wrap-distance-right:0" o:preferrelative="t" filled="f" stroked="f">
                          <v:fill o:detectmouseclick="t"/>
                          <v:imagedata r:id="rId49" o:title=""/>
                          <v:path o:extrusionok="f"/>
                          <o:lock v:ext="edit" aspectratio="f"/>
                        </v:shape>
                      </w:pict>
                    </w:r>
                  </w:p>
                  <w:p>
                    <w:pPr>
                      <w:spacing w:before="1" w:line="183" w:lineRule="auto"/>
                      <w:ind w:left="20"/>
                      <w:rPr>
                        <w:rFonts w:ascii="LiSu" w:eastAsia="LiSu" w:hAnsi="LiSu" w:cs="LiSu"/>
                        <w:sz w:val="19"/>
                        <w:szCs w:val="19"/>
                      </w:rPr>
                    </w:pPr>
                    <w:r>
                      <w:rPr>
                        <w:rFonts w:ascii="仿宋" w:eastAsia="仿宋" w:hAnsi="仿宋" w:cs="仿宋"/>
                        <w:spacing w:val="-9"/>
                        <w:position w:val="5"/>
                        <w:sz w:val="11"/>
                        <w:szCs w:val="11"/>
                      </w:rPr>
                      <w:t>划</w:t>
                    </w:r>
                    <w:r>
                      <w:rPr>
                        <w:rFonts w:ascii="仿宋" w:eastAsia="仿宋" w:hAnsi="仿宋" w:cs="仿宋"/>
                        <w:spacing w:val="6"/>
                        <w:position w:val="5"/>
                        <w:sz w:val="11"/>
                        <w:szCs w:val="11"/>
                      </w:rPr>
                      <w:t xml:space="preserve">         </w:t>
                    </w:r>
                    <w:r>
                      <w:rPr>
                        <w:rFonts w:ascii="仿宋" w:eastAsia="仿宋" w:hAnsi="仿宋" w:cs="仿宋"/>
                        <w:color w:val="FFFFFF"/>
                        <w:spacing w:val="-36"/>
                        <w:position w:val="-2"/>
                        <w:sz w:val="19"/>
                        <w:szCs w:val="19"/>
                      </w:rPr>
                      <w:t xml:space="preserve">登  </w:t>
                    </w:r>
                    <w:r>
                      <w:rPr>
                        <w:rFonts w:ascii="LiSu" w:eastAsia="LiSu" w:hAnsi="LiSu" w:cs="LiSu"/>
                        <w:spacing w:val="-36"/>
                        <w:position w:val="2"/>
                        <w:sz w:val="19"/>
                        <w:szCs w:val="19"/>
                      </w:rPr>
                      <w:t>间</w:t>
                    </w:r>
                  </w:p>
                  <w:p>
                    <w:pPr>
                      <w:spacing w:before="253" w:line="223" w:lineRule="auto"/>
                      <w:ind w:left="664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-9"/>
                        <w:sz w:val="11"/>
                        <w:szCs w:val="11"/>
                      </w:rPr>
                      <w:t>展照局</w:t>
                    </w:r>
                  </w:p>
                  <w:p>
                    <w:pPr>
                      <w:spacing w:before="258" w:line="178" w:lineRule="auto"/>
                      <w:ind w:right="1"/>
                      <w:jc w:val="right"/>
                      <w:rPr>
                        <w:rFonts w:ascii="LiSu" w:eastAsia="LiSu" w:hAnsi="LiSu" w:cs="LiSu"/>
                        <w:sz w:val="11"/>
                        <w:szCs w:val="11"/>
                      </w:rPr>
                    </w:pPr>
                    <w:r>
                      <w:rPr>
                        <w:rFonts w:ascii="LiSu" w:eastAsia="LiSu" w:hAnsi="LiSu" w:cs="LiSu"/>
                        <w:spacing w:val="-4"/>
                        <w:w w:val="89"/>
                        <w:sz w:val="11"/>
                        <w:szCs w:val="11"/>
                      </w:rPr>
                      <w:t>要全需管局</w:t>
                    </w:r>
                  </w:p>
                  <w:p>
                    <w:pPr>
                      <w:spacing w:before="165" w:line="407" w:lineRule="exact"/>
                      <w:ind w:left="6640"/>
                      <w:rPr>
                        <w:rFonts w:ascii="仿宋" w:eastAsia="仿宋" w:hAnsi="仿宋" w:cs="仿宋"/>
                        <w:sz w:val="15"/>
                        <w:szCs w:val="15"/>
                      </w:rPr>
                    </w:pPr>
                    <w:r>
                      <w:rPr>
                        <w:rFonts w:ascii="仿宋" w:eastAsia="仿宋" w:hAnsi="仿宋" w:cs="仿宋"/>
                        <w:spacing w:val="-3"/>
                        <w:position w:val="20"/>
                        <w:sz w:val="15"/>
                        <w:szCs w:val="15"/>
                      </w:rPr>
                      <w:t>用办</w:t>
                    </w:r>
                  </w:p>
                  <w:p>
                    <w:pPr>
                      <w:spacing w:before="1" w:line="222" w:lineRule="auto"/>
                      <w:ind w:left="664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-9"/>
                        <w:sz w:val="11"/>
                        <w:szCs w:val="11"/>
                      </w:rPr>
                      <w:t>税务局</w:t>
                    </w:r>
                  </w:p>
                  <w:p>
                    <w:pPr>
                      <w:spacing w:before="71" w:line="233" w:lineRule="auto"/>
                      <w:ind w:left="2270"/>
                      <w:rPr>
                        <w:rFonts w:ascii="仿宋" w:eastAsia="仿宋" w:hAnsi="仿宋" w:cs="仿宋"/>
                        <w:sz w:val="19"/>
                        <w:szCs w:val="19"/>
                      </w:rPr>
                    </w:pPr>
                    <w:r>
                      <w:rPr>
                        <w:rFonts w:ascii="仿宋" w:eastAsia="仿宋" w:hAnsi="仿宋" w:cs="仿宋"/>
                        <w:color w:val="FFFFFF"/>
                        <w:sz w:val="19"/>
                        <w:szCs w:val="19"/>
                      </w:rPr>
                      <w:t>理</w:t>
                    </w:r>
                  </w:p>
                </w:txbxContent>
              </v:textbox>
            </v:shape>
            <v:shape id="文本框 68" o:spid="_x0000_s1100" type="#_x0000_t202" style="width:405;height:944;left:2980;position:absolute;top:3412" filled="f" stroked="f">
              <o:lock v:ext="edit" aspectratio="f"/>
              <v:textbox inset="0,0,0,0">
                <w:txbxContent>
                  <w:p>
                    <w:pPr>
                      <w:spacing w:before="19" w:line="224" w:lineRule="auto"/>
                      <w:ind w:left="20"/>
                      <w:rPr>
                        <w:rFonts w:ascii="仿宋" w:eastAsia="仿宋" w:hAnsi="仿宋" w:cs="仿宋"/>
                        <w:sz w:val="6"/>
                        <w:szCs w:val="6"/>
                      </w:rPr>
                    </w:pPr>
                    <w:r>
                      <w:rPr>
                        <w:rFonts w:ascii="宋体" w:eastAsia="宋体" w:hAnsi="宋体" w:cs="宋体"/>
                        <w:color w:val="FFFFFF"/>
                        <w:spacing w:val="-3"/>
                        <w:sz w:val="6"/>
                        <w:szCs w:val="6"/>
                      </w:rPr>
                      <w:t>M</w:t>
                    </w:r>
                    <w:r>
                      <w:rPr>
                        <w:rFonts w:ascii="宋体" w:eastAsia="宋体" w:hAnsi="宋体" w:cs="宋体"/>
                        <w:color w:val="FFFFFF"/>
                        <w:spacing w:val="6"/>
                        <w:sz w:val="6"/>
                        <w:szCs w:val="6"/>
                      </w:rPr>
                      <w:t xml:space="preserve">   </w:t>
                    </w:r>
                    <w:r>
                      <w:rPr>
                        <w:rFonts w:ascii="仿宋" w:eastAsia="仿宋" w:hAnsi="仿宋" w:cs="仿宋"/>
                        <w:color w:val="FFFFFF"/>
                        <w:spacing w:val="-3"/>
                        <w:sz w:val="6"/>
                        <w:szCs w:val="6"/>
                      </w:rPr>
                      <w:t>定 交</w:t>
                    </w:r>
                    <w:r>
                      <w:rPr>
                        <w:rFonts w:ascii="仿宋" w:eastAsia="仿宋" w:hAnsi="仿宋" w:cs="仿宋"/>
                        <w:color w:val="FFFFFF"/>
                        <w:spacing w:val="-5"/>
                        <w:sz w:val="6"/>
                        <w:szCs w:val="6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color w:val="FFFFFF"/>
                        <w:spacing w:val="-3"/>
                        <w:sz w:val="6"/>
                        <w:szCs w:val="6"/>
                      </w:rPr>
                      <w:t>通</w:t>
                    </w:r>
                  </w:p>
                  <w:p>
                    <w:pPr>
                      <w:tabs>
                        <w:tab w:val="left" w:pos="130"/>
                      </w:tabs>
                      <w:spacing w:before="18" w:line="233" w:lineRule="auto"/>
                      <w:ind w:left="20" w:right="20"/>
                      <w:jc w:val="right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-13"/>
                        <w:w w:val="93"/>
                        <w:sz w:val="11"/>
                        <w:szCs w:val="11"/>
                      </w:rPr>
                      <w:t>基础设期</w:t>
                    </w:r>
                    <w:r>
                      <w:rPr>
                        <w:rFonts w:ascii="仿宋" w:eastAsia="仿宋" w:hAnsi="仿宋" w:cs="仿宋"/>
                        <w:spacing w:val="2"/>
                        <w:sz w:val="11"/>
                        <w:szCs w:val="1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2"/>
                        <w:sz w:val="11"/>
                        <w:szCs w:val="11"/>
                      </w:rPr>
                      <w:t>健设</w:t>
                    </w:r>
                    <w:r>
                      <w:rPr>
                        <w:rFonts w:ascii="宋体" w:eastAsia="宋体" w:hAnsi="宋体" w:cs="宋体"/>
                        <w:spacing w:val="-27"/>
                        <w:sz w:val="11"/>
                        <w:szCs w:val="1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2"/>
                        <w:sz w:val="11"/>
                        <w:szCs w:val="11"/>
                      </w:rPr>
                      <w:t>。</w:t>
                    </w:r>
                    <w:r>
                      <w:rPr>
                        <w:rFonts w:ascii="宋体" w:eastAsia="宋体" w:hAnsi="宋体" w:cs="宋体"/>
                        <w:sz w:val="11"/>
                        <w:szCs w:val="11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15"/>
                        <w:w w:val="94"/>
                        <w:sz w:val="11"/>
                        <w:szCs w:val="11"/>
                      </w:rPr>
                      <w:t>护的地分</w:t>
                    </w:r>
                    <w:r>
                      <w:rPr>
                        <w:rFonts w:ascii="仿宋" w:eastAsia="仿宋" w:hAnsi="仿宋" w:cs="仿宋"/>
                        <w:spacing w:val="1"/>
                        <w:sz w:val="11"/>
                        <w:szCs w:val="11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13"/>
                        <w:w w:val="92"/>
                        <w:sz w:val="11"/>
                        <w:szCs w:val="11"/>
                      </w:rPr>
                      <w:t>标在水规</w:t>
                    </w:r>
                    <w:r>
                      <w:rPr>
                        <w:rFonts w:ascii="仿宋" w:eastAsia="仿宋" w:hAnsi="仿宋" w:cs="仿宋"/>
                        <w:spacing w:val="2"/>
                        <w:sz w:val="11"/>
                        <w:szCs w:val="1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11"/>
                        <w:szCs w:val="11"/>
                      </w:rPr>
                      <w:tab/>
                    </w:r>
                    <w:r>
                      <w:rPr>
                        <w:rFonts w:ascii="宋体" w:eastAsia="宋体" w:hAnsi="宋体" w:cs="宋体"/>
                        <w:spacing w:val="-10"/>
                        <w:sz w:val="11"/>
                        <w:szCs w:val="11"/>
                      </w:rPr>
                      <w:t>,并想</w:t>
                    </w:r>
                    <w:r>
                      <w:rPr>
                        <w:rFonts w:ascii="宋体" w:eastAsia="宋体" w:hAnsi="宋体" w:cs="宋体"/>
                        <w:spacing w:val="1"/>
                        <w:sz w:val="11"/>
                        <w:szCs w:val="11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12"/>
                        <w:sz w:val="11"/>
                        <w:szCs w:val="11"/>
                      </w:rPr>
                      <w:t>机实施</w:t>
                    </w:r>
                  </w:p>
                </w:txbxContent>
              </v:textbox>
            </v:shape>
            <v:shape id="文本框 69" o:spid="_x0000_s1101" type="#_x0000_t202" style="width:2293;height:156;left:380;position:absolute;top:1494" filled="f" stroked="f">
              <o:lock v:ext="edit" aspectratio="f"/>
              <v:textbox inset="0,0,0,0">
                <w:txbxContent>
                  <w:p>
                    <w:pPr>
                      <w:spacing w:before="20" w:line="193" w:lineRule="auto"/>
                      <w:jc w:val="right"/>
                      <w:rPr>
                        <w:rFonts w:ascii="LiSu" w:eastAsia="LiSu" w:hAnsi="LiSu" w:cs="LiSu"/>
                        <w:sz w:val="11"/>
                        <w:szCs w:val="11"/>
                      </w:rPr>
                    </w:pPr>
                    <w:r>
                      <w:rPr>
                        <w:rFonts w:ascii="LiSu" w:eastAsia="LiSu" w:hAnsi="LiSu" w:cs="LiSu"/>
                        <w:spacing w:val="-13"/>
                        <w:position w:val="-1"/>
                        <w:sz w:val="11"/>
                        <w:szCs w:val="11"/>
                      </w:rPr>
                      <w:t>发用改年要类会</w:t>
                    </w:r>
                    <w:r>
                      <w:rPr>
                        <w:rFonts w:ascii="LiSu" w:eastAsia="LiSu" w:hAnsi="LiSu" w:cs="LiSu"/>
                        <w:spacing w:val="10"/>
                        <w:position w:val="-1"/>
                        <w:sz w:val="11"/>
                        <w:szCs w:val="11"/>
                      </w:rPr>
                      <w:t xml:space="preserve">     </w:t>
                    </w:r>
                    <w:r>
                      <w:rPr>
                        <w:rFonts w:ascii="仿宋" w:eastAsia="仿宋" w:hAnsi="仿宋" w:cs="仿宋"/>
                        <w:spacing w:val="-12"/>
                        <w:sz w:val="11"/>
                        <w:szCs w:val="11"/>
                      </w:rPr>
                      <w:t xml:space="preserve">财政局           </w:t>
                    </w:r>
                    <w:r>
                      <w:rPr>
                        <w:rFonts w:ascii="LiSu" w:eastAsia="LiSu" w:hAnsi="LiSu" w:cs="LiSu"/>
                        <w:spacing w:val="-12"/>
                        <w:position w:val="2"/>
                        <w:sz w:val="11"/>
                        <w:szCs w:val="11"/>
                      </w:rPr>
                      <w:t>交通委员</w:t>
                    </w:r>
                    <w:r>
                      <w:rPr>
                        <w:rFonts w:ascii="LiSu" w:eastAsia="LiSu" w:hAnsi="LiSu" w:cs="LiSu"/>
                        <w:spacing w:val="-5"/>
                        <w:position w:val="2"/>
                        <w:sz w:val="11"/>
                        <w:szCs w:val="11"/>
                      </w:rPr>
                      <w:t>会</w:t>
                    </w:r>
                  </w:p>
                </w:txbxContent>
              </v:textbox>
            </v:shape>
            <v:shape id="文本框 70" o:spid="_x0000_s1102" type="#_x0000_t202" style="width:951;height:271;left:5320;position:absolute;top:1424" filled="f" stroked="f">
              <o:lock v:ext="edit" aspectratio="f"/>
              <v:textbox inset="0,0,0,0">
                <w:txbxContent>
                  <w:p>
                    <w:pPr>
                      <w:spacing w:before="20" w:line="211" w:lineRule="auto"/>
                      <w:ind w:left="318" w:right="20" w:hanging="299"/>
                      <w:rPr>
                        <w:rFonts w:ascii="宋体" w:eastAsia="宋体" w:hAnsi="宋体" w:cs="宋体"/>
                        <w:sz w:val="11"/>
                        <w:szCs w:val="11"/>
                      </w:rPr>
                    </w:pPr>
                    <w:r>
                      <w:rPr>
                        <w:rFonts w:ascii="LiSu" w:eastAsia="LiSu" w:hAnsi="LiSu" w:cs="LiSu"/>
                        <w:spacing w:val="-3"/>
                        <w:w w:val="85"/>
                        <w:sz w:val="11"/>
                        <w:szCs w:val="11"/>
                      </w:rPr>
                      <w:t>北京市基确设施投资有</w:t>
                    </w:r>
                    <w:r>
                      <w:rPr>
                        <w:rFonts w:ascii="LiSu" w:eastAsia="LiSu" w:hAnsi="LiSu" w:cs="LiSu"/>
                        <w:spacing w:val="5"/>
                        <w:sz w:val="11"/>
                        <w:szCs w:val="1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3"/>
                        <w:sz w:val="11"/>
                        <w:szCs w:val="11"/>
                      </w:rPr>
                      <w:t>限公司</w:t>
                    </w:r>
                  </w:p>
                </w:txbxContent>
              </v:textbox>
            </v:shape>
            <v:shape id="文本框 71" o:spid="_x0000_s1103" type="#_x0000_t202" style="width:282;height:605;left:4450;position:absolute;top:3593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20" w:line="162" w:lineRule="auto"/>
                      <w:ind w:left="20"/>
                      <w:rPr>
                        <w:rFonts w:ascii="宋体" w:eastAsia="宋体" w:hAnsi="宋体" w:cs="宋体"/>
                        <w:sz w:val="35"/>
                        <w:szCs w:val="35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w w:val="55"/>
                        <w:sz w:val="10"/>
                        <w:szCs w:val="10"/>
                      </w:rPr>
                      <w:t>科技</w:t>
                    </w:r>
                    <w:r>
                      <w:rPr>
                        <w:rFonts w:ascii="仿宋" w:eastAsia="仿宋" w:hAnsi="仿宋" w:cs="仿宋"/>
                        <w:color w:val="FFFFFF"/>
                        <w:spacing w:val="-3"/>
                        <w:w w:val="55"/>
                        <w:sz w:val="10"/>
                        <w:szCs w:val="10"/>
                      </w:rPr>
                      <w:t>成果</w:t>
                    </w:r>
                    <w:r>
                      <w:rPr>
                        <w:rFonts w:ascii="宋体" w:eastAsia="宋体" w:hAnsi="宋体" w:cs="宋体"/>
                        <w:spacing w:val="5"/>
                        <w:position w:val="1"/>
                        <w:sz w:val="35"/>
                        <w:szCs w:val="35"/>
                      </w:rPr>
                      <w:t>题</w:t>
                    </w:r>
                  </w:p>
                </w:txbxContent>
              </v:textbox>
            </v:shape>
            <v:shape id="文本框 72" o:spid="_x0000_s1104" type="#_x0000_t202" style="width:329;height:502;left:6670;position:absolute;top:2613" filled="f" stroked="f">
              <o:lock v:ext="edit" aspectratio="f"/>
              <v:textbox inset="0,0,0,0">
                <w:txbxContent>
                  <w:p>
                    <w:pPr>
                      <w:spacing w:before="20" w:line="351" w:lineRule="exact"/>
                      <w:ind w:left="2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-2"/>
                        <w:position w:val="19"/>
                        <w:sz w:val="11"/>
                        <w:szCs w:val="11"/>
                      </w:rPr>
                      <w:t>*</w:t>
                    </w:r>
                    <w:r>
                      <w:rPr>
                        <w:rFonts w:ascii="仿宋" w:eastAsia="仿宋" w:hAnsi="仿宋" w:cs="仿宋"/>
                        <w:spacing w:val="11"/>
                        <w:position w:val="19"/>
                        <w:sz w:val="11"/>
                        <w:szCs w:val="11"/>
                      </w:rPr>
                      <w:t xml:space="preserve">  </w:t>
                    </w:r>
                    <w:r>
                      <w:rPr>
                        <w:rFonts w:ascii="仿宋" w:eastAsia="仿宋" w:hAnsi="仿宋" w:cs="仿宋"/>
                        <w:spacing w:val="-2"/>
                        <w:position w:val="19"/>
                        <w:sz w:val="11"/>
                        <w:szCs w:val="11"/>
                      </w:rPr>
                      <w:t>计</w:t>
                    </w:r>
                  </w:p>
                  <w:p>
                    <w:pPr>
                      <w:spacing w:line="220" w:lineRule="auto"/>
                      <w:ind w:left="20"/>
                      <w:rPr>
                        <w:rFonts w:ascii="宋体" w:eastAsia="宋体" w:hAnsi="宋体" w:cs="宋体"/>
                        <w:sz w:val="11"/>
                        <w:szCs w:val="11"/>
                      </w:rPr>
                    </w:pPr>
                    <w:r>
                      <w:rPr>
                        <w:rFonts w:ascii="宋体" w:eastAsia="宋体" w:hAnsi="宋体" w:cs="宋体"/>
                        <w:spacing w:val="-10"/>
                        <w:sz w:val="11"/>
                        <w:szCs w:val="11"/>
                      </w:rPr>
                      <w:t>工册局</w:t>
                    </w:r>
                  </w:p>
                </w:txbxContent>
              </v:textbox>
            </v:shape>
            <v:shape id="文本框 73" o:spid="_x0000_s1105" type="#_x0000_t202" style="width:589;height:267;left:4620;position:absolute;top:1463" filled="f" stroked="f">
              <o:lock v:ext="edit" aspectratio="f"/>
              <v:textbox inset="0,0,0,0">
                <w:txbxContent>
                  <w:p>
                    <w:pPr>
                      <w:spacing w:before="19" w:line="174" w:lineRule="auto"/>
                      <w:ind w:left="20"/>
                      <w:rPr>
                        <w:rFonts w:ascii="LiSu" w:eastAsia="LiSu" w:hAnsi="LiSu" w:cs="LiSu"/>
                        <w:sz w:val="11"/>
                        <w:szCs w:val="11"/>
                      </w:rPr>
                    </w:pPr>
                    <w:r>
                      <w:rPr>
                        <w:rFonts w:ascii="LiSu" w:eastAsia="LiSu" w:hAnsi="LiSu" w:cs="LiSu"/>
                        <w:spacing w:val="-1"/>
                        <w:sz w:val="11"/>
                        <w:szCs w:val="11"/>
                      </w:rPr>
                      <w:t>大填日建设</w:t>
                    </w:r>
                  </w:p>
                  <w:p>
                    <w:pPr>
                      <w:spacing w:before="49" w:line="175" w:lineRule="auto"/>
                      <w:ind w:left="20"/>
                      <w:rPr>
                        <w:rFonts w:ascii="LiSu" w:eastAsia="LiSu" w:hAnsi="LiSu" w:cs="LiSu"/>
                        <w:sz w:val="11"/>
                        <w:szCs w:val="11"/>
                      </w:rPr>
                    </w:pPr>
                    <w:r>
                      <w:rPr>
                        <w:rFonts w:ascii="LiSu" w:eastAsia="LiSu" w:hAnsi="LiSu" w:cs="LiSu"/>
                        <w:spacing w:val="-4"/>
                        <w:w w:val="92"/>
                        <w:sz w:val="11"/>
                        <w:szCs w:val="11"/>
                      </w:rPr>
                      <w:t>指界办公重</w:t>
                    </w:r>
                  </w:p>
                </w:txbxContent>
              </v:textbox>
            </v:shape>
            <v:shape id="图片 74" o:spid="_x0000_s1106" type="#_x0000_t75" style="width:240;height:470;left:1090;position:absolute;top:4169" filled="f" stroked="f">
              <v:imagedata r:id="rId50" o:title=""/>
              <v:path o:extrusionok="f"/>
              <o:lock v:ext="edit" aspectratio="t"/>
            </v:shape>
            <v:shape id="文本框 75" o:spid="_x0000_s1107" type="#_x0000_t202" style="width:133;height:282;left:3790;position:absolute;top:3474" filled="f" stroked="f">
              <o:lock v:ext="edit" aspectratio="f"/>
              <v:textbox inset="0,0,0,0">
                <w:txbxContent>
                  <w:p>
                    <w:pPr>
                      <w:spacing w:before="19"/>
                      <w:ind w:left="20"/>
                      <w:rPr>
                        <w:rFonts w:ascii="宋体" w:eastAsia="宋体" w:hAnsi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eastAsia="宋体" w:hAnsi="宋体" w:cs="宋体"/>
                        <w:sz w:val="10"/>
                        <w:szCs w:val="10"/>
                      </w:rPr>
                      <w:t>#</w:t>
                    </w:r>
                  </w:p>
                  <w:p>
                    <w:pPr>
                      <w:spacing w:before="10" w:line="224" w:lineRule="auto"/>
                      <w:ind w:left="20"/>
                      <w:rPr>
                        <w:rFonts w:ascii="仿宋" w:eastAsia="仿宋" w:hAnsi="仿宋" w:cs="仿宋"/>
                        <w:sz w:val="10"/>
                        <w:szCs w:val="10"/>
                      </w:rPr>
                    </w:pPr>
                    <w:r>
                      <w:rPr>
                        <w:rFonts w:ascii="仿宋" w:eastAsia="仿宋" w:hAnsi="仿宋" w:cs="仿宋"/>
                        <w:sz w:val="10"/>
                        <w:szCs w:val="10"/>
                      </w:rPr>
                      <w:t>文</w:t>
                    </w:r>
                  </w:p>
                </w:txbxContent>
              </v:textbox>
            </v:shape>
            <v:shape id="文本框 76" o:spid="_x0000_s1108" type="#_x0000_t202" style="width:143;height:153;left:3790;position:absolute;top:4113" filled="f" stroked="f">
              <o:lock v:ext="edit" aspectratio="f"/>
              <v:textbox inset="0,0,0,0">
                <w:txbxContent>
                  <w:p>
                    <w:pPr>
                      <w:spacing w:before="20" w:line="222" w:lineRule="auto"/>
                      <w:ind w:left="2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z w:val="11"/>
                        <w:szCs w:val="11"/>
                      </w:rPr>
                      <w:t>护</w:t>
                    </w:r>
                  </w:p>
                </w:txbxContent>
              </v:textbox>
            </v:shape>
            <v:shape id="图片 77" o:spid="_x0000_s1109" type="#_x0000_t75" style="width:210;height:440;left:3810;position:absolute;top:3719" filled="f" stroked="f">
              <v:imagedata r:id="rId51" o:title=""/>
              <v:path o:extrusionok="f"/>
              <o:lock v:ext="edit" aspectratio="t"/>
            </v:shape>
            <v:shape id="文本框 78" o:spid="_x0000_s1110" type="#_x0000_t202" style="width:262;height:450;left:4110;position:absolute;top:3618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jc w:val="right"/>
                      <w:rPr>
                        <w:rFonts w:ascii="宋体" w:eastAsia="宋体" w:hAnsi="宋体" w:cs="宋体"/>
                        <w:sz w:val="41"/>
                        <w:szCs w:val="41"/>
                      </w:rPr>
                    </w:pPr>
                    <w:r>
                      <w:rPr>
                        <w:rFonts w:ascii="宋体" w:eastAsia="宋体" w:hAnsi="宋体" w:cs="宋体"/>
                        <w:spacing w:val="-48"/>
                        <w:w w:val="66"/>
                        <w:sz w:val="41"/>
                        <w:szCs w:val="41"/>
                      </w:rPr>
                      <w:t>阔</w:t>
                    </w:r>
                  </w:p>
                </w:txbxContent>
              </v:textbox>
            </v:shape>
            <v:shape id="文本框 79" o:spid="_x0000_s1111" type="#_x0000_t202" style="width:221;height:522;left:3499;position:absolute;top:3613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20" w:line="214" w:lineRule="exact"/>
                      <w:jc w:val="right"/>
                      <w:rPr>
                        <w:rFonts w:ascii="宋体" w:eastAsia="宋体" w:hAnsi="宋体" w:cs="宋体"/>
                        <w:sz w:val="11"/>
                        <w:szCs w:val="11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w w:val="53"/>
                        <w:position w:val="1"/>
                        <w:sz w:val="6"/>
                        <w:szCs w:val="6"/>
                      </w:rPr>
                      <w:t>参与</w:t>
                    </w:r>
                    <w:r>
                      <w:rPr>
                        <w:rFonts w:ascii="宋体" w:eastAsia="宋体" w:hAnsi="宋体" w:cs="宋体"/>
                        <w:spacing w:val="7"/>
                        <w:position w:val="1"/>
                        <w:sz w:val="6"/>
                        <w:szCs w:val="6"/>
                      </w:rPr>
                      <w:t xml:space="preserve"> </w:t>
                    </w:r>
                    <w:r>
                      <w:rPr>
                        <w:position w:val="2"/>
                        <w:sz w:val="6"/>
                        <w:szCs w:val="6"/>
                      </w:rPr>
                      <w:pict>
                        <v:shape id="IM 20" o:spid="_x0000_i1112" type="#_x0000_t75" style="width:4.99pt;height:6.51pt;mso-wrap-distance-left:0;mso-wrap-distance-right:0" o:preferrelative="t" filled="f" stroked="f">
                          <v:fill o:detectmouseclick="t"/>
                          <v:imagedata r:id="rId52" o:title=""/>
                          <v:path o:extrusionok="f"/>
                          <o:lock v:ext="edit" aspectratio="f"/>
                        </v:shape>
                      </w:pict>
                    </w:r>
                    <w:r>
                      <w:rPr>
                        <w:rFonts w:ascii="仿宋" w:eastAsia="仿宋" w:hAnsi="仿宋" w:cs="仿宋"/>
                        <w:spacing w:val="7"/>
                        <w:position w:val="1"/>
                        <w:sz w:val="15"/>
                        <w:szCs w:val="15"/>
                      </w:rPr>
                      <w:t>退</w:t>
                    </w:r>
                    <w:r>
                      <w:rPr>
                        <w:rFonts w:ascii="宋体" w:eastAsia="宋体" w:hAnsi="宋体" w:cs="宋体"/>
                        <w:spacing w:val="7"/>
                        <w:position w:val="1"/>
                        <w:sz w:val="11"/>
                        <w:szCs w:val="11"/>
                      </w:rPr>
                      <w:t>阀</w:t>
                    </w:r>
                  </w:p>
                </w:txbxContent>
              </v:textbox>
            </v:shape>
            <v:shape id="文本框 80" o:spid="_x0000_s1113" type="#_x0000_t202" style="width:337;height:332;left:4730;position:absolute;top:2705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14"/>
                        <w:szCs w:val="14"/>
                      </w:rPr>
                    </w:pPr>
                    <w:r>
                      <w:rPr>
                        <w:rFonts w:ascii="宋体" w:eastAsia="宋体" w:hAnsi="宋体" w:cs="宋体"/>
                        <w:sz w:val="14"/>
                        <w:szCs w:val="14"/>
                      </w:rPr>
                      <w:t>明</w:t>
                    </w:r>
                  </w:p>
                  <w:p>
                    <w:pPr>
                      <w:spacing w:before="23" w:line="225" w:lineRule="auto"/>
                      <w:ind w:left="20"/>
                      <w:rPr>
                        <w:rFonts w:ascii="仿宋" w:eastAsia="仿宋" w:hAnsi="仿宋" w:cs="仿宋"/>
                        <w:sz w:val="10"/>
                        <w:szCs w:val="10"/>
                      </w:rPr>
                    </w:pPr>
                    <w:r>
                      <w:rPr>
                        <w:rFonts w:ascii="仿宋" w:eastAsia="仿宋" w:hAnsi="仿宋" w:cs="仿宋"/>
                        <w:spacing w:val="-1"/>
                        <w:sz w:val="10"/>
                        <w:szCs w:val="10"/>
                      </w:rPr>
                      <w:t>日建政</w:t>
                    </w:r>
                  </w:p>
                </w:txbxContent>
              </v:textbox>
            </v:shape>
            <v:shape id="图片 81" o:spid="_x0000_s1114" type="#_x0000_t75" style="width:200;height:370;left:1400;position:absolute;top:4269" filled="f" stroked="f">
              <v:imagedata r:id="rId53" o:title=""/>
              <v:path o:extrusionok="f"/>
              <o:lock v:ext="edit" aspectratio="t"/>
            </v:shape>
            <v:shape id="文本框 82" o:spid="_x0000_s1115" type="#_x0000_t202" style="width:517;height:153;left:3850;position:absolute;top:783" filled="f" stroked="f">
              <o:lock v:ext="edit" aspectratio="f"/>
              <v:textbox inset="0,0,0,0">
                <w:txbxContent>
                  <w:p>
                    <w:pPr>
                      <w:spacing w:before="20" w:line="222" w:lineRule="auto"/>
                      <w:ind w:left="2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9"/>
                        <w:sz w:val="11"/>
                        <w:szCs w:val="11"/>
                      </w:rPr>
                      <w:t>监管体系</w:t>
                    </w:r>
                  </w:p>
                </w:txbxContent>
              </v:textbox>
            </v:shape>
            <v:shape id="文本框 83" o:spid="_x0000_s1116" type="#_x0000_t202" style="width:703;height:116;left:3749;position:absolute;top:263" filled="f" stroked="f">
              <o:lock v:ext="edit" aspectratio="f"/>
              <v:textbox inset="0,0,0,0">
                <w:txbxContent>
                  <w:p>
                    <w:pPr>
                      <w:spacing w:before="19" w:line="174" w:lineRule="auto"/>
                      <w:jc w:val="right"/>
                      <w:rPr>
                        <w:rFonts w:ascii="LiSu" w:eastAsia="LiSu" w:hAnsi="LiSu" w:cs="LiSu"/>
                        <w:sz w:val="11"/>
                        <w:szCs w:val="11"/>
                      </w:rPr>
                    </w:pPr>
                    <w:r>
                      <w:rPr>
                        <w:rFonts w:ascii="LiSu" w:eastAsia="LiSu" w:hAnsi="LiSu" w:cs="LiSu"/>
                        <w:spacing w:val="26"/>
                        <w:sz w:val="11"/>
                        <w:szCs w:val="11"/>
                      </w:rPr>
                      <w:t>四号线项目</w:t>
                    </w:r>
                  </w:p>
                </w:txbxContent>
              </v:textbox>
            </v:shape>
            <v:shape id="文本框 84" o:spid="_x0000_s1117" type="#_x0000_t202" style="width:470;height:153;left:5520;position:absolute;top:774" filled="f" stroked="f">
              <o:lock v:ext="edit" aspectratio="f"/>
              <v:textbox inset="0,0,0,0">
                <w:txbxContent>
                  <w:p>
                    <w:pPr>
                      <w:spacing w:before="19" w:line="224" w:lineRule="auto"/>
                      <w:ind w:left="2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-3"/>
                        <w:sz w:val="11"/>
                        <w:szCs w:val="11"/>
                      </w:rPr>
                      <w:t>一般出管</w:t>
                    </w:r>
                  </w:p>
                </w:txbxContent>
              </v:textbox>
            </v:shape>
            <v:shape id="文本框 85" o:spid="_x0000_s1118" type="#_x0000_t202" style="width:360;height:153;left:3280;position:absolute;top:2614" filled="f" stroked="f">
              <o:lock v:ext="edit" aspectratio="f"/>
              <v:textbox inset="0,0,0,0">
                <w:txbxContent>
                  <w:p>
                    <w:pPr>
                      <w:spacing w:before="20" w:line="223" w:lineRule="auto"/>
                      <w:ind w:left="2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-3"/>
                        <w:sz w:val="11"/>
                        <w:szCs w:val="11"/>
                      </w:rPr>
                      <w:t>感成局</w:t>
                    </w:r>
                  </w:p>
                </w:txbxContent>
              </v:textbox>
            </v:shape>
            <v:shape id="文本框 86" o:spid="_x0000_s1119" type="#_x0000_t202" style="width:332;height:153;left:6670;position:absolute;top:1852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-9"/>
                        <w:sz w:val="11"/>
                        <w:szCs w:val="11"/>
                      </w:rPr>
                      <w:t>环保局</w:t>
                    </w:r>
                  </w:p>
                </w:txbxContent>
              </v:textbox>
            </v:shape>
            <v:shape id="文本框 87" o:spid="_x0000_s1120" type="#_x0000_t202" style="width:477;height:115;left:6590;position:absolute;top:1495" filled="f" stroked="f">
              <o:lock v:ext="edit" aspectratio="f"/>
              <v:textbox inset="0,0,0,0">
                <w:txbxContent>
                  <w:p>
                    <w:pPr>
                      <w:spacing w:before="19" w:line="175" w:lineRule="auto"/>
                      <w:ind w:left="20"/>
                      <w:rPr>
                        <w:rFonts w:ascii="LiSu" w:eastAsia="LiSu" w:hAnsi="LiSu" w:cs="LiSu"/>
                        <w:sz w:val="11"/>
                        <w:szCs w:val="11"/>
                      </w:rPr>
                    </w:pPr>
                    <w:r>
                      <w:rPr>
                        <w:rFonts w:ascii="LiSu" w:eastAsia="LiSu" w:hAnsi="LiSu" w:cs="LiSu"/>
                        <w:spacing w:val="-1"/>
                        <w:sz w:val="11"/>
                        <w:szCs w:val="11"/>
                      </w:rPr>
                      <w:t>人力补院</w:t>
                    </w:r>
                  </w:p>
                </w:txbxContent>
              </v:textbox>
            </v:shape>
            <v:shape id="文本框 88" o:spid="_x0000_s1121" type="#_x0000_t202" style="width:327;height:153;left:6670;position:absolute;top:314" filled="f" stroked="f">
              <o:lock v:ext="edit" aspectratio="f"/>
              <v:textbox inset="0,0,0,0">
                <w:txbxContent>
                  <w:p>
                    <w:pPr>
                      <w:spacing w:before="19" w:line="224" w:lineRule="auto"/>
                      <w:ind w:left="2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-10"/>
                        <w:sz w:val="11"/>
                        <w:szCs w:val="11"/>
                      </w:rPr>
                      <w:t>规划要</w:t>
                    </w:r>
                  </w:p>
                </w:txbxContent>
              </v:textbox>
            </v:shape>
            <v:shape id="图片 89" o:spid="_x0000_s1122" type="#_x0000_t75" style="width:210;height:151;left:2280;position:absolute;top:4390" filled="f" stroked="f">
              <v:imagedata r:id="rId54" o:title=""/>
              <v:path o:extrusionok="f"/>
              <o:lock v:ext="edit" aspectratio="t"/>
            </v:shape>
            <v:shape id="图片 90" o:spid="_x0000_s1123" type="#_x0000_t75" style="width:210;height:141;left:1970;position:absolute;top:4459" filled="f" stroked="f">
              <v:imagedata r:id="rId55" o:title=""/>
              <v:path o:extrusionok="f"/>
              <o:lock v:ext="edit" aspectratio="t"/>
            </v:shape>
            <v:shape id="文本框 91" o:spid="_x0000_s1124" type="#_x0000_t202" style="width:337;height:138;left:1970;position:absolute;top:2611" filled="f" stroked="f">
              <o:lock v:ext="edit" aspectratio="f"/>
              <v:textbox inset="0,0,0,0">
                <w:txbxContent>
                  <w:p>
                    <w:pPr>
                      <w:spacing w:before="19" w:line="174" w:lineRule="auto"/>
                      <w:ind w:left="20"/>
                      <w:rPr>
                        <w:rFonts w:ascii="LiSu" w:eastAsia="LiSu" w:hAnsi="LiSu" w:cs="LiSu"/>
                        <w:sz w:val="15"/>
                        <w:szCs w:val="15"/>
                      </w:rPr>
                    </w:pPr>
                    <w:r>
                      <w:rPr>
                        <w:rFonts w:ascii="LiSu" w:eastAsia="LiSu" w:hAnsi="LiSu" w:cs="LiSu"/>
                        <w:spacing w:val="-1"/>
                        <w:sz w:val="15"/>
                        <w:szCs w:val="15"/>
                      </w:rPr>
                      <w:t>输片</w:t>
                    </w:r>
                  </w:p>
                </w:txbxContent>
              </v:textbox>
            </v:shape>
            <v:shape id="文本框 92" o:spid="_x0000_s1125" type="#_x0000_t202" style="width:203;height:210;left:1680;position:absolute;top:4193" filled="f" stroked="f">
              <o:lock v:ext="edit" aspectratio="f"/>
              <v:textbox inset="0,0,0,0">
                <w:txbxContent>
                  <w:p>
                    <w:pPr>
                      <w:spacing w:before="19" w:line="227" w:lineRule="auto"/>
                      <w:ind w:left="2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z w:val="17"/>
                        <w:szCs w:val="17"/>
                      </w:rPr>
                      <w:t>盘</w:t>
                    </w:r>
                  </w:p>
                </w:txbxContent>
              </v:textbox>
            </v:shape>
            <v:shape id="图片 93" o:spid="_x0000_s1126" type="#_x0000_t75" style="width:191;height:140;left:1329;position:absolute;top:2749" filled="f" stroked="f">
              <v:imagedata r:id="rId56" o:title=""/>
              <v:path o:extrusionok="f"/>
              <o:lock v:ext="edit" aspectratio="t"/>
            </v:shape>
            <v:shape id="文本框 94" o:spid="_x0000_s1127" type="#_x0000_t202" style="width:252;height:153;left:1940;position:absolute;top:4324" filled="f" stroked="f">
              <o:lock v:ext="edit" aspectratio="f"/>
              <v:textbox inset="0,0,0,0">
                <w:txbxContent>
                  <w:p>
                    <w:pPr>
                      <w:spacing w:before="19" w:line="194" w:lineRule="auto"/>
                      <w:ind w:left="2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pacing w:val="-3"/>
                        <w:sz w:val="11"/>
                        <w:szCs w:val="11"/>
                      </w:rPr>
                      <w:t>安全</w:t>
                    </w:r>
                  </w:p>
                </w:txbxContent>
              </v:textbox>
            </v:shape>
            <v:shape id="图片 95" o:spid="_x0000_s1128" type="#_x0000_t75" style="width:200;height:101;left:4780;position:absolute;top:2459" filled="f" stroked="f">
              <v:imagedata r:id="rId57" o:title=""/>
              <v:path o:extrusionok="f"/>
              <o:lock v:ext="edit" aspectratio="t"/>
            </v:shape>
            <v:shape id="图片 96" o:spid="_x0000_s1129" type="#_x0000_t75" style="width:101;height:150;left:5500;position:absolute;top:2820" filled="f" stroked="f">
              <v:imagedata r:id="rId58" o:title=""/>
              <v:path o:extrusionok="f"/>
              <o:lock v:ext="edit" aspectratio="t"/>
            </v:shape>
            <v:shape id="图片 97" o:spid="_x0000_s1130" type="#_x0000_t75" style="width:150;height:100;left:2310;position:absolute;top:4150" filled="f" stroked="f">
              <v:imagedata r:id="rId59" o:title=""/>
              <v:path o:extrusionok="f"/>
              <o:lock v:ext="edit" aspectratio="t"/>
            </v:shape>
            <v:shape id="文本框 98" o:spid="_x0000_s1131" type="#_x0000_t202" style="width:136;height:193;left:5950;position:absolute;top:2733" filled="f" stroked="f">
              <o:lock v:ext="edit" aspectratio="f"/>
              <v:textbox inset="0,0,0,0">
                <w:txbxContent>
                  <w:p>
                    <w:pPr>
                      <w:spacing w:before="20" w:line="233" w:lineRule="auto"/>
                      <w:jc w:val="right"/>
                      <w:rPr>
                        <w:rFonts w:ascii="仿宋" w:eastAsia="仿宋" w:hAnsi="仿宋" w:cs="仿宋"/>
                        <w:sz w:val="15"/>
                        <w:szCs w:val="15"/>
                      </w:rPr>
                    </w:pPr>
                    <w:r>
                      <w:rPr>
                        <w:rFonts w:ascii="仿宋" w:eastAsia="仿宋" w:hAnsi="仿宋" w:cs="仿宋"/>
                        <w:spacing w:val="-13"/>
                        <w:w w:val="73"/>
                        <w:sz w:val="15"/>
                        <w:szCs w:val="15"/>
                      </w:rPr>
                      <w:t>理</w:t>
                    </w:r>
                  </w:p>
                </w:txbxContent>
              </v:textbox>
            </v:shape>
            <v:shape id="图片 99" o:spid="_x0000_s1132" type="#_x0000_t75" style="width:140;height:101;left:2310;position:absolute;top:4550" filled="f" stroked="f">
              <v:imagedata r:id="rId60" o:title=""/>
              <v:path o:extrusionok="f"/>
              <o:lock v:ext="edit" aspectratio="t"/>
            </v:shape>
            <v:shape id="图片 100" o:spid="_x0000_s1133" type="#_x0000_t75" style="width:101;height:131;left:1710;position:absolute;top:4750" filled="f" stroked="f">
              <v:imagedata r:id="rId61" o:title=""/>
              <v:path o:extrusionok="f"/>
              <o:lock v:ext="edit" aspectratio="t"/>
            </v:shape>
            <v:shape id="文本框 101" o:spid="_x0000_s1134" type="#_x0000_t202" style="width:143;height:153;left:1299;position:absolute;top:2613" filled="f" stroked="f">
              <o:lock v:ext="edit" aspectratio="f"/>
              <v:textbox inset="0,0,0,0">
                <w:txbxContent>
                  <w:p>
                    <w:pPr>
                      <w:spacing w:before="20" w:line="195" w:lineRule="auto"/>
                      <w:ind w:left="20"/>
                      <w:rPr>
                        <w:rFonts w:ascii="仿宋" w:eastAsia="仿宋" w:hAnsi="仿宋" w:cs="仿宋"/>
                        <w:sz w:val="11"/>
                        <w:szCs w:val="11"/>
                      </w:rPr>
                    </w:pPr>
                    <w:r>
                      <w:rPr>
                        <w:rFonts w:ascii="仿宋" w:eastAsia="仿宋" w:hAnsi="仿宋" w:cs="仿宋"/>
                        <w:sz w:val="11"/>
                        <w:szCs w:val="11"/>
                      </w:rPr>
                      <w:t>价</w:t>
                    </w:r>
                  </w:p>
                </w:txbxContent>
              </v:textbox>
            </v:shape>
            <v:shape id="图片 102" o:spid="_x0000_s1135" type="#_x0000_t75" style="width:101;height:110;left:5970;position:absolute;top:2660" filled="f" stroked="f">
              <v:imagedata r:id="rId62" o:title=""/>
              <v:path o:extrusionok="f"/>
              <o:lock v:ext="edit" aspectratio="t"/>
            </v:shape>
            <v:shape id="文本框 103" o:spid="_x0000_s1136" type="#_x0000_t202" style="width:188;height:108;left:4620;position:absolute;top:2619" filled="f" stroked="f">
              <o:lock v:ext="edit" aspectratio="f"/>
              <v:textbox inset="0,0,0,0">
                <w:txbxContent>
                  <w:p>
                    <w:pPr>
                      <w:spacing w:before="20" w:line="85" w:lineRule="exact"/>
                      <w:ind w:left="20"/>
                      <w:rPr>
                        <w:rFonts w:ascii="宋体" w:eastAsia="宋体" w:hAnsi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eastAsia="宋体" w:hAnsi="宋体" w:cs="宋体"/>
                        <w:spacing w:val="-1"/>
                        <w:position w:val="2"/>
                        <w:sz w:val="10"/>
                        <w:szCs w:val="10"/>
                      </w:rPr>
                      <w:t>,</w:t>
                    </w:r>
                    <w:r>
                      <w:rPr>
                        <w:rFonts w:ascii="宋体" w:eastAsia="宋体" w:hAnsi="宋体" w:cs="宋体"/>
                        <w:spacing w:val="11"/>
                        <w:position w:val="2"/>
                        <w:sz w:val="10"/>
                        <w:szCs w:val="1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color w:val="FFFFFF"/>
                        <w:spacing w:val="-1"/>
                        <w:position w:val="-1"/>
                        <w:sz w:val="10"/>
                        <w:szCs w:val="10"/>
                      </w:rPr>
                      <w:t>1</w:t>
                    </w:r>
                  </w:p>
                </w:txbxContent>
              </v:textbox>
            </v:shape>
            <v:shape id="文本框 104" o:spid="_x0000_s1137" type="#_x0000_t202" style="width:156;height:101;left:2320;position:absolute;top:4282" filled="f" stroked="f">
              <o:lock v:ext="edit" aspectratio="f"/>
              <v:textbox inset="0,0,0,0">
                <w:txbxContent>
                  <w:p>
                    <w:pPr>
                      <w:spacing w:before="20" w:line="223" w:lineRule="auto"/>
                      <w:ind w:left="20"/>
                      <w:rPr>
                        <w:rFonts w:ascii="仿宋" w:eastAsia="仿宋" w:hAnsi="仿宋" w:cs="仿宋"/>
                        <w:sz w:val="6"/>
                        <w:szCs w:val="6"/>
                      </w:rPr>
                    </w:pPr>
                    <w:r>
                      <w:rPr>
                        <w:rFonts w:ascii="仿宋" w:eastAsia="仿宋" w:hAnsi="仿宋" w:cs="仿宋"/>
                        <w:spacing w:val="-1"/>
                        <w:sz w:val="6"/>
                        <w:szCs w:val="6"/>
                      </w:rPr>
                      <w:t>事业</w:t>
                    </w:r>
                  </w:p>
                </w:txbxContent>
              </v:textbox>
            </v:shape>
            <v:shape id="文本框 105" o:spid="_x0000_s1138" type="#_x0000_t202" style="width:91;height:101;left:1090;position:absolute;top:4634" filled="f" stroked="f">
              <o:lock v:ext="edit" aspectratio="f"/>
              <v:textbox inset="0,0,0,0">
                <w:txbxContent>
                  <w:p>
                    <w:pPr>
                      <w:spacing w:before="19" w:line="231" w:lineRule="auto"/>
                      <w:ind w:left="20"/>
                      <w:rPr>
                        <w:rFonts w:ascii="仿宋" w:eastAsia="仿宋" w:hAnsi="仿宋" w:cs="仿宋"/>
                        <w:sz w:val="6"/>
                        <w:szCs w:val="6"/>
                      </w:rPr>
                    </w:pPr>
                    <w:r>
                      <w:rPr>
                        <w:rFonts w:ascii="仿宋" w:eastAsia="仿宋" w:hAnsi="仿宋" w:cs="仿宋"/>
                        <w:sz w:val="6"/>
                        <w:szCs w:val="6"/>
                      </w:rPr>
                      <w:t>医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before="299" w:line="222" w:lineRule="auto"/>
        <w:ind w:left="39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1"/>
          <w:sz w:val="27"/>
          <w:szCs w:val="27"/>
        </w:rPr>
        <w:t>图64号线的监管体系</w:t>
      </w:r>
    </w:p>
    <w:p>
      <w:pPr>
        <w:pStyle w:val="BodyText"/>
      </w:pPr>
    </w:p>
    <w:p>
      <w:pPr>
        <w:pStyle w:val="BodyText"/>
      </w:pPr>
    </w:p>
    <w:p>
      <w:pPr>
        <w:spacing w:before="87" w:line="431" w:lineRule="exact"/>
        <w:ind w:left="136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b/>
          <w:bCs/>
          <w:spacing w:val="19"/>
          <w:position w:val="11"/>
          <w:sz w:val="27"/>
          <w:szCs w:val="27"/>
        </w:rPr>
        <w:t>案例7:大理市生活垃圾处置城乡一体化系统工程</w:t>
      </w:r>
    </w:p>
    <w:p>
      <w:pPr>
        <w:spacing w:line="222" w:lineRule="auto"/>
        <w:ind w:left="137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b/>
          <w:bCs/>
          <w:spacing w:val="5"/>
          <w:sz w:val="27"/>
          <w:szCs w:val="27"/>
        </w:rPr>
        <w:t>一、项目概况</w:t>
      </w:r>
    </w:p>
    <w:p>
      <w:pPr>
        <w:spacing w:before="102" w:line="302" w:lineRule="auto"/>
        <w:ind w:left="820" w:right="826" w:firstLine="60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>大理市位于云南省大理白族自治州中部，是州府所在地，是全国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历史文化名城、国家级自然保护区、中国优秀旅游城市、最佳中国魅</w:t>
      </w:r>
      <w:r>
        <w:rPr>
          <w:rFonts w:ascii="仿宋" w:eastAsia="仿宋" w:hAnsi="仿宋" w:cs="仿宋"/>
          <w:spacing w:val="1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7"/>
          <w:sz w:val="27"/>
          <w:szCs w:val="27"/>
        </w:rPr>
        <w:t>力城市。大理市下辖10镇、1乡、111个村委会和501个自然村，以</w:t>
      </w:r>
      <w:r>
        <w:rPr>
          <w:rFonts w:ascii="仿宋" w:eastAsia="仿宋" w:hAnsi="仿宋" w:cs="仿宋"/>
          <w:spacing w:val="1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及创新工业园区、旅游度假区、海东开发管理委员会，总面积1815</w:t>
      </w:r>
    </w:p>
    <w:p>
      <w:pPr>
        <w:spacing w:line="222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6"/>
          <w:sz w:val="27"/>
          <w:szCs w:val="27"/>
        </w:rPr>
        <w:t>平方公里，总人口68万人，全市日均垃圾产量约688吨。</w:t>
      </w:r>
    </w:p>
    <w:p>
      <w:pPr>
        <w:spacing w:before="115" w:line="300" w:lineRule="auto"/>
        <w:ind w:left="820" w:right="840" w:firstLine="60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为提高全市垃圾处理“减量化、资源化、无害化”水平，创新垃</w:t>
      </w:r>
      <w:r>
        <w:rPr>
          <w:rFonts w:ascii="仿宋" w:eastAsia="仿宋" w:hAnsi="仿宋" w:cs="仿宋"/>
          <w:spacing w:val="1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圾收集清运处置新模式，探索洱海环境保护新经验，大理市按照“科</w:t>
      </w:r>
    </w:p>
    <w:p>
      <w:pPr>
        <w:spacing w:line="220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5"/>
          <w:sz w:val="27"/>
          <w:szCs w:val="27"/>
        </w:rPr>
        <w:t>学治理、科技领先、城乡一体、市场化运作”的思路，引</w:t>
      </w:r>
      <w:r>
        <w:rPr>
          <w:rFonts w:ascii="仿宋" w:eastAsia="仿宋" w:hAnsi="仿宋" w:cs="仿宋"/>
          <w:spacing w:val="-6"/>
          <w:sz w:val="27"/>
          <w:szCs w:val="27"/>
        </w:rPr>
        <w:t>进先进技术，</w:t>
      </w:r>
    </w:p>
    <w:p>
      <w:pPr>
        <w:spacing w:line="220" w:lineRule="auto"/>
        <w:rPr>
          <w:rFonts w:ascii="仿宋" w:eastAsia="仿宋" w:hAnsi="仿宋" w:cs="仿宋"/>
          <w:sz w:val="27"/>
          <w:szCs w:val="27"/>
        </w:rPr>
        <w:sectPr>
          <w:footerReference w:type="default" r:id="rId63"/>
          <w:pgSz w:w="11910" w:h="16840"/>
          <w:pgMar w:top="845" w:right="989" w:bottom="1192" w:left="999" w:header="0" w:footer="966" w:gutter="0"/>
          <w:pgNumType w:start="36"/>
          <w:cols w:space="708"/>
        </w:sectPr>
      </w:pPr>
    </w:p>
    <w:tbl>
      <w:tblPr>
        <w:tblStyle w:val="TableNormal19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70"/>
        <w:gridCol w:w="273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13"/>
            </w:pPr>
            <w:bookmarkStart w:id="26" w:name="bookmark27"/>
            <w:bookmarkEnd w:id="26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2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7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3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页码：第27页共79页</w:t>
            </w:r>
          </w:p>
        </w:tc>
      </w:tr>
    </w:tbl>
    <w:p>
      <w:pPr>
        <w:pStyle w:val="BodyText"/>
        <w:spacing w:line="279" w:lineRule="auto"/>
      </w:pPr>
    </w:p>
    <w:p>
      <w:pPr>
        <w:spacing w:before="88" w:line="301" w:lineRule="auto"/>
        <w:ind w:left="799" w:right="635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2"/>
          <w:sz w:val="27"/>
          <w:szCs w:val="27"/>
        </w:rPr>
        <w:t>采用市场化运作，于2012年启动实施了洱海流域垃圾收集清运处置</w:t>
      </w:r>
      <w:r>
        <w:rPr>
          <w:rFonts w:ascii="仿宋" w:eastAsia="仿宋" w:hAnsi="仿宋" w:cs="仿宋"/>
          <w:spacing w:val="2"/>
          <w:sz w:val="27"/>
          <w:szCs w:val="27"/>
        </w:rPr>
        <w:t xml:space="preserve">   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系统工程建设，高起点、高标准建设实施生活垃圾处置城乡一体化系  </w:t>
      </w:r>
      <w:r>
        <w:rPr>
          <w:rFonts w:ascii="仿宋" w:eastAsia="仿宋" w:hAnsi="仿宋" w:cs="仿宋"/>
          <w:spacing w:val="-3"/>
          <w:sz w:val="27"/>
          <w:szCs w:val="27"/>
        </w:rPr>
        <w:t>统工程，主要包括三方面内容：</w:t>
      </w:r>
      <w:r>
        <w:rPr>
          <w:rFonts w:ascii="仿宋" w:eastAsia="仿宋" w:hAnsi="仿宋" w:cs="仿宋"/>
          <w:spacing w:val="9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3"/>
          <w:sz w:val="27"/>
          <w:szCs w:val="27"/>
        </w:rPr>
        <w:t xml:space="preserve">一是在洱海流域的两区和下关、大理  </w:t>
      </w:r>
      <w:r>
        <w:rPr>
          <w:rFonts w:ascii="仿宋" w:eastAsia="仿宋" w:hAnsi="仿宋" w:cs="仿宋"/>
          <w:spacing w:val="15"/>
          <w:sz w:val="27"/>
          <w:szCs w:val="27"/>
        </w:rPr>
        <w:t xml:space="preserve">11个乡镇，共建设10座垃圾中转站，购置15辆垃圾转运车、111辆  </w:t>
      </w:r>
      <w:r>
        <w:rPr>
          <w:rFonts w:ascii="仿宋" w:eastAsia="仿宋" w:hAnsi="仿宋" w:cs="仿宋"/>
          <w:spacing w:val="12"/>
          <w:sz w:val="27"/>
          <w:szCs w:val="27"/>
        </w:rPr>
        <w:t>小型垃圾收集车和1002个收集箱体；二是实施装机容量12兆</w:t>
      </w:r>
      <w:r>
        <w:rPr>
          <w:rFonts w:ascii="仿宋" w:eastAsia="仿宋" w:hAnsi="仿宋" w:cs="仿宋"/>
          <w:spacing w:val="11"/>
          <w:sz w:val="27"/>
          <w:szCs w:val="27"/>
        </w:rPr>
        <w:t xml:space="preserve">瓦、日  </w:t>
      </w:r>
      <w:r>
        <w:rPr>
          <w:rFonts w:ascii="仿宋" w:eastAsia="仿宋" w:hAnsi="仿宋" w:cs="仿宋"/>
          <w:spacing w:val="20"/>
          <w:sz w:val="27"/>
          <w:szCs w:val="27"/>
        </w:rPr>
        <w:t>处理生活垃圾600吨以上的大理市第二(海东)垃圾焚烧发电工程，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 对生活垃圾进行无害化处理和资源化利用；三</w:t>
      </w:r>
      <w:r>
        <w:rPr>
          <w:rFonts w:ascii="仿宋" w:eastAsia="仿宋" w:hAnsi="仿宋" w:cs="仿宋"/>
          <w:spacing w:val="3"/>
          <w:sz w:val="27"/>
          <w:szCs w:val="27"/>
        </w:rPr>
        <w:t>是构建数字化监管系统，</w:t>
      </w:r>
    </w:p>
    <w:p>
      <w:pPr>
        <w:spacing w:line="220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实现对市场化运作企业运营情况的全方位监管。</w:t>
      </w:r>
    </w:p>
    <w:p>
      <w:pPr>
        <w:spacing w:before="112" w:line="302" w:lineRule="auto"/>
        <w:ind w:left="799" w:right="858" w:firstLine="61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sz w:val="27"/>
          <w:szCs w:val="27"/>
        </w:rPr>
        <w:t>目前，大理市洱海流域垃圾收集清运处置系统初步建成，运转正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9"/>
          <w:sz w:val="27"/>
          <w:szCs w:val="27"/>
        </w:rPr>
        <w:t>常。全市城乡生活垃圾收集清运量从2013年的16</w:t>
      </w:r>
      <w:r>
        <w:rPr>
          <w:rFonts w:ascii="仿宋" w:eastAsia="仿宋" w:hAnsi="仿宋" w:cs="仿宋"/>
          <w:spacing w:val="18"/>
          <w:sz w:val="27"/>
          <w:szCs w:val="27"/>
        </w:rPr>
        <w:t>4,657.7吨(日均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30"/>
          <w:sz w:val="27"/>
          <w:szCs w:val="27"/>
        </w:rPr>
        <w:t>451</w:t>
      </w:r>
      <w:r>
        <w:rPr>
          <w:rFonts w:ascii="仿宋" w:eastAsia="仿宋" w:hAnsi="仿宋" w:cs="仿宋"/>
          <w:spacing w:val="-6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30"/>
          <w:sz w:val="27"/>
          <w:szCs w:val="27"/>
        </w:rPr>
        <w:t>.</w:t>
      </w:r>
      <w:r>
        <w:rPr>
          <w:rFonts w:ascii="仿宋" w:eastAsia="仿宋" w:hAnsi="仿宋" w:cs="仿宋"/>
          <w:spacing w:val="-6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30"/>
          <w:sz w:val="27"/>
          <w:szCs w:val="27"/>
        </w:rPr>
        <w:t>1吨),提升到2014年的196,931</w:t>
      </w:r>
      <w:r>
        <w:rPr>
          <w:rFonts w:ascii="仿宋" w:eastAsia="仿宋" w:hAnsi="仿宋" w:cs="仿宋"/>
          <w:spacing w:val="-7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30"/>
          <w:sz w:val="27"/>
          <w:szCs w:val="27"/>
        </w:rPr>
        <w:t>.6吨(日均539</w:t>
      </w:r>
      <w:r>
        <w:rPr>
          <w:rFonts w:ascii="仿宋" w:eastAsia="仿宋" w:hAnsi="仿宋" w:cs="仿宋"/>
          <w:spacing w:val="-8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30"/>
          <w:sz w:val="27"/>
          <w:szCs w:val="27"/>
        </w:rPr>
        <w:t>.5吨),增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长了19.6%,城乡环境卫生、洱海水质得到了明显改善，基本实现全</w:t>
      </w:r>
      <w:r>
        <w:rPr>
          <w:rFonts w:ascii="仿宋" w:eastAsia="仿宋" w:hAnsi="仿宋" w:cs="仿宋"/>
          <w:spacing w:val="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市城乡生活垃圾“收集清运全覆盖、压缩转运全封闭、焚烧发电资源</w:t>
      </w:r>
    </w:p>
    <w:p>
      <w:pPr>
        <w:spacing w:line="222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化、监督管理数字化、建筑垃圾再利用”的预</w:t>
      </w:r>
      <w:r>
        <w:rPr>
          <w:rFonts w:ascii="仿宋" w:eastAsia="仿宋" w:hAnsi="仿宋" w:cs="仿宋"/>
          <w:spacing w:val="6"/>
          <w:sz w:val="27"/>
          <w:szCs w:val="27"/>
        </w:rPr>
        <w:t>期目标。</w:t>
      </w:r>
    </w:p>
    <w:p>
      <w:pPr>
        <w:spacing w:before="121" w:line="222" w:lineRule="auto"/>
        <w:ind w:left="136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5"/>
          <w:sz w:val="27"/>
          <w:szCs w:val="27"/>
        </w:rPr>
        <w:t>二、运作模式</w:t>
      </w:r>
    </w:p>
    <w:p>
      <w:pPr>
        <w:spacing w:before="120" w:line="223" w:lineRule="auto"/>
        <w:ind w:left="15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6"/>
          <w:sz w:val="27"/>
          <w:szCs w:val="27"/>
        </w:rPr>
        <w:t>(</w:t>
      </w:r>
      <w:r>
        <w:rPr>
          <w:rFonts w:ascii="仿宋" w:eastAsia="仿宋" w:hAnsi="仿宋" w:cs="仿宋"/>
          <w:spacing w:val="-7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6"/>
          <w:sz w:val="27"/>
          <w:szCs w:val="27"/>
        </w:rPr>
        <w:t>一)建设模式</w:t>
      </w:r>
    </w:p>
    <w:p>
      <w:pPr>
        <w:spacing w:before="98" w:line="301" w:lineRule="auto"/>
        <w:ind w:left="799" w:right="795" w:firstLine="61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9"/>
          <w:sz w:val="27"/>
          <w:szCs w:val="27"/>
        </w:rPr>
        <w:t>2010年10月，大理市以</w:t>
      </w:r>
      <w:r>
        <w:rPr>
          <w:rFonts w:ascii="Times New Roman" w:eastAsia="Times New Roman" w:hAnsi="Times New Roman" w:cs="Times New Roman"/>
          <w:sz w:val="27"/>
          <w:szCs w:val="27"/>
        </w:rPr>
        <w:t>BOT</w:t>
      </w:r>
      <w:r>
        <w:rPr>
          <w:rFonts w:ascii="Times New Roman" w:eastAsia="Times New Roman" w:hAnsi="Times New Roman" w:cs="Times New Roman"/>
          <w:spacing w:val="47"/>
          <w:w w:val="10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9"/>
          <w:sz w:val="27"/>
          <w:szCs w:val="27"/>
        </w:rPr>
        <w:t>(投资建设-运营-移</w:t>
      </w:r>
      <w:r>
        <w:rPr>
          <w:rFonts w:ascii="仿宋" w:eastAsia="仿宋" w:hAnsi="仿宋" w:cs="仿宋"/>
          <w:spacing w:val="18"/>
          <w:sz w:val="27"/>
          <w:szCs w:val="27"/>
        </w:rPr>
        <w:t>交)方式，引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进重庆三峰环境产业集团公司，采用德国马丁</w:t>
      </w:r>
      <w:r>
        <w:rPr>
          <w:rFonts w:ascii="宋体" w:eastAsia="宋体" w:hAnsi="宋体" w:cs="宋体"/>
          <w:sz w:val="27"/>
          <w:szCs w:val="27"/>
        </w:rPr>
        <w:t>SITY</w:t>
      </w:r>
      <w:r>
        <w:rPr>
          <w:rFonts w:ascii="宋体" w:eastAsia="宋体" w:hAnsi="宋体" w:cs="宋体"/>
          <w:spacing w:val="8"/>
          <w:sz w:val="27"/>
          <w:szCs w:val="27"/>
        </w:rPr>
        <w:t xml:space="preserve">2000 </w:t>
      </w:r>
      <w:r>
        <w:rPr>
          <w:rFonts w:ascii="仿宋" w:eastAsia="仿宋" w:hAnsi="仿宋" w:cs="仿宋"/>
          <w:spacing w:val="8"/>
          <w:sz w:val="27"/>
          <w:szCs w:val="27"/>
        </w:rPr>
        <w:t>逆</w:t>
      </w:r>
      <w:r>
        <w:rPr>
          <w:rFonts w:ascii="仿宋" w:eastAsia="仿宋" w:hAnsi="仿宋" w:cs="仿宋"/>
          <w:spacing w:val="7"/>
          <w:sz w:val="27"/>
          <w:szCs w:val="27"/>
        </w:rPr>
        <w:t xml:space="preserve">推倾斜式 </w:t>
      </w:r>
      <w:r>
        <w:rPr>
          <w:rFonts w:ascii="仿宋" w:eastAsia="仿宋" w:hAnsi="仿宋" w:cs="仿宋"/>
          <w:spacing w:val="8"/>
          <w:sz w:val="27"/>
          <w:szCs w:val="27"/>
        </w:rPr>
        <w:t>炉排炉焚烧发电处理工艺，投资4.2</w:t>
      </w:r>
      <w:r>
        <w:rPr>
          <w:rFonts w:ascii="仿宋" w:eastAsia="仿宋" w:hAnsi="仿宋" w:cs="仿宋"/>
          <w:spacing w:val="-2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亿元建设一座垃圾焚烧发电厂；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9"/>
          <w:sz w:val="27"/>
          <w:szCs w:val="27"/>
        </w:rPr>
        <w:t>2012年6月，大理市公开招标以</w:t>
      </w:r>
      <w:r>
        <w:rPr>
          <w:rFonts w:ascii="宋体" w:eastAsia="宋体" w:hAnsi="宋体" w:cs="宋体"/>
          <w:sz w:val="27"/>
          <w:szCs w:val="27"/>
        </w:rPr>
        <w:t>BTO</w:t>
      </w:r>
      <w:r>
        <w:rPr>
          <w:rFonts w:ascii="宋体" w:eastAsia="宋体" w:hAnsi="宋体" w:cs="宋体"/>
          <w:spacing w:val="1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9"/>
          <w:sz w:val="27"/>
          <w:szCs w:val="27"/>
        </w:rPr>
        <w:t>(投</w:t>
      </w:r>
      <w:r>
        <w:rPr>
          <w:rFonts w:ascii="仿宋" w:eastAsia="仿宋" w:hAnsi="仿宋" w:cs="仿宋"/>
          <w:spacing w:val="18"/>
          <w:sz w:val="27"/>
          <w:szCs w:val="27"/>
        </w:rPr>
        <w:t>资建设-移交-运营)方式引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进重庆耐德新明和公司，采用先进、成熟的上投料式水平直接压缩加</w:t>
      </w:r>
      <w:r>
        <w:rPr>
          <w:rFonts w:ascii="仿宋" w:eastAsia="仿宋" w:hAnsi="仿宋" w:cs="仿宋"/>
          <w:spacing w:val="16"/>
          <w:sz w:val="27"/>
          <w:szCs w:val="27"/>
        </w:rPr>
        <w:t xml:space="preserve"> 大型拉臂钩车转运的处理工艺，投资1.1亿元建设10座大型垃圾压 </w:t>
      </w:r>
      <w:r>
        <w:rPr>
          <w:rFonts w:ascii="仿宋" w:eastAsia="仿宋" w:hAnsi="仿宋" w:cs="仿宋"/>
          <w:spacing w:val="5"/>
          <w:sz w:val="27"/>
          <w:szCs w:val="27"/>
        </w:rPr>
        <w:t>缩中转站。此外，各区镇积极探索，采用承包、租赁等方式，通过公</w:t>
      </w:r>
    </w:p>
    <w:p>
      <w:pPr>
        <w:spacing w:line="220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开招投标，将城乡生活垃圾收集清运工作推</w:t>
      </w:r>
      <w:r>
        <w:rPr>
          <w:rFonts w:ascii="仿宋" w:eastAsia="仿宋" w:hAnsi="仿宋" w:cs="仿宋"/>
          <w:spacing w:val="5"/>
          <w:sz w:val="27"/>
          <w:szCs w:val="27"/>
        </w:rPr>
        <w:t>向市场。</w:t>
      </w:r>
    </w:p>
    <w:p>
      <w:pPr>
        <w:spacing w:before="129" w:line="221" w:lineRule="auto"/>
        <w:ind w:left="15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5"/>
          <w:sz w:val="27"/>
          <w:szCs w:val="27"/>
        </w:rPr>
        <w:t>(二)运行模式</w:t>
      </w:r>
    </w:p>
    <w:p>
      <w:pPr>
        <w:spacing w:before="103" w:line="301" w:lineRule="auto"/>
        <w:ind w:left="799" w:right="854" w:firstLine="61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全市城乡生活垃圾按照统一流程，通过收集、转运、处理三个环</w:t>
      </w:r>
      <w:r>
        <w:rPr>
          <w:rFonts w:ascii="仿宋" w:eastAsia="仿宋" w:hAnsi="仿宋" w:cs="仿宋"/>
          <w:spacing w:val="1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节进行处置。收集清运环节由各区镇负责，用自行投资、承包的垃圾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 xml:space="preserve">车及配发的垃圾收集车将生活垃圾收集至环洱海10座垃圾中转站， </w:t>
      </w:r>
      <w:r>
        <w:rPr>
          <w:rFonts w:ascii="仿宋" w:eastAsia="仿宋" w:hAnsi="仿宋" w:cs="仿宋"/>
          <w:spacing w:val="5"/>
          <w:sz w:val="27"/>
          <w:szCs w:val="27"/>
        </w:rPr>
        <w:t>经压缩装箱后，全程密闭转运至垃圾焚烧厂进行焚烧发电、无害化处</w:t>
      </w:r>
    </w:p>
    <w:p>
      <w:pPr>
        <w:spacing w:before="1" w:line="218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理。最终实现收集清运全覆盖、压缩转运全封闭、焚烧发电资源化。</w:t>
      </w:r>
    </w:p>
    <w:p>
      <w:pPr>
        <w:spacing w:line="218" w:lineRule="auto"/>
        <w:rPr>
          <w:rFonts w:ascii="仿宋" w:eastAsia="仿宋" w:hAnsi="仿宋" w:cs="仿宋"/>
          <w:sz w:val="27"/>
          <w:szCs w:val="27"/>
        </w:rPr>
        <w:sectPr>
          <w:footerReference w:type="default" r:id="rId64"/>
          <w:pgSz w:w="11910" w:h="16840"/>
          <w:pgMar w:top="845" w:right="989" w:bottom="1182" w:left="999" w:header="0" w:footer="969" w:gutter="0"/>
          <w:pgNumType w:start="37"/>
          <w:cols w:space="708"/>
        </w:sectPr>
      </w:pPr>
    </w:p>
    <w:tbl>
      <w:tblPr>
        <w:tblStyle w:val="TableNormal2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30"/>
        <w:gridCol w:w="4670"/>
        <w:gridCol w:w="272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3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23"/>
            </w:pPr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3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2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38"/>
            </w:pPr>
            <w:r>
              <w:rPr>
                <w:b/>
                <w:bCs/>
                <w:spacing w:val="-2"/>
              </w:rPr>
              <w:t>页码：第28页共79页</w:t>
            </w:r>
          </w:p>
        </w:tc>
      </w:tr>
    </w:tbl>
    <w:p>
      <w:pPr>
        <w:pStyle w:val="BodyText"/>
        <w:spacing w:line="292" w:lineRule="auto"/>
      </w:pPr>
    </w:p>
    <w:p>
      <w:pPr>
        <w:spacing w:before="88" w:line="222" w:lineRule="auto"/>
        <w:ind w:left="15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5"/>
          <w:sz w:val="27"/>
          <w:szCs w:val="27"/>
        </w:rPr>
        <w:t>(三)结算方式</w:t>
      </w:r>
    </w:p>
    <w:p>
      <w:pPr>
        <w:spacing w:before="104" w:line="301" w:lineRule="auto"/>
        <w:ind w:left="809" w:right="847" w:firstLine="60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经初步测算，大理市生活垃圾处置城乡一体化系统建成后，年运</w:t>
      </w:r>
      <w:r>
        <w:rPr>
          <w:rFonts w:ascii="仿宋" w:eastAsia="仿宋" w:hAnsi="仿宋" w:cs="仿宋"/>
          <w:spacing w:val="1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2"/>
          <w:sz w:val="27"/>
          <w:szCs w:val="27"/>
        </w:rPr>
        <w:t>营费用需要4430.5万元，其中：垃圾焚烧发电厂垃圾处理服务费用</w:t>
      </w:r>
      <w:r>
        <w:rPr>
          <w:rFonts w:ascii="仿宋" w:eastAsia="仿宋" w:hAnsi="仿宋" w:cs="仿宋"/>
          <w:spacing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6"/>
          <w:sz w:val="27"/>
          <w:szCs w:val="27"/>
        </w:rPr>
        <w:t>1445.4万元(按垃圾处理贴费标准66元/吨以及日处理生活垃圾600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5"/>
          <w:sz w:val="27"/>
          <w:szCs w:val="27"/>
        </w:rPr>
        <w:t>吨测算);10座大型压缩垃圾中转站运行服务费用1752.2万元(根</w:t>
      </w:r>
      <w:r>
        <w:rPr>
          <w:rFonts w:ascii="仿宋" w:eastAsia="仿宋" w:hAnsi="仿宋" w:cs="仿宋"/>
          <w:spacing w:val="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据中转站与海东垃圾焚烧厂实际距离分别测算);各乡镇将垃圾收集</w:t>
      </w:r>
      <w:r>
        <w:rPr>
          <w:rFonts w:ascii="仿宋" w:eastAsia="仿宋" w:hAnsi="仿宋" w:cs="仿宋"/>
          <w:spacing w:val="1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0"/>
          <w:sz w:val="27"/>
          <w:szCs w:val="27"/>
        </w:rPr>
        <w:t>至中转站的年费用为1233.0万元(按</w:t>
      </w:r>
      <w:r>
        <w:rPr>
          <w:rFonts w:ascii="仿宋" w:eastAsia="仿宋" w:hAnsi="仿宋" w:cs="仿宋"/>
          <w:spacing w:val="19"/>
          <w:sz w:val="27"/>
          <w:szCs w:val="27"/>
        </w:rPr>
        <w:t>日收集清运生活垃圾600吨测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算)。大理市生活垃圾的收集费用、转运费用和处理费用统</w:t>
      </w:r>
      <w:r>
        <w:rPr>
          <w:rFonts w:ascii="仿宋" w:eastAsia="仿宋" w:hAnsi="仿宋" w:cs="仿宋"/>
          <w:spacing w:val="9"/>
          <w:sz w:val="27"/>
          <w:szCs w:val="27"/>
        </w:rPr>
        <w:t>一列入财</w:t>
      </w:r>
    </w:p>
    <w:p>
      <w:pPr>
        <w:spacing w:line="221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"/>
          <w:sz w:val="27"/>
          <w:szCs w:val="27"/>
        </w:rPr>
        <w:t>政预算。</w:t>
      </w:r>
    </w:p>
    <w:p>
      <w:pPr>
        <w:spacing w:before="113" w:line="301" w:lineRule="auto"/>
        <w:ind w:left="809" w:right="849" w:firstLine="60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垃圾转运及处理运营企业的服务费用，按照《大理市生活垃圾转</w:t>
      </w:r>
      <w:r>
        <w:rPr>
          <w:rFonts w:ascii="仿宋" w:eastAsia="仿宋" w:hAnsi="仿宋" w:cs="仿宋"/>
          <w:spacing w:val="1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运处理服务费结算工作实施方案》,由运营企业每月3日前填写</w:t>
      </w:r>
      <w:r>
        <w:rPr>
          <w:rFonts w:ascii="仿宋" w:eastAsia="仿宋" w:hAnsi="仿宋" w:cs="仿宋"/>
          <w:spacing w:val="13"/>
          <w:sz w:val="27"/>
          <w:szCs w:val="27"/>
        </w:rPr>
        <w:t>上月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结算确认通知单，上报至市城管局、环保局、审计局、财政局、服务</w:t>
      </w:r>
    </w:p>
    <w:p>
      <w:pPr>
        <w:spacing w:line="220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费结算工作领导组等部门审核签字后进行拨付。</w:t>
      </w:r>
    </w:p>
    <w:p>
      <w:pPr>
        <w:spacing w:before="122" w:line="450" w:lineRule="exact"/>
        <w:ind w:left="15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5"/>
          <w:position w:val="13"/>
          <w:sz w:val="27"/>
          <w:szCs w:val="27"/>
        </w:rPr>
        <w:t>(四)监管方式</w:t>
      </w:r>
    </w:p>
    <w:p>
      <w:pPr>
        <w:spacing w:line="223" w:lineRule="auto"/>
        <w:ind w:left="141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>1、数字监管</w:t>
      </w:r>
    </w:p>
    <w:p>
      <w:pPr>
        <w:spacing w:before="101" w:line="301" w:lineRule="auto"/>
        <w:ind w:left="809" w:right="847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9"/>
          <w:sz w:val="27"/>
          <w:szCs w:val="27"/>
        </w:rPr>
        <w:t>2013年7月，筹资326万元建设生活垃圾收集清运处理信息化</w:t>
      </w:r>
      <w:r>
        <w:rPr>
          <w:rFonts w:ascii="仿宋" w:eastAsia="仿宋" w:hAnsi="仿宋" w:cs="仿宋"/>
          <w:spacing w:val="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管理系统。各站点称重数据、视频数据实时传输到信息中心，同时为</w:t>
      </w:r>
      <w:r>
        <w:rPr>
          <w:rFonts w:ascii="仿宋" w:eastAsia="仿宋" w:hAnsi="仿宋" w:cs="仿宋"/>
          <w:spacing w:val="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垃圾转运车辆安装了</w:t>
      </w:r>
      <w:r>
        <w:rPr>
          <w:rFonts w:ascii="Times New Roman" w:eastAsia="Times New Roman" w:hAnsi="Times New Roman" w:cs="Times New Roman"/>
          <w:sz w:val="27"/>
          <w:szCs w:val="27"/>
        </w:rPr>
        <w:t>GPS</w:t>
      </w:r>
      <w:r>
        <w:rPr>
          <w:rFonts w:ascii="仿宋" w:eastAsia="仿宋" w:hAnsi="仿宋" w:cs="仿宋"/>
          <w:spacing w:val="7"/>
          <w:sz w:val="27"/>
          <w:szCs w:val="27"/>
        </w:rPr>
        <w:t>定位系统。称重数据作为垃圾收集清运奖补</w:t>
      </w:r>
      <w:r>
        <w:rPr>
          <w:rFonts w:ascii="仿宋" w:eastAsia="仿宋" w:hAnsi="仿宋" w:cs="仿宋"/>
          <w:spacing w:val="1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经费和政府支付企业运营费用的主要依据，视频数据可以实现对垃圾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压缩和处理过程的实时监控，最终实现城乡生活垃圾处置全过程的</w:t>
      </w:r>
    </w:p>
    <w:p>
      <w:pPr>
        <w:spacing w:line="221" w:lineRule="auto"/>
        <w:ind w:left="805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“数字化、视频化、定位化”目标。</w:t>
      </w:r>
    </w:p>
    <w:p>
      <w:pPr>
        <w:spacing w:before="128" w:line="222" w:lineRule="auto"/>
        <w:ind w:left="141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5"/>
          <w:sz w:val="27"/>
          <w:szCs w:val="27"/>
        </w:rPr>
        <w:t>2、</w:t>
      </w:r>
      <w:r>
        <w:rPr>
          <w:rFonts w:ascii="仿宋" w:eastAsia="仿宋" w:hAnsi="仿宋" w:cs="仿宋"/>
          <w:spacing w:val="-6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5"/>
          <w:sz w:val="27"/>
          <w:szCs w:val="27"/>
        </w:rPr>
        <w:t>量化考核</w:t>
      </w:r>
    </w:p>
    <w:p>
      <w:pPr>
        <w:spacing w:before="107" w:line="300" w:lineRule="auto"/>
        <w:ind w:left="809" w:right="848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市政府与垃圾收集清运责任区镇签订《大理市洱海流域生活垃圾</w:t>
      </w:r>
      <w:r>
        <w:rPr>
          <w:rFonts w:ascii="仿宋" w:eastAsia="仿宋" w:hAnsi="仿宋" w:cs="仿宋"/>
          <w:spacing w:val="1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收集清运责任书》,确定垃圾收集清运任务量，依据数字</w:t>
      </w:r>
      <w:r>
        <w:rPr>
          <w:rFonts w:ascii="仿宋" w:eastAsia="仿宋" w:hAnsi="仿宋" w:cs="仿宋"/>
          <w:spacing w:val="9"/>
          <w:sz w:val="27"/>
          <w:szCs w:val="27"/>
        </w:rPr>
        <w:t>化监管系统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4"/>
          <w:sz w:val="27"/>
          <w:szCs w:val="27"/>
        </w:rPr>
        <w:t>统计的各乡镇垃圾清运量，进行一日一公示、 一月一通报、 一季一考</w:t>
      </w:r>
      <w:r>
        <w:rPr>
          <w:rFonts w:ascii="仿宋" w:eastAsia="仿宋" w:hAnsi="仿宋" w:cs="仿宋"/>
          <w:spacing w:val="1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核，对全市垃圾收集清运工作进行科学管理，通过工作目标倒逼服务</w:t>
      </w:r>
    </w:p>
    <w:p>
      <w:pPr>
        <w:spacing w:line="220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效果，解决垃圾收集清运工作的监管问题。</w:t>
      </w:r>
    </w:p>
    <w:p>
      <w:pPr>
        <w:spacing w:before="129" w:line="221" w:lineRule="auto"/>
        <w:ind w:left="141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3"/>
          <w:sz w:val="27"/>
          <w:szCs w:val="27"/>
        </w:rPr>
        <w:t>3、</w:t>
      </w:r>
      <w:r>
        <w:rPr>
          <w:rFonts w:ascii="仿宋" w:eastAsia="仿宋" w:hAnsi="仿宋" w:cs="仿宋"/>
          <w:spacing w:val="-7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3"/>
          <w:sz w:val="27"/>
          <w:szCs w:val="27"/>
        </w:rPr>
        <w:t>政策保障</w:t>
      </w:r>
    </w:p>
    <w:p>
      <w:pPr>
        <w:spacing w:before="107" w:line="441" w:lineRule="exact"/>
        <w:ind w:left="141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1"/>
          <w:position w:val="12"/>
          <w:sz w:val="27"/>
          <w:szCs w:val="27"/>
        </w:rPr>
        <w:t>市政府出台《洱海流域生活垃圾收集清运处置实施办法》、</w:t>
      </w:r>
      <w:r>
        <w:rPr>
          <w:rFonts w:ascii="仿宋" w:eastAsia="仿宋" w:hAnsi="仿宋" w:cs="仿宋"/>
          <w:spacing w:val="72"/>
          <w:position w:val="1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1"/>
          <w:position w:val="12"/>
          <w:sz w:val="27"/>
          <w:szCs w:val="27"/>
        </w:rPr>
        <w:t>《洱</w:t>
      </w:r>
    </w:p>
    <w:p>
      <w:pPr>
        <w:spacing w:before="1" w:line="221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海流域污水垃圾和畜禽粪便收集处理监督及奖补办法》、《大理市环</w:t>
      </w:r>
    </w:p>
    <w:p>
      <w:pPr>
        <w:spacing w:line="221" w:lineRule="auto"/>
        <w:rPr>
          <w:rFonts w:ascii="仿宋" w:eastAsia="仿宋" w:hAnsi="仿宋" w:cs="仿宋"/>
          <w:sz w:val="27"/>
          <w:szCs w:val="27"/>
        </w:rPr>
        <w:sectPr>
          <w:footerReference w:type="default" r:id="rId65"/>
          <w:pgSz w:w="11910" w:h="16840"/>
          <w:pgMar w:top="845" w:right="999" w:bottom="1182" w:left="989" w:header="0" w:footer="969" w:gutter="0"/>
          <w:pgNumType w:start="38"/>
          <w:cols w:space="708"/>
        </w:sectPr>
      </w:pPr>
    </w:p>
    <w:tbl>
      <w:tblPr>
        <w:tblStyle w:val="TableNormal21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70"/>
        <w:gridCol w:w="273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13"/>
            </w:pPr>
            <w:bookmarkStart w:id="27" w:name="bookmark28"/>
            <w:bookmarkEnd w:id="27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2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7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3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页码：第29页共79页</w:t>
            </w:r>
          </w:p>
        </w:tc>
      </w:tr>
    </w:tbl>
    <w:p>
      <w:pPr>
        <w:pStyle w:val="BodyText"/>
        <w:spacing w:line="280" w:lineRule="auto"/>
      </w:pPr>
    </w:p>
    <w:p>
      <w:pPr>
        <w:spacing w:before="88" w:line="282" w:lineRule="auto"/>
        <w:ind w:left="799" w:right="869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洱海农村生活垃圾收集清运处置和垃圾收集员履职考核办法》、《大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理市生活垃圾处理费收费管理办法》、《大理市生活垃圾转</w:t>
      </w:r>
      <w:r>
        <w:rPr>
          <w:rFonts w:ascii="仿宋" w:eastAsia="仿宋" w:hAnsi="仿宋" w:cs="仿宋"/>
          <w:spacing w:val="4"/>
          <w:sz w:val="27"/>
          <w:szCs w:val="27"/>
        </w:rPr>
        <w:t>运处理服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4"/>
          <w:sz w:val="27"/>
          <w:szCs w:val="27"/>
        </w:rPr>
        <w:t>务费结算工作实施方案》、</w:t>
      </w:r>
      <w:r>
        <w:rPr>
          <w:rFonts w:ascii="仿宋" w:eastAsia="仿宋" w:hAnsi="仿宋" w:cs="仿宋"/>
          <w:spacing w:val="13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4"/>
          <w:sz w:val="27"/>
          <w:szCs w:val="27"/>
        </w:rPr>
        <w:t>《大理市人民政府关于加强农村生活垃圾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收集清运管理的工作意见》等一系列政策文件，建立生活</w:t>
      </w:r>
      <w:r>
        <w:rPr>
          <w:rFonts w:ascii="仿宋" w:eastAsia="仿宋" w:hAnsi="仿宋" w:cs="仿宋"/>
          <w:spacing w:val="4"/>
          <w:sz w:val="27"/>
          <w:szCs w:val="27"/>
        </w:rPr>
        <w:t>垃圾处理收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费制度，进一步完善城乡垃圾有偿收集清运保洁工作机制和各级资金</w:t>
      </w:r>
      <w:r>
        <w:rPr>
          <w:rFonts w:ascii="仿宋" w:eastAsia="仿宋" w:hAnsi="仿宋" w:cs="仿宋"/>
          <w:spacing w:val="7"/>
          <w:sz w:val="27"/>
          <w:szCs w:val="27"/>
        </w:rPr>
        <w:t xml:space="preserve"> 投入长效机制，为城乡生活垃圾处置系统提供政策保障。</w:t>
      </w:r>
    </w:p>
    <w:p>
      <w:pPr>
        <w:spacing w:before="175" w:line="222" w:lineRule="auto"/>
        <w:ind w:left="136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-14"/>
          <w:sz w:val="27"/>
          <w:szCs w:val="27"/>
        </w:rPr>
        <w:t>三</w:t>
      </w:r>
      <w:r>
        <w:rPr>
          <w:rFonts w:ascii="黑体" w:eastAsia="黑体" w:hAnsi="黑体" w:cs="黑体"/>
          <w:spacing w:val="-25"/>
          <w:sz w:val="27"/>
          <w:szCs w:val="27"/>
        </w:rPr>
        <w:t xml:space="preserve"> </w:t>
      </w:r>
      <w:r>
        <w:rPr>
          <w:rFonts w:ascii="黑体" w:eastAsia="黑体" w:hAnsi="黑体" w:cs="黑体"/>
          <w:b/>
          <w:bCs/>
          <w:spacing w:val="-14"/>
          <w:sz w:val="27"/>
          <w:szCs w:val="27"/>
        </w:rPr>
        <w:t>、借鉴价值</w:t>
      </w:r>
    </w:p>
    <w:p>
      <w:pPr>
        <w:spacing w:before="107" w:line="222" w:lineRule="auto"/>
        <w:ind w:left="15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6"/>
          <w:sz w:val="27"/>
          <w:szCs w:val="27"/>
        </w:rPr>
        <w:t>(一)完善法规、健全机制</w:t>
      </w:r>
    </w:p>
    <w:p>
      <w:pPr>
        <w:spacing w:before="113" w:line="301" w:lineRule="auto"/>
        <w:ind w:left="799" w:right="615" w:firstLine="6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"/>
          <w:sz w:val="27"/>
          <w:szCs w:val="27"/>
        </w:rPr>
        <w:t>大理市先后建立生活垃圾处理收费制度、垃圾收集清运责任制度、</w:t>
      </w:r>
      <w:r>
        <w:rPr>
          <w:rFonts w:ascii="仿宋" w:eastAsia="仿宋" w:hAnsi="仿宋" w:cs="仿宋"/>
          <w:spacing w:val="1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考核奖补制度，出台相应政策文件，使全套系统的运转有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章可循、有  </w:t>
      </w:r>
      <w:r>
        <w:rPr>
          <w:rFonts w:ascii="仿宋" w:eastAsia="仿宋" w:hAnsi="仿宋" w:cs="仿宋"/>
          <w:spacing w:val="5"/>
          <w:sz w:val="27"/>
          <w:szCs w:val="27"/>
        </w:rPr>
        <w:t>据可查，确保工作到位。随着系统的建设，大理市政府明</w:t>
      </w:r>
      <w:r>
        <w:rPr>
          <w:rFonts w:ascii="仿宋" w:eastAsia="仿宋" w:hAnsi="仿宋" w:cs="仿宋"/>
          <w:spacing w:val="4"/>
          <w:sz w:val="27"/>
          <w:szCs w:val="27"/>
        </w:rPr>
        <w:t>确整个系统  由大理市城市管理综合行政执法局作为主管部门进行日常监管，市洱</w:t>
      </w:r>
      <w:r>
        <w:rPr>
          <w:rFonts w:ascii="仿宋" w:eastAsia="仿宋" w:hAnsi="仿宋" w:cs="仿宋"/>
          <w:spacing w:val="1"/>
          <w:sz w:val="27"/>
          <w:szCs w:val="27"/>
        </w:rPr>
        <w:t xml:space="preserve">   </w:t>
      </w:r>
      <w:r>
        <w:rPr>
          <w:rFonts w:ascii="仿宋" w:eastAsia="仿宋" w:hAnsi="仿宋" w:cs="仿宋"/>
          <w:spacing w:val="8"/>
          <w:sz w:val="27"/>
          <w:szCs w:val="27"/>
        </w:rPr>
        <w:t>管局、环保局、财政局等部门配合实行按季考核，兑现奖惩。各区、</w:t>
      </w:r>
      <w:r>
        <w:rPr>
          <w:rFonts w:ascii="仿宋" w:eastAsia="仿宋" w:hAnsi="仿宋" w:cs="仿宋"/>
          <w:spacing w:val="1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7"/>
          <w:sz w:val="27"/>
          <w:szCs w:val="27"/>
        </w:rPr>
        <w:t>乡镇建立相应的管理部门，人民群众自觉参与到环境</w:t>
      </w:r>
      <w:r>
        <w:rPr>
          <w:rFonts w:ascii="仿宋" w:eastAsia="仿宋" w:hAnsi="仿宋" w:cs="仿宋"/>
          <w:spacing w:val="6"/>
          <w:sz w:val="27"/>
          <w:szCs w:val="27"/>
        </w:rPr>
        <w:t>卫生整治活动，</w:t>
      </w:r>
    </w:p>
    <w:p>
      <w:pPr>
        <w:spacing w:before="1" w:line="220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使系统得以有效运行。</w:t>
      </w:r>
    </w:p>
    <w:p>
      <w:pPr>
        <w:spacing w:before="109" w:line="222" w:lineRule="auto"/>
        <w:ind w:left="15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6"/>
          <w:sz w:val="27"/>
          <w:szCs w:val="27"/>
        </w:rPr>
        <w:t>(二)城乡一体、高标准建设</w:t>
      </w:r>
    </w:p>
    <w:p>
      <w:pPr>
        <w:spacing w:before="126" w:line="276" w:lineRule="auto"/>
        <w:ind w:left="799" w:right="795" w:firstLine="6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大理市按照流域垃圾治理全覆盖的思路，高起点、高标准规划设</w:t>
      </w:r>
      <w:r>
        <w:rPr>
          <w:rFonts w:ascii="仿宋" w:eastAsia="仿宋" w:hAnsi="仿宋" w:cs="仿宋"/>
          <w:spacing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计，实施城乡垃圾治理一体化系统建设，提高了农村环境卫生标准，</w:t>
      </w:r>
      <w:r>
        <w:rPr>
          <w:rFonts w:ascii="仿宋" w:eastAsia="仿宋" w:hAnsi="仿宋" w:cs="仿宋"/>
          <w:spacing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完善了城乡环卫基础设施，初步建立起了城乡一体的流域垃圾收</w:t>
      </w:r>
      <w:r>
        <w:rPr>
          <w:rFonts w:ascii="仿宋" w:eastAsia="仿宋" w:hAnsi="仿宋" w:cs="仿宋"/>
          <w:spacing w:val="4"/>
          <w:sz w:val="27"/>
          <w:szCs w:val="27"/>
        </w:rPr>
        <w:t>集处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7"/>
          <w:sz w:val="27"/>
          <w:szCs w:val="27"/>
        </w:rPr>
        <w:t>理体系。</w:t>
      </w:r>
    </w:p>
    <w:p>
      <w:pPr>
        <w:spacing w:before="151" w:line="220" w:lineRule="auto"/>
        <w:ind w:left="15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7"/>
          <w:sz w:val="27"/>
          <w:szCs w:val="27"/>
        </w:rPr>
        <w:t>(三)政府补贴、市场化运作</w:t>
      </w:r>
    </w:p>
    <w:p>
      <w:pPr>
        <w:spacing w:before="130" w:line="269" w:lineRule="auto"/>
        <w:ind w:left="799" w:right="849" w:firstLine="6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z w:val="27"/>
          <w:szCs w:val="27"/>
        </w:rPr>
        <w:t>一是通过招商引资、竞争性谈判，以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BOT </w:t>
      </w:r>
      <w:r>
        <w:rPr>
          <w:rFonts w:ascii="仿宋" w:eastAsia="仿宋" w:hAnsi="仿宋" w:cs="仿宋"/>
          <w:sz w:val="27"/>
          <w:szCs w:val="27"/>
        </w:rPr>
        <w:t>方式引进焚烧发电厂建</w:t>
      </w:r>
      <w:r>
        <w:rPr>
          <w:rFonts w:ascii="仿宋" w:eastAsia="仿宋" w:hAnsi="仿宋" w:cs="仿宋"/>
          <w:spacing w:val="10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设项目；二是以</w:t>
      </w:r>
      <w:r>
        <w:rPr>
          <w:rFonts w:ascii="宋体" w:eastAsia="宋体" w:hAnsi="宋体" w:cs="宋体"/>
          <w:sz w:val="27"/>
          <w:szCs w:val="27"/>
        </w:rPr>
        <w:t>BTO</w:t>
      </w:r>
      <w:r>
        <w:rPr>
          <w:rFonts w:ascii="宋体" w:eastAsia="宋体" w:hAnsi="宋体" w:cs="宋体"/>
          <w:spacing w:val="-2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方式引进垃圾压缩中转站项目；三是收集环节由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乡镇负责采用承包、租赁等方式实行市场化运作。</w:t>
      </w:r>
    </w:p>
    <w:p>
      <w:pPr>
        <w:spacing w:before="130" w:line="222" w:lineRule="auto"/>
        <w:ind w:left="15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7"/>
          <w:sz w:val="27"/>
          <w:szCs w:val="27"/>
        </w:rPr>
        <w:t>(四)数字同步、信息化监管</w:t>
      </w:r>
    </w:p>
    <w:p>
      <w:pPr>
        <w:spacing w:before="104" w:line="301" w:lineRule="auto"/>
        <w:ind w:left="799" w:right="735" w:firstLine="6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建成垃圾收集清运处理信息化管理系统，通过视频的实时</w:t>
      </w:r>
      <w:r>
        <w:rPr>
          <w:rFonts w:ascii="仿宋" w:eastAsia="仿宋" w:hAnsi="仿宋" w:cs="仿宋"/>
          <w:spacing w:val="6"/>
          <w:sz w:val="27"/>
          <w:szCs w:val="27"/>
        </w:rPr>
        <w:t>监控、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车辆的</w:t>
      </w:r>
      <w:r>
        <w:rPr>
          <w:rFonts w:ascii="Times New Roman" w:eastAsia="Times New Roman" w:hAnsi="Times New Roman" w:cs="Times New Roman"/>
          <w:sz w:val="27"/>
          <w:szCs w:val="27"/>
        </w:rPr>
        <w:t>GPS</w:t>
      </w:r>
      <w:r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定位及数据的实时传输，对垃圾收集、转运、处理环节的</w:t>
      </w:r>
    </w:p>
    <w:p>
      <w:pPr>
        <w:spacing w:before="2" w:line="220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5"/>
          <w:sz w:val="27"/>
          <w:szCs w:val="27"/>
        </w:rPr>
        <w:t>全过程实行“数字化、视频化、定位化”实时监管，实现信息化管理。</w:t>
      </w:r>
    </w:p>
    <w:p>
      <w:pPr>
        <w:spacing w:before="129" w:line="222" w:lineRule="auto"/>
        <w:ind w:left="15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6"/>
          <w:sz w:val="27"/>
          <w:szCs w:val="27"/>
        </w:rPr>
        <w:t>(五)打破区划、扁平化管理</w:t>
      </w:r>
    </w:p>
    <w:p>
      <w:pPr>
        <w:spacing w:line="222" w:lineRule="auto"/>
        <w:rPr>
          <w:rFonts w:ascii="仿宋" w:eastAsia="仿宋" w:hAnsi="仿宋" w:cs="仿宋"/>
          <w:sz w:val="27"/>
          <w:szCs w:val="27"/>
        </w:rPr>
        <w:sectPr>
          <w:footerReference w:type="default" r:id="rId66"/>
          <w:pgSz w:w="11910" w:h="16840"/>
          <w:pgMar w:top="845" w:right="989" w:bottom="1182" w:left="999" w:header="0" w:footer="969" w:gutter="0"/>
          <w:pgNumType w:start="39"/>
          <w:cols w:space="708"/>
        </w:sectPr>
      </w:pPr>
    </w:p>
    <w:tbl>
      <w:tblPr>
        <w:tblStyle w:val="TableNormal22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70"/>
        <w:gridCol w:w="273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13"/>
            </w:pPr>
            <w:bookmarkStart w:id="28" w:name="bookmark29"/>
            <w:bookmarkStart w:id="29" w:name="bookmark30"/>
            <w:bookmarkEnd w:id="28"/>
            <w:bookmarkEnd w:id="29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2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3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页码：第30页共79页</w:t>
            </w:r>
          </w:p>
        </w:tc>
      </w:tr>
    </w:tbl>
    <w:p>
      <w:pPr>
        <w:pStyle w:val="BodyText"/>
        <w:spacing w:line="279" w:lineRule="auto"/>
      </w:pPr>
    </w:p>
    <w:p>
      <w:pPr>
        <w:spacing w:before="88" w:line="280" w:lineRule="auto"/>
        <w:ind w:left="799" w:right="774" w:firstLine="600"/>
        <w:jc w:val="both"/>
        <w:rPr>
          <w:rFonts w:ascii="宋体" w:eastAsia="宋体" w:hAnsi="宋体" w:cs="宋体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一是城乡一体化系统打破大理市和创新工业园区、旅游度假区、</w:t>
      </w:r>
      <w:r>
        <w:rPr>
          <w:rFonts w:ascii="仿宋" w:eastAsia="仿宋" w:hAnsi="仿宋" w:cs="仿宋"/>
          <w:spacing w:val="1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海开委的行政区划界限，统一规划、建设、管理；二是中转站建设打 破乡镇界限，统一建设，实行市场化运作，例如，喜洲垃圾中转站服 务区域辐射到喜洲、银桥、湾桥等多个乡镇乃至洱源县右所镇、邓川 </w:t>
      </w:r>
      <w:r>
        <w:rPr>
          <w:rFonts w:ascii="宋体" w:eastAsia="宋体" w:hAnsi="宋体" w:cs="宋体"/>
          <w:spacing w:val="-7"/>
          <w:sz w:val="27"/>
          <w:szCs w:val="27"/>
        </w:rPr>
        <w:t>镇。</w:t>
      </w:r>
    </w:p>
    <w:p>
      <w:pPr>
        <w:pStyle w:val="BodyText"/>
        <w:spacing w:line="256" w:lineRule="auto"/>
      </w:pPr>
    </w:p>
    <w:p>
      <w:pPr>
        <w:pStyle w:val="BodyText"/>
        <w:spacing w:line="256" w:lineRule="auto"/>
      </w:pPr>
    </w:p>
    <w:p>
      <w:pPr>
        <w:spacing w:before="88" w:line="440" w:lineRule="exact"/>
        <w:ind w:left="136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21"/>
          <w:position w:val="12"/>
          <w:sz w:val="27"/>
          <w:szCs w:val="27"/>
        </w:rPr>
        <w:t>案例8:固安工业园区新型城镇化项目</w:t>
      </w:r>
    </w:p>
    <w:p>
      <w:pPr>
        <w:spacing w:before="1" w:line="220" w:lineRule="auto"/>
        <w:ind w:left="137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2"/>
          <w:sz w:val="27"/>
          <w:szCs w:val="27"/>
        </w:rPr>
        <w:t>一、项目概况</w:t>
      </w:r>
    </w:p>
    <w:p>
      <w:pPr>
        <w:spacing w:before="121" w:line="222" w:lineRule="auto"/>
        <w:ind w:left="154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8"/>
          <w:sz w:val="27"/>
          <w:szCs w:val="27"/>
        </w:rPr>
        <w:t>(</w:t>
      </w:r>
      <w:r>
        <w:rPr>
          <w:rFonts w:ascii="仿宋" w:eastAsia="仿宋" w:hAnsi="仿宋" w:cs="仿宋"/>
          <w:spacing w:val="-7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8"/>
          <w:sz w:val="27"/>
          <w:szCs w:val="27"/>
        </w:rPr>
        <w:t>一)项目背景</w:t>
      </w:r>
    </w:p>
    <w:p>
      <w:pPr>
        <w:spacing w:before="105" w:line="270" w:lineRule="auto"/>
        <w:ind w:left="799" w:right="893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sz w:val="27"/>
          <w:szCs w:val="27"/>
        </w:rPr>
        <w:t>固安工业园区地处河北省廊坊市固安县，与北京大兴区隔永定河</w:t>
      </w:r>
      <w:r>
        <w:rPr>
          <w:rFonts w:ascii="仿宋" w:eastAsia="仿宋" w:hAnsi="仿宋" w:cs="仿宋"/>
          <w:spacing w:val="9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6"/>
          <w:sz w:val="27"/>
          <w:szCs w:val="27"/>
        </w:rPr>
        <w:t>相望，距天安门正南50公里，园区总面积34.68平方公里，是经国</w:t>
      </w:r>
      <w:r>
        <w:rPr>
          <w:rFonts w:ascii="仿宋" w:eastAsia="仿宋" w:hAnsi="仿宋" w:cs="仿宋"/>
          <w:spacing w:val="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4"/>
          <w:sz w:val="27"/>
          <w:szCs w:val="27"/>
        </w:rPr>
        <w:t>家公告(2006年)的省级工业园区。</w:t>
      </w:r>
    </w:p>
    <w:p>
      <w:pPr>
        <w:spacing w:before="130" w:line="301" w:lineRule="auto"/>
        <w:ind w:left="799" w:right="866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8"/>
          <w:sz w:val="27"/>
          <w:szCs w:val="27"/>
        </w:rPr>
        <w:t xml:space="preserve">2002年固安县政府决定采用市场机制引入战略合作者，投资、 </w:t>
      </w:r>
      <w:r>
        <w:rPr>
          <w:rFonts w:ascii="仿宋" w:eastAsia="仿宋" w:hAnsi="仿宋" w:cs="仿宋"/>
          <w:spacing w:val="9"/>
          <w:sz w:val="27"/>
          <w:szCs w:val="27"/>
        </w:rPr>
        <w:t>开发、建设、运营固安工业园区。同年6月，通过公开竞标，固安县</w:t>
      </w:r>
      <w:r>
        <w:rPr>
          <w:rFonts w:ascii="仿宋" w:eastAsia="仿宋" w:hAnsi="仿宋" w:cs="仿宋"/>
          <w:spacing w:val="1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人民政府与华夏幸福基业股份有限公司(简称“华夏幸福公司</w:t>
      </w:r>
      <w:r>
        <w:rPr>
          <w:rFonts w:ascii="仿宋" w:eastAsia="仿宋" w:hAnsi="仿宋" w:cs="仿宋"/>
          <w:spacing w:val="13"/>
          <w:sz w:val="27"/>
          <w:szCs w:val="27"/>
        </w:rPr>
        <w:t>”)签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 xml:space="preserve">订协议，正式确立了政府和社会资本 </w:t>
      </w:r>
      <w:r>
        <w:rPr>
          <w:rFonts w:ascii="Times New Roman" w:eastAsia="Times New Roman" w:hAnsi="Times New Roman" w:cs="Times New Roman"/>
          <w:spacing w:val="7"/>
          <w:sz w:val="27"/>
          <w:szCs w:val="27"/>
        </w:rPr>
        <w:t>(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7"/>
          <w:sz w:val="27"/>
          <w:szCs w:val="27"/>
        </w:rPr>
        <w:t xml:space="preserve">)   </w:t>
      </w:r>
      <w:r>
        <w:rPr>
          <w:rFonts w:ascii="仿宋" w:eastAsia="仿宋" w:hAnsi="仿宋" w:cs="仿宋"/>
          <w:spacing w:val="7"/>
          <w:sz w:val="27"/>
          <w:szCs w:val="27"/>
        </w:rPr>
        <w:t>合作模式。按照工业园</w:t>
      </w:r>
      <w:r>
        <w:rPr>
          <w:rFonts w:ascii="仿宋" w:eastAsia="仿宋" w:hAnsi="仿宋" w:cs="仿宋"/>
          <w:spacing w:val="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区建设和新型城镇化的总体要求，采取“政府主导、企业运作、合作</w:t>
      </w:r>
      <w:r>
        <w:rPr>
          <w:rFonts w:ascii="仿宋" w:eastAsia="仿宋" w:hAnsi="仿宋" w:cs="仿宋"/>
          <w:spacing w:val="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5"/>
          <w:sz w:val="27"/>
          <w:szCs w:val="27"/>
        </w:rPr>
        <w:t>共赢”的市场化运作方式，倾力打造“产业高度聚集、城市功能完善、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生态环境优美”的产业新城。目前，双方合作范围已拓展至固安新兴</w:t>
      </w:r>
    </w:p>
    <w:p>
      <w:pPr>
        <w:spacing w:line="220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产业示范区和温泉休闲商务产业园区。</w:t>
      </w:r>
    </w:p>
    <w:p>
      <w:pPr>
        <w:spacing w:before="111" w:line="222" w:lineRule="auto"/>
        <w:ind w:left="155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1"/>
          <w:sz w:val="27"/>
          <w:szCs w:val="27"/>
        </w:rPr>
        <w:t>(二)建设内容与规模</w:t>
      </w:r>
    </w:p>
    <w:p>
      <w:pPr>
        <w:spacing w:before="122" w:line="449" w:lineRule="exact"/>
        <w:ind w:left="14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position w:val="13"/>
          <w:sz w:val="27"/>
          <w:szCs w:val="27"/>
        </w:rPr>
        <w:t>固安工业园区</w:t>
      </w:r>
      <w:r>
        <w:rPr>
          <w:rFonts w:ascii="仿宋" w:eastAsia="仿宋" w:hAnsi="仿宋" w:cs="仿宋"/>
          <w:spacing w:val="-49"/>
          <w:position w:val="13"/>
          <w:sz w:val="27"/>
          <w:szCs w:val="27"/>
        </w:rPr>
        <w:t xml:space="preserve"> </w:t>
      </w:r>
      <w:r>
        <w:rPr>
          <w:rFonts w:ascii="宋体" w:eastAsia="宋体" w:hAnsi="宋体" w:cs="宋体"/>
          <w:position w:val="13"/>
          <w:sz w:val="27"/>
          <w:szCs w:val="27"/>
        </w:rPr>
        <w:t>PPP</w:t>
      </w:r>
      <w:r>
        <w:rPr>
          <w:rFonts w:ascii="宋体" w:eastAsia="宋体" w:hAnsi="宋体" w:cs="宋体"/>
          <w:spacing w:val="-44"/>
          <w:position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position w:val="13"/>
          <w:sz w:val="27"/>
          <w:szCs w:val="27"/>
        </w:rPr>
        <w:t>新型城镇化项目，是固安县政府采购华夏幸福</w:t>
      </w:r>
    </w:p>
    <w:p>
      <w:pPr>
        <w:spacing w:line="219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在产业新城内提供设计、投资、建设、运营一体化服务。</w:t>
      </w:r>
    </w:p>
    <w:p>
      <w:pPr>
        <w:spacing w:before="110" w:line="302" w:lineRule="auto"/>
        <w:ind w:left="799" w:right="853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1.土地整理服务。配合以政府有关部门为主体进行的集体土地征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转以及形成建设用地的相关工作。2008</w:t>
      </w:r>
      <w:r>
        <w:rPr>
          <w:rFonts w:ascii="仿宋" w:eastAsia="仿宋" w:hAnsi="仿宋" w:cs="仿宋"/>
          <w:spacing w:val="8"/>
          <w:sz w:val="27"/>
          <w:szCs w:val="27"/>
        </w:rPr>
        <w:t>-2013年，华夏幸福累计完成</w:t>
      </w:r>
    </w:p>
    <w:p>
      <w:pPr>
        <w:spacing w:before="1" w:line="222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5"/>
          <w:sz w:val="27"/>
          <w:szCs w:val="27"/>
        </w:rPr>
        <w:t>土地整理29047.6亩，累计投资103.8亿元。</w:t>
      </w:r>
    </w:p>
    <w:p>
      <w:pPr>
        <w:spacing w:before="116" w:line="301" w:lineRule="auto"/>
        <w:ind w:left="799" w:right="841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>2.基础设施建设。包括道路、供水、供电、</w:t>
      </w:r>
      <w:r>
        <w:rPr>
          <w:rFonts w:ascii="仿宋" w:eastAsia="仿宋" w:hAnsi="仿宋" w:cs="仿宋"/>
          <w:spacing w:val="3"/>
          <w:sz w:val="27"/>
          <w:szCs w:val="27"/>
        </w:rPr>
        <w:t>供暖、排水设施等基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础设施投资建设。截至2014 年已完成全长170 公里新城路网、4</w:t>
      </w:r>
      <w:r>
        <w:rPr>
          <w:rFonts w:ascii="仿宋" w:eastAsia="仿宋" w:hAnsi="仿宋" w:cs="仿宋"/>
          <w:spacing w:val="4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座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供水厂、3 座热源厂、6 座变电站、1 座污水处理厂等相关配套设施</w:t>
      </w:r>
    </w:p>
    <w:p>
      <w:pPr>
        <w:spacing w:before="1" w:line="223" w:lineRule="auto"/>
        <w:ind w:left="79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4"/>
          <w:sz w:val="27"/>
          <w:szCs w:val="27"/>
        </w:rPr>
        <w:t>建设。</w:t>
      </w:r>
    </w:p>
    <w:p>
      <w:pPr>
        <w:spacing w:line="223" w:lineRule="auto"/>
        <w:rPr>
          <w:rFonts w:ascii="仿宋" w:eastAsia="仿宋" w:hAnsi="仿宋" w:cs="仿宋"/>
          <w:sz w:val="27"/>
          <w:szCs w:val="27"/>
        </w:rPr>
        <w:sectPr>
          <w:footerReference w:type="default" r:id="rId67"/>
          <w:pgSz w:w="11910" w:h="16840"/>
          <w:pgMar w:top="845" w:right="989" w:bottom="1182" w:left="999" w:header="0" w:footer="969" w:gutter="0"/>
          <w:pgNumType w:start="40"/>
          <w:cols w:space="708"/>
        </w:sectPr>
      </w:pPr>
    </w:p>
    <w:tbl>
      <w:tblPr>
        <w:tblStyle w:val="TableNormal23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30"/>
        <w:gridCol w:w="4670"/>
        <w:gridCol w:w="272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3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23"/>
            </w:pPr>
            <w:bookmarkStart w:id="30" w:name="bookmark31"/>
            <w:bookmarkEnd w:id="30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3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2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38"/>
            </w:pPr>
            <w:r>
              <w:rPr>
                <w:b/>
                <w:bCs/>
                <w:spacing w:val="-2"/>
              </w:rPr>
              <w:t>页码：第31页共79页</w:t>
            </w:r>
          </w:p>
        </w:tc>
      </w:tr>
    </w:tbl>
    <w:p>
      <w:pPr>
        <w:pStyle w:val="BodyText"/>
        <w:spacing w:line="277" w:lineRule="auto"/>
      </w:pPr>
    </w:p>
    <w:p>
      <w:pPr>
        <w:spacing w:before="88" w:line="300" w:lineRule="auto"/>
        <w:ind w:left="820" w:right="735" w:firstLine="59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7"/>
          <w:sz w:val="27"/>
          <w:szCs w:val="27"/>
        </w:rPr>
        <w:t>3.公共设施建设及运营服务。包括公园、绿地、广场、规划展馆、</w:t>
      </w:r>
      <w:r>
        <w:rPr>
          <w:rFonts w:ascii="仿宋" w:eastAsia="仿宋" w:hAnsi="仿宋" w:cs="仿宋"/>
          <w:spacing w:val="1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9"/>
          <w:sz w:val="27"/>
          <w:szCs w:val="27"/>
        </w:rPr>
        <w:t>教育、医疗、文体等公益设施建设，并负责相关市政</w:t>
      </w:r>
      <w:r>
        <w:rPr>
          <w:rFonts w:ascii="仿宋" w:eastAsia="仿宋" w:hAnsi="仿宋" w:cs="仿宋"/>
          <w:spacing w:val="8"/>
          <w:sz w:val="27"/>
          <w:szCs w:val="27"/>
        </w:rPr>
        <w:t>设施运营维护。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园区内已经建成中央公园、大湖公园、400 亩公园、带状公园等大型  </w:t>
      </w:r>
      <w:r>
        <w:rPr>
          <w:rFonts w:ascii="仿宋" w:eastAsia="仿宋" w:hAnsi="仿宋" w:cs="仿宋"/>
          <w:spacing w:val="8"/>
          <w:sz w:val="27"/>
          <w:szCs w:val="27"/>
        </w:rPr>
        <w:t xml:space="preserve">景观公园4 处，总投资额为2.54 亿元。目前由北京八中、固安县政 </w:t>
      </w:r>
      <w:r>
        <w:rPr>
          <w:rFonts w:ascii="仿宋" w:eastAsia="仿宋" w:hAnsi="仿宋" w:cs="仿宋"/>
          <w:spacing w:val="5"/>
          <w:sz w:val="27"/>
          <w:szCs w:val="27"/>
        </w:rPr>
        <w:t>府、华夏幸福公司合作办学项目北京八中固安分校已正式开学，按三</w:t>
      </w:r>
    </w:p>
    <w:p>
      <w:pPr>
        <w:spacing w:line="220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级甲等标准建设的幸福医院已开工建设。</w:t>
      </w:r>
    </w:p>
    <w:p>
      <w:pPr>
        <w:spacing w:before="129" w:line="301" w:lineRule="auto"/>
        <w:ind w:left="820" w:right="841" w:firstLine="59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2"/>
          <w:sz w:val="27"/>
          <w:szCs w:val="27"/>
        </w:rPr>
        <w:t>4.产业发展服务。包括招商引资、企业服务等。截至</w:t>
      </w:r>
      <w:r>
        <w:rPr>
          <w:rFonts w:ascii="仿宋" w:eastAsia="仿宋" w:hAnsi="仿宋" w:cs="仿宋"/>
          <w:spacing w:val="-3"/>
          <w:sz w:val="27"/>
          <w:szCs w:val="27"/>
        </w:rPr>
        <w:t>2014 年底，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固安工业园区累计引进签约项目482 家，投资额达638.19 亿元，形</w:t>
      </w:r>
      <w:r>
        <w:rPr>
          <w:rFonts w:ascii="仿宋" w:eastAsia="仿宋" w:hAnsi="仿宋" w:cs="仿宋"/>
          <w:spacing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成了航空航天、生物医药、电子信息、汽车零部件、高端装备制造等</w:t>
      </w:r>
    </w:p>
    <w:p>
      <w:pPr>
        <w:spacing w:line="221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sz w:val="27"/>
          <w:szCs w:val="27"/>
        </w:rPr>
        <w:t>五大产业集群。</w:t>
      </w:r>
    </w:p>
    <w:p>
      <w:pPr>
        <w:spacing w:before="117" w:line="446" w:lineRule="exact"/>
        <w:ind w:left="141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position w:val="12"/>
          <w:sz w:val="27"/>
          <w:szCs w:val="27"/>
        </w:rPr>
        <w:t>5.规划咨询服务。包括开发区域的概念规划、空间规划、产业规</w:t>
      </w:r>
    </w:p>
    <w:p>
      <w:pPr>
        <w:spacing w:line="220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划及控制性详规编制等规划咨询服务，规划文件报政</w:t>
      </w:r>
      <w:r>
        <w:rPr>
          <w:rFonts w:ascii="仿宋" w:eastAsia="仿宋" w:hAnsi="仿宋" w:cs="仿宋"/>
          <w:spacing w:val="8"/>
          <w:sz w:val="27"/>
          <w:szCs w:val="27"/>
        </w:rPr>
        <w:t>府审批后实施。</w:t>
      </w:r>
    </w:p>
    <w:p>
      <w:pPr>
        <w:spacing w:before="118" w:line="222" w:lineRule="auto"/>
        <w:ind w:left="135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4"/>
          <w:sz w:val="27"/>
          <w:szCs w:val="27"/>
        </w:rPr>
        <w:t>二、运作模式</w:t>
      </w:r>
    </w:p>
    <w:p>
      <w:pPr>
        <w:spacing w:before="119" w:line="222" w:lineRule="auto"/>
        <w:ind w:left="15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5"/>
          <w:sz w:val="27"/>
          <w:szCs w:val="27"/>
        </w:rPr>
        <w:t>(</w:t>
      </w:r>
      <w:r>
        <w:rPr>
          <w:rFonts w:ascii="仿宋" w:eastAsia="仿宋" w:hAnsi="仿宋" w:cs="仿宋"/>
          <w:spacing w:val="-7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5"/>
          <w:sz w:val="27"/>
          <w:szCs w:val="27"/>
        </w:rPr>
        <w:t>一)基本特征</w:t>
      </w:r>
    </w:p>
    <w:p>
      <w:pPr>
        <w:spacing w:before="100" w:line="302" w:lineRule="auto"/>
        <w:ind w:left="820" w:right="830" w:firstLine="59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固安工业园区在方案设计上充分借鉴了英国道克兰港口新城和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2"/>
          <w:sz w:val="27"/>
          <w:szCs w:val="27"/>
        </w:rPr>
        <w:t>韩国松岛新城等国际经典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6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2"/>
          <w:sz w:val="27"/>
          <w:szCs w:val="27"/>
        </w:rPr>
        <w:t>合作案例的主要经验，把平等、契</w:t>
      </w:r>
      <w:r>
        <w:rPr>
          <w:rFonts w:ascii="仿宋" w:eastAsia="仿宋" w:hAnsi="仿宋" w:cs="仿宋"/>
          <w:spacing w:val="1"/>
          <w:sz w:val="27"/>
          <w:szCs w:val="27"/>
        </w:rPr>
        <w:t>约、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诚信、共赢等公私合作理念融入固安县政府与华夏幸福公司的协作开</w:t>
      </w:r>
    </w:p>
    <w:p>
      <w:pPr>
        <w:spacing w:before="1" w:line="222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sz w:val="27"/>
          <w:szCs w:val="27"/>
        </w:rPr>
        <w:t>发和建设运营之中。其基本特征是：</w:t>
      </w:r>
    </w:p>
    <w:p>
      <w:pPr>
        <w:spacing w:before="122" w:line="220" w:lineRule="auto"/>
        <w:ind w:left="141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"/>
          <w:sz w:val="27"/>
          <w:szCs w:val="27"/>
        </w:rPr>
        <w:t>1.政企合作</w:t>
      </w:r>
    </w:p>
    <w:p>
      <w:pPr>
        <w:spacing w:before="109" w:line="301" w:lineRule="auto"/>
        <w:ind w:left="820" w:right="831" w:firstLine="59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固安县政府与华夏幸福公司签订排他性的特许经营协议</w:t>
      </w:r>
      <w:r>
        <w:rPr>
          <w:rFonts w:ascii="仿宋" w:eastAsia="仿宋" w:hAnsi="仿宋" w:cs="仿宋"/>
          <w:spacing w:val="2"/>
          <w:sz w:val="27"/>
          <w:szCs w:val="27"/>
        </w:rPr>
        <w:t>，设立三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浦威特园区建设发展有限公司(简称三浦威特)作为双方合作的项目</w:t>
      </w:r>
      <w:r>
        <w:rPr>
          <w:rFonts w:ascii="仿宋" w:eastAsia="仿宋" w:hAnsi="仿宋" w:cs="仿宋"/>
          <w:spacing w:val="1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公司</w:t>
      </w:r>
      <w:r>
        <w:rPr>
          <w:rFonts w:ascii="仿宋" w:eastAsia="仿宋" w:hAnsi="仿宋" w:cs="仿宋"/>
          <w:spacing w:val="-41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8"/>
          <w:sz w:val="27"/>
          <w:szCs w:val="27"/>
        </w:rPr>
        <w:t>(</w:t>
      </w:r>
      <w:r>
        <w:rPr>
          <w:rFonts w:ascii="宋体" w:eastAsia="宋体" w:hAnsi="宋体" w:cs="宋体"/>
          <w:sz w:val="27"/>
          <w:szCs w:val="27"/>
        </w:rPr>
        <w:t>SPV</w:t>
      </w:r>
      <w:r>
        <w:rPr>
          <w:rFonts w:ascii="宋体" w:eastAsia="宋体" w:hAnsi="宋体" w:cs="宋体"/>
          <w:spacing w:val="8"/>
          <w:sz w:val="27"/>
          <w:szCs w:val="27"/>
        </w:rPr>
        <w:t>),</w:t>
      </w:r>
      <w:r>
        <w:rPr>
          <w:rFonts w:ascii="宋体" w:eastAsia="宋体" w:hAnsi="宋体" w:cs="宋体"/>
          <w:spacing w:val="44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8"/>
          <w:sz w:val="27"/>
          <w:szCs w:val="27"/>
        </w:rPr>
        <w:t>华夏幸福公司向项目公司投入注册资</w:t>
      </w:r>
      <w:r>
        <w:rPr>
          <w:rFonts w:ascii="仿宋" w:eastAsia="仿宋" w:hAnsi="仿宋" w:cs="仿宋"/>
          <w:spacing w:val="7"/>
          <w:sz w:val="27"/>
          <w:szCs w:val="27"/>
        </w:rPr>
        <w:t>本金与项目开发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资金。项目公司作为投资及开发主体，负责固安工业园区的设</w:t>
      </w:r>
      <w:r>
        <w:rPr>
          <w:rFonts w:ascii="仿宋" w:eastAsia="仿宋" w:hAnsi="仿宋" w:cs="仿宋"/>
          <w:spacing w:val="4"/>
          <w:sz w:val="27"/>
          <w:szCs w:val="27"/>
        </w:rPr>
        <w:t>计、投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资、建设、运营、维护一体化市场运作，着力打造区域品牌</w:t>
      </w:r>
      <w:r>
        <w:rPr>
          <w:rFonts w:ascii="仿宋" w:eastAsia="仿宋" w:hAnsi="仿宋" w:cs="仿宋"/>
          <w:spacing w:val="4"/>
          <w:sz w:val="27"/>
          <w:szCs w:val="27"/>
        </w:rPr>
        <w:t>；固安工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业园区管委会履行政府职能，负责决策重大事项、制定规范标准</w:t>
      </w:r>
      <w:r>
        <w:rPr>
          <w:rFonts w:ascii="仿宋" w:eastAsia="仿宋" w:hAnsi="仿宋" w:cs="仿宋"/>
          <w:spacing w:val="4"/>
          <w:sz w:val="27"/>
          <w:szCs w:val="27"/>
        </w:rPr>
        <w:t>、提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供政策支持，以及基础设施及公共服务价格和质量的监管等，以保证</w:t>
      </w:r>
    </w:p>
    <w:p>
      <w:pPr>
        <w:spacing w:before="1" w:line="222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"/>
          <w:sz w:val="27"/>
          <w:szCs w:val="27"/>
        </w:rPr>
        <w:t>公共利益最大化。</w:t>
      </w:r>
    </w:p>
    <w:p>
      <w:pPr>
        <w:spacing w:before="125" w:line="222" w:lineRule="auto"/>
        <w:ind w:left="17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2.特许经营</w:t>
      </w:r>
    </w:p>
    <w:p>
      <w:pPr>
        <w:spacing w:before="104" w:line="437" w:lineRule="exact"/>
        <w:ind w:left="141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position w:val="12"/>
          <w:sz w:val="27"/>
          <w:szCs w:val="27"/>
        </w:rPr>
        <w:t>通过特许协议，固安县政府将特许经营权授予三浦威特，双方形</w:t>
      </w:r>
    </w:p>
    <w:p>
      <w:pPr>
        <w:spacing w:line="219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8"/>
          <w:sz w:val="27"/>
          <w:szCs w:val="27"/>
        </w:rPr>
        <w:t>成了长期稳定的合作关系。三浦威特作为华夏幸福公司的全资公司，</w:t>
      </w:r>
    </w:p>
    <w:p>
      <w:pPr>
        <w:spacing w:line="219" w:lineRule="auto"/>
        <w:rPr>
          <w:rFonts w:ascii="仿宋" w:eastAsia="仿宋" w:hAnsi="仿宋" w:cs="仿宋"/>
          <w:sz w:val="27"/>
          <w:szCs w:val="27"/>
        </w:rPr>
        <w:sectPr>
          <w:footerReference w:type="default" r:id="rId68"/>
          <w:pgSz w:w="11910" w:h="16840"/>
          <w:pgMar w:top="845" w:right="999" w:bottom="1182" w:left="989" w:header="0" w:footer="969" w:gutter="0"/>
          <w:pgNumType w:start="41"/>
          <w:cols w:space="708"/>
        </w:sectPr>
      </w:pPr>
    </w:p>
    <w:tbl>
      <w:tblPr>
        <w:tblStyle w:val="TableNormal24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20"/>
        <w:gridCol w:w="4680"/>
        <w:gridCol w:w="269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89"/>
        </w:trPr>
        <w:tc>
          <w:tcPr>
            <w:tcW w:w="2520" w:type="dxa"/>
            <w:tcBorders>
              <w:left w:val="nil"/>
            </w:tcBorders>
          </w:tcPr>
          <w:p>
            <w:pPr>
              <w:pStyle w:val="TableText"/>
              <w:spacing w:before="11" w:line="219" w:lineRule="auto"/>
              <w:ind w:left="113"/>
            </w:pPr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3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8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690" w:type="dxa"/>
            <w:tcBorders>
              <w:right w:val="nil"/>
            </w:tcBorders>
          </w:tcPr>
          <w:p>
            <w:pPr>
              <w:spacing w:line="251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页码：第32页共79页</w:t>
            </w:r>
          </w:p>
        </w:tc>
      </w:tr>
    </w:tbl>
    <w:p>
      <w:pPr>
        <w:pStyle w:val="BodyText"/>
        <w:spacing w:line="282" w:lineRule="auto"/>
      </w:pPr>
    </w:p>
    <w:p>
      <w:pPr>
        <w:spacing w:before="88" w:line="271" w:lineRule="auto"/>
        <w:ind w:left="820" w:right="725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 xml:space="preserve">负责固安工业园区的项目融资，并通过资本市场运作等方式筹集、垫 </w:t>
      </w:r>
      <w:r>
        <w:rPr>
          <w:rFonts w:ascii="仿宋" w:eastAsia="仿宋" w:hAnsi="仿宋" w:cs="仿宋"/>
          <w:spacing w:val="-1"/>
          <w:sz w:val="27"/>
          <w:szCs w:val="27"/>
        </w:rPr>
        <w:t>付初期投入资金。此外，三浦威特与多家金融机构建立融资协调机制，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进一步拓宽了融资渠道。</w:t>
      </w:r>
    </w:p>
    <w:p>
      <w:pPr>
        <w:spacing w:before="143" w:line="222" w:lineRule="auto"/>
        <w:ind w:left="139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3.提供公共产品和服务</w:t>
      </w:r>
    </w:p>
    <w:p>
      <w:pPr>
        <w:spacing w:before="103" w:line="280" w:lineRule="auto"/>
        <w:ind w:left="820" w:right="784" w:firstLine="5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基于政府的特许经营权，华夏幸福公司为固安工业园区投资、建</w:t>
      </w:r>
      <w:r>
        <w:rPr>
          <w:rFonts w:ascii="仿宋" w:eastAsia="仿宋" w:hAnsi="仿宋" w:cs="仿宋"/>
          <w:spacing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设、开发、运营提供一揽子公共产品和服务，包括土地整理、基</w:t>
      </w:r>
      <w:r>
        <w:rPr>
          <w:rFonts w:ascii="仿宋" w:eastAsia="仿宋" w:hAnsi="仿宋" w:cs="仿宋"/>
          <w:spacing w:val="5"/>
          <w:sz w:val="27"/>
          <w:szCs w:val="27"/>
        </w:rPr>
        <w:t>础设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6"/>
          <w:sz w:val="27"/>
          <w:szCs w:val="27"/>
        </w:rPr>
        <w:t>施建设、公共设施建设、产业发展服务，以及咨询、运营服务等。截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4"/>
          <w:sz w:val="27"/>
          <w:szCs w:val="27"/>
        </w:rPr>
        <w:t>至2014年华夏幸福公司在固安工业园区内累计投资超过160亿元，</w:t>
      </w:r>
    </w:p>
    <w:p>
      <w:pPr>
        <w:spacing w:before="123" w:line="222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8"/>
          <w:sz w:val="27"/>
          <w:szCs w:val="27"/>
        </w:rPr>
        <w:t>其中，基础设施和公共服务设施投资占到近40%。</w:t>
      </w:r>
    </w:p>
    <w:p>
      <w:pPr>
        <w:pStyle w:val="BodyText"/>
        <w:spacing w:line="325" w:lineRule="auto"/>
      </w:pPr>
    </w:p>
    <w:p>
      <w:pPr>
        <w:pStyle w:val="BodyText"/>
        <w:spacing w:line="326" w:lineRule="auto"/>
      </w:pPr>
    </w:p>
    <w:p>
      <w:pPr>
        <w:spacing w:before="88" w:line="222" w:lineRule="auto"/>
        <w:ind w:left="139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4.收益回报机制</w:t>
      </w:r>
    </w:p>
    <w:p>
      <w:pPr>
        <w:spacing w:before="120" w:line="280" w:lineRule="auto"/>
        <w:ind w:left="820" w:right="704" w:firstLine="5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双方合作的收益回报模式是使用者付费和政府付费相结合。固安</w:t>
      </w:r>
      <w:r>
        <w:rPr>
          <w:rFonts w:ascii="仿宋" w:eastAsia="仿宋" w:hAnsi="仿宋" w:cs="仿宋"/>
          <w:spacing w:val="6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8"/>
          <w:sz w:val="27"/>
          <w:szCs w:val="27"/>
        </w:rPr>
        <w:t>县政府对华夏幸福公司的基础设施建设和土地开发投资按成本加成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  </w:t>
      </w:r>
      <w:r>
        <w:rPr>
          <w:rFonts w:ascii="仿宋" w:eastAsia="仿宋" w:hAnsi="仿宋" w:cs="仿宋"/>
          <w:spacing w:val="9"/>
          <w:sz w:val="27"/>
          <w:szCs w:val="27"/>
        </w:rPr>
        <w:t>方式给予110%补偿；对于提供的外包服务</w:t>
      </w:r>
      <w:r>
        <w:rPr>
          <w:rFonts w:ascii="仿宋" w:eastAsia="仿宋" w:hAnsi="仿宋" w:cs="仿宋"/>
          <w:spacing w:val="8"/>
          <w:sz w:val="27"/>
          <w:szCs w:val="27"/>
        </w:rPr>
        <w:t xml:space="preserve">，按约定比例支付相应费  </w:t>
      </w:r>
      <w:r>
        <w:rPr>
          <w:rFonts w:ascii="仿宋" w:eastAsia="仿宋" w:hAnsi="仿宋" w:cs="仿宋"/>
          <w:spacing w:val="6"/>
          <w:sz w:val="27"/>
          <w:szCs w:val="27"/>
        </w:rPr>
        <w:t>用。两项费用作为企业回报，上限不高于园区财政收入增量</w:t>
      </w:r>
      <w:r>
        <w:rPr>
          <w:rFonts w:ascii="仿宋" w:eastAsia="仿宋" w:hAnsi="仿宋" w:cs="仿宋"/>
          <w:spacing w:val="5"/>
          <w:sz w:val="27"/>
          <w:szCs w:val="27"/>
        </w:rPr>
        <w:t>的企业分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享部分。若财政收入不增加，则企业无利润回报，不形</w:t>
      </w:r>
      <w:r>
        <w:rPr>
          <w:rFonts w:ascii="仿宋" w:eastAsia="仿宋" w:hAnsi="仿宋" w:cs="仿宋"/>
          <w:spacing w:val="8"/>
          <w:sz w:val="27"/>
          <w:szCs w:val="27"/>
        </w:rPr>
        <w:t>成政府债务。</w:t>
      </w:r>
    </w:p>
    <w:p>
      <w:pPr>
        <w:pStyle w:val="BodyText"/>
        <w:spacing w:line="332" w:lineRule="auto"/>
      </w:pPr>
    </w:p>
    <w:p>
      <w:pPr>
        <w:pStyle w:val="BodyText"/>
        <w:spacing w:line="333" w:lineRule="auto"/>
      </w:pPr>
    </w:p>
    <w:p>
      <w:pPr>
        <w:spacing w:before="88" w:line="222" w:lineRule="auto"/>
        <w:ind w:left="139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5.风险分担机制</w:t>
      </w:r>
    </w:p>
    <w:p>
      <w:pPr>
        <w:spacing w:before="119" w:line="300" w:lineRule="auto"/>
        <w:ind w:left="820" w:right="822" w:firstLine="5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社会资本利润回报以固安工业园区增量财政收入为基础，县政府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不承担债务和经营风险。华夏幸福公司通过市场化融资，以</w:t>
      </w:r>
      <w:r>
        <w:rPr>
          <w:rFonts w:ascii="仿宋" w:eastAsia="仿宋" w:hAnsi="仿宋" w:cs="仿宋"/>
          <w:spacing w:val="4"/>
          <w:sz w:val="27"/>
          <w:szCs w:val="27"/>
        </w:rPr>
        <w:t>固安工业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园区整体经营效果回收成本，获取企业盈利，同时承担政策、经营和</w:t>
      </w:r>
    </w:p>
    <w:p>
      <w:pPr>
        <w:spacing w:before="1" w:line="220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1"/>
          <w:sz w:val="27"/>
          <w:szCs w:val="27"/>
        </w:rPr>
        <w:t>债务等风险。</w:t>
      </w:r>
    </w:p>
    <w:p>
      <w:pPr>
        <w:spacing w:line="220" w:lineRule="auto"/>
        <w:rPr>
          <w:rFonts w:ascii="仿宋" w:eastAsia="仿宋" w:hAnsi="仿宋" w:cs="仿宋"/>
          <w:sz w:val="27"/>
          <w:szCs w:val="27"/>
        </w:rPr>
        <w:sectPr>
          <w:footerReference w:type="default" r:id="rId69"/>
          <w:pgSz w:w="11910" w:h="16840"/>
          <w:pgMar w:top="845" w:right="1019" w:bottom="1182" w:left="999" w:header="0" w:footer="969" w:gutter="0"/>
          <w:pgNumType w:start="42"/>
          <w:cols w:space="708"/>
        </w:sectPr>
      </w:pPr>
    </w:p>
    <w:tbl>
      <w:tblPr>
        <w:tblStyle w:val="TableNormal25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30"/>
        <w:gridCol w:w="4680"/>
        <w:gridCol w:w="271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0"/>
        </w:trPr>
        <w:tc>
          <w:tcPr>
            <w:tcW w:w="2530" w:type="dxa"/>
            <w:tcBorders>
              <w:left w:val="nil"/>
            </w:tcBorders>
          </w:tcPr>
          <w:p>
            <w:pPr>
              <w:pStyle w:val="TableText"/>
              <w:spacing w:before="21" w:line="219" w:lineRule="auto"/>
              <w:ind w:left="123"/>
            </w:pPr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4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8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10" w:type="dxa"/>
            <w:tcBorders>
              <w:right w:val="nil"/>
            </w:tcBorders>
          </w:tcPr>
          <w:p>
            <w:pPr>
              <w:spacing w:line="252" w:lineRule="auto"/>
            </w:pPr>
          </w:p>
          <w:p>
            <w:pPr>
              <w:pStyle w:val="TableText"/>
              <w:spacing w:before="78" w:line="219" w:lineRule="auto"/>
              <w:ind w:left="128"/>
            </w:pPr>
            <w:r>
              <w:rPr>
                <w:b/>
                <w:bCs/>
                <w:spacing w:val="-2"/>
              </w:rPr>
              <w:t>页码：第33页共79页</w:t>
            </w:r>
          </w:p>
        </w:tc>
      </w:tr>
    </w:tbl>
    <w:p>
      <w:pPr>
        <w:pStyle w:val="BodyText"/>
        <w:spacing w:line="344" w:lineRule="auto"/>
      </w:pPr>
    </w:p>
    <w:p>
      <w:pPr>
        <w:pStyle w:val="BodyText"/>
        <w:spacing w:line="345" w:lineRule="auto"/>
      </w:pPr>
    </w:p>
    <w:p>
      <w:pPr>
        <w:spacing w:before="88" w:line="225" w:lineRule="auto"/>
        <w:ind w:left="3423"/>
        <w:rPr>
          <w:rFonts w:ascii="黑体" w:eastAsia="黑体" w:hAnsi="黑体" w:cs="黑体"/>
          <w:sz w:val="27"/>
          <w:szCs w:val="27"/>
        </w:rPr>
      </w:pPr>
      <w:r>
        <w:rPr>
          <w:rFonts w:ascii="宋体" w:eastAsia="宋体" w:hAnsi="宋体" w:cs="宋体"/>
          <w:b/>
          <w:bCs/>
          <w:spacing w:val="-13"/>
          <w:position w:val="-1"/>
          <w:sz w:val="27"/>
          <w:szCs w:val="27"/>
        </w:rPr>
        <w:t>政府</w:t>
      </w:r>
      <w:r>
        <w:rPr>
          <w:rFonts w:ascii="宋体" w:eastAsia="宋体" w:hAnsi="宋体" w:cs="宋体"/>
          <w:spacing w:val="1"/>
          <w:position w:val="-1"/>
          <w:sz w:val="27"/>
          <w:szCs w:val="27"/>
        </w:rPr>
        <w:t xml:space="preserve">                   </w:t>
      </w:r>
      <w:r>
        <w:rPr>
          <w:rFonts w:ascii="黑体" w:eastAsia="黑体" w:hAnsi="黑体" w:cs="黑体"/>
          <w:b/>
          <w:bCs/>
          <w:spacing w:val="-13"/>
          <w:sz w:val="27"/>
          <w:szCs w:val="27"/>
        </w:rPr>
        <w:t>华夏幸福公司</w:t>
      </w:r>
    </w:p>
    <w:p>
      <w:pPr>
        <w:pStyle w:val="BodyText"/>
        <w:spacing w:line="250" w:lineRule="auto"/>
      </w:pPr>
    </w:p>
    <w:p>
      <w:pPr>
        <w:spacing w:before="88" w:line="670" w:lineRule="exact"/>
        <w:ind w:left="99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-16"/>
          <w:w w:val="97"/>
          <w:position w:val="30"/>
          <w:sz w:val="27"/>
          <w:szCs w:val="27"/>
        </w:rPr>
        <w:t>政策风险</w:t>
      </w:r>
    </w:p>
    <w:p>
      <w:pPr>
        <w:spacing w:line="221" w:lineRule="auto"/>
        <w:ind w:left="99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-16"/>
          <w:w w:val="95"/>
          <w:sz w:val="27"/>
          <w:szCs w:val="27"/>
        </w:rPr>
        <w:t>机会风险</w:t>
      </w:r>
    </w:p>
    <w:p>
      <w:pPr>
        <w:pStyle w:val="BodyText"/>
        <w:spacing w:line="255" w:lineRule="auto"/>
      </w:pPr>
    </w:p>
    <w:p>
      <w:pPr>
        <w:spacing w:before="88" w:line="221" w:lineRule="auto"/>
        <w:ind w:left="99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-18"/>
          <w:w w:val="95"/>
          <w:sz w:val="27"/>
          <w:szCs w:val="27"/>
        </w:rPr>
        <w:t>债务风险</w:t>
      </w:r>
    </w:p>
    <w:p>
      <w:pPr>
        <w:pStyle w:val="BodyText"/>
        <w:spacing w:line="260" w:lineRule="auto"/>
      </w:pPr>
    </w:p>
    <w:p>
      <w:pPr>
        <w:spacing w:before="88" w:line="220" w:lineRule="auto"/>
        <w:ind w:left="99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b/>
          <w:bCs/>
          <w:spacing w:val="-23"/>
          <w:sz w:val="27"/>
          <w:szCs w:val="27"/>
        </w:rPr>
        <w:t>经营风险</w:t>
      </w:r>
    </w:p>
    <w:p>
      <w:pPr>
        <w:pStyle w:val="BodyText"/>
        <w:spacing w:line="290" w:lineRule="auto"/>
      </w:pPr>
    </w:p>
    <w:p>
      <w:pPr>
        <w:spacing w:before="88" w:line="222" w:lineRule="auto"/>
        <w:ind w:left="157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25"/>
          <w:sz w:val="27"/>
          <w:szCs w:val="27"/>
        </w:rPr>
        <w:t>(二)主要创新点</w:t>
      </w:r>
    </w:p>
    <w:p>
      <w:pPr>
        <w:spacing w:before="231" w:line="219" w:lineRule="auto"/>
        <w:ind w:left="14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9"/>
          <w:sz w:val="27"/>
          <w:szCs w:val="27"/>
        </w:rPr>
        <w:t>固安工业园区新型城镇化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16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模式属于在基础设施和公用设施</w:t>
      </w:r>
    </w:p>
    <w:p>
      <w:pPr>
        <w:spacing w:before="120" w:line="441" w:lineRule="exact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position w:val="12"/>
          <w:sz w:val="27"/>
          <w:szCs w:val="27"/>
        </w:rPr>
        <w:t>建设基础上的整体式外包合作方式，形成了“产城融合”的整体开发</w:t>
      </w:r>
    </w:p>
    <w:p>
      <w:pPr>
        <w:spacing w:before="2" w:line="220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>建设机制，提供了工业园区开发建设和区域经济发展的综合解决方案。</w:t>
      </w:r>
    </w:p>
    <w:p>
      <w:pPr>
        <w:spacing w:before="139" w:line="222" w:lineRule="auto"/>
        <w:ind w:left="14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>1.整体式外包</w:t>
      </w:r>
    </w:p>
    <w:p>
      <w:pPr>
        <w:spacing w:before="101" w:line="276" w:lineRule="auto"/>
        <w:ind w:left="820" w:right="850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在政企双方合作过程中，固安县政府实际上是购买了华夏幸福公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司提供的一揽子建设和外包服务。这种操作模式避免了因投资主</w:t>
      </w:r>
      <w:r>
        <w:rPr>
          <w:rFonts w:ascii="仿宋" w:eastAsia="仿宋" w:hAnsi="仿宋" w:cs="仿宋"/>
          <w:spacing w:val="4"/>
          <w:sz w:val="27"/>
          <w:szCs w:val="27"/>
        </w:rPr>
        <w:t>体众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6"/>
          <w:sz w:val="27"/>
          <w:szCs w:val="27"/>
        </w:rPr>
        <w:t>多而增加的投资、建设、运营成本，而且减少了</w:t>
      </w:r>
      <w:r>
        <w:rPr>
          <w:rFonts w:ascii="仿宋" w:eastAsia="仿宋" w:hAnsi="仿宋" w:cs="仿宋"/>
          <w:spacing w:val="-7"/>
          <w:sz w:val="27"/>
          <w:szCs w:val="27"/>
        </w:rPr>
        <w:t>分散投资的违约风险，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形成规模经济效应和委托代理避险效应。</w:t>
      </w:r>
    </w:p>
    <w:p>
      <w:pPr>
        <w:spacing w:before="138" w:line="222" w:lineRule="auto"/>
        <w:ind w:left="14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8"/>
          <w:sz w:val="27"/>
          <w:szCs w:val="27"/>
        </w:rPr>
        <w:t>2.“产城融合”整体开发机制</w:t>
      </w:r>
    </w:p>
    <w:p>
      <w:pPr>
        <w:spacing w:before="113" w:line="308" w:lineRule="auto"/>
        <w:ind w:left="820" w:right="825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>在“产城融合”整体开发机制下，政府和社会资本有效地构建了</w:t>
      </w:r>
      <w:r>
        <w:rPr>
          <w:rFonts w:ascii="仿宋" w:eastAsia="仿宋" w:hAnsi="仿宋" w:cs="仿宋"/>
          <w:spacing w:val="1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互信平台，从“一事一议”变为以</w:t>
      </w:r>
      <w:r>
        <w:rPr>
          <w:rFonts w:ascii="宋体" w:eastAsia="宋体" w:hAnsi="宋体" w:cs="宋体"/>
          <w:sz w:val="27"/>
          <w:szCs w:val="27"/>
        </w:rPr>
        <w:t>PPP</w:t>
      </w:r>
      <w:r>
        <w:rPr>
          <w:rFonts w:ascii="宋体" w:eastAsia="宋体" w:hAnsi="宋体" w:cs="宋体"/>
          <w:spacing w:val="-2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7"/>
          <w:sz w:val="27"/>
          <w:szCs w:val="27"/>
        </w:rPr>
        <w:t>机制为核</w:t>
      </w:r>
      <w:r>
        <w:rPr>
          <w:rFonts w:ascii="仿宋" w:eastAsia="仿宋" w:hAnsi="仿宋" w:cs="仿宋"/>
          <w:spacing w:val="6"/>
          <w:sz w:val="27"/>
          <w:szCs w:val="27"/>
        </w:rPr>
        <w:t>心的协商制度，减少</w:t>
      </w:r>
    </w:p>
    <w:p>
      <w:pPr>
        <w:spacing w:line="220" w:lineRule="auto"/>
        <w:ind w:left="8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了操作成本，提高了城市建设与公共服务的质量和效率。</w:t>
      </w:r>
    </w:p>
    <w:p>
      <w:pPr>
        <w:spacing w:before="119" w:line="221" w:lineRule="auto"/>
        <w:ind w:left="142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7"/>
          <w:sz w:val="27"/>
          <w:szCs w:val="27"/>
        </w:rPr>
        <w:t>3.工业园区和区域经济发展综合解决方案</w:t>
      </w:r>
    </w:p>
    <w:p>
      <w:pPr>
        <w:spacing w:before="110" w:line="279" w:lineRule="auto"/>
        <w:ind w:left="820" w:right="708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2"/>
          <w:sz w:val="27"/>
          <w:szCs w:val="27"/>
        </w:rPr>
        <w:t>政企双方坚持以“产业高度聚集、城市功能完善、生态环境优美”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9"/>
          <w:sz w:val="27"/>
          <w:szCs w:val="27"/>
        </w:rPr>
        <w:t>作为共同发展目标，以市场化运作机制破解园区建设资</w:t>
      </w:r>
      <w:r>
        <w:rPr>
          <w:rFonts w:ascii="仿宋" w:eastAsia="仿宋" w:hAnsi="仿宋" w:cs="仿宋"/>
          <w:spacing w:val="8"/>
          <w:sz w:val="27"/>
          <w:szCs w:val="27"/>
        </w:rPr>
        <w:t>金筹措难题、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以专业化招商破解区域经济发展难题、以构建全链条创新生态体系破  </w:t>
      </w:r>
      <w:r>
        <w:rPr>
          <w:rFonts w:ascii="仿宋" w:eastAsia="仿宋" w:hAnsi="仿宋" w:cs="仿宋"/>
          <w:spacing w:val="6"/>
          <w:sz w:val="27"/>
          <w:szCs w:val="27"/>
        </w:rPr>
        <w:t>解开发区转型升级难题，使兼备产业基地和</w:t>
      </w:r>
      <w:r>
        <w:rPr>
          <w:rFonts w:ascii="仿宋" w:eastAsia="仿宋" w:hAnsi="仿宋" w:cs="仿宋"/>
          <w:spacing w:val="5"/>
          <w:sz w:val="27"/>
          <w:szCs w:val="27"/>
        </w:rPr>
        <w:t>城市功能的工业园区成为</w:t>
      </w:r>
      <w:r>
        <w:rPr>
          <w:rFonts w:ascii="仿宋" w:eastAsia="仿宋" w:hAnsi="仿宋" w:cs="仿宋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4"/>
          <w:sz w:val="27"/>
          <w:szCs w:val="27"/>
        </w:rPr>
        <w:t>新型城镇化的重要载体和平台。</w:t>
      </w:r>
    </w:p>
    <w:p>
      <w:pPr>
        <w:spacing w:line="279" w:lineRule="auto"/>
        <w:rPr>
          <w:rFonts w:ascii="仿宋" w:eastAsia="仿宋" w:hAnsi="仿宋" w:cs="仿宋"/>
          <w:sz w:val="27"/>
          <w:szCs w:val="27"/>
        </w:rPr>
        <w:sectPr>
          <w:footerReference w:type="default" r:id="rId70"/>
          <w:pgSz w:w="11910" w:h="16840"/>
          <w:pgMar w:top="834" w:right="999" w:bottom="1182" w:left="989" w:header="0" w:footer="969" w:gutter="0"/>
          <w:pgNumType w:start="43"/>
          <w:cols w:space="708"/>
        </w:sectPr>
      </w:pPr>
    </w:p>
    <w:tbl>
      <w:tblPr>
        <w:tblStyle w:val="TableNormal26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30"/>
        <w:gridCol w:w="4670"/>
        <w:gridCol w:w="272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0"/>
        </w:trPr>
        <w:tc>
          <w:tcPr>
            <w:tcW w:w="2530" w:type="dxa"/>
            <w:tcBorders>
              <w:left w:val="nil"/>
            </w:tcBorders>
          </w:tcPr>
          <w:p>
            <w:pPr>
              <w:pStyle w:val="TableText"/>
              <w:spacing w:before="21" w:line="219" w:lineRule="auto"/>
              <w:ind w:left="123"/>
            </w:pPr>
            <w:bookmarkStart w:id="31" w:name="bookmark32"/>
            <w:bookmarkEnd w:id="31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4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40000"/>
                <w:spacing w:val="-4"/>
              </w:rPr>
              <w:t>书山有路勤为径，学海无涯苦作舟</w:t>
            </w:r>
          </w:p>
        </w:tc>
        <w:tc>
          <w:tcPr>
            <w:tcW w:w="2720" w:type="dxa"/>
            <w:tcBorders>
              <w:right w:val="nil"/>
            </w:tcBorders>
          </w:tcPr>
          <w:p>
            <w:pPr>
              <w:spacing w:line="252" w:lineRule="auto"/>
            </w:pPr>
          </w:p>
          <w:p>
            <w:pPr>
              <w:pStyle w:val="TableText"/>
              <w:spacing w:before="78" w:line="219" w:lineRule="auto"/>
              <w:ind w:left="138"/>
            </w:pPr>
            <w:r>
              <w:rPr>
                <w:b/>
                <w:bCs/>
                <w:spacing w:val="-2"/>
              </w:rPr>
              <w:t>页码：第34页共79页</w:t>
            </w:r>
          </w:p>
        </w:tc>
      </w:tr>
    </w:tbl>
    <w:p>
      <w:pPr>
        <w:pStyle w:val="BodyText"/>
        <w:spacing w:line="290" w:lineRule="auto"/>
      </w:pPr>
    </w:p>
    <w:p>
      <w:pPr>
        <w:spacing w:before="88" w:line="221" w:lineRule="auto"/>
        <w:ind w:left="138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-16"/>
          <w:sz w:val="27"/>
          <w:szCs w:val="27"/>
        </w:rPr>
        <w:t>三</w:t>
      </w:r>
      <w:r>
        <w:rPr>
          <w:rFonts w:ascii="黑体" w:eastAsia="黑体" w:hAnsi="黑体" w:cs="黑体"/>
          <w:spacing w:val="-20"/>
          <w:sz w:val="27"/>
          <w:szCs w:val="27"/>
        </w:rPr>
        <w:t xml:space="preserve"> </w:t>
      </w:r>
      <w:r>
        <w:rPr>
          <w:rFonts w:ascii="黑体" w:eastAsia="黑体" w:hAnsi="黑体" w:cs="黑体"/>
          <w:b/>
          <w:bCs/>
          <w:spacing w:val="-16"/>
          <w:sz w:val="27"/>
          <w:szCs w:val="27"/>
        </w:rPr>
        <w:t>、实施效果</w:t>
      </w:r>
    </w:p>
    <w:p>
      <w:pPr>
        <w:spacing w:before="107" w:line="258" w:lineRule="auto"/>
        <w:ind w:left="809" w:right="845" w:firstLine="59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>经过十多年的建设，固安工业园区实现了华丽蝶变，有效促进了</w:t>
      </w:r>
      <w:r>
        <w:rPr>
          <w:rFonts w:ascii="仿宋" w:eastAsia="仿宋" w:hAnsi="仿宋" w:cs="仿宋"/>
          <w:spacing w:val="1"/>
          <w:sz w:val="27"/>
          <w:szCs w:val="27"/>
        </w:rPr>
        <w:t xml:space="preserve"> 当地经济社会发展。</w:t>
      </w:r>
    </w:p>
    <w:p>
      <w:pPr>
        <w:spacing w:before="136" w:line="220" w:lineRule="auto"/>
        <w:ind w:left="15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4"/>
          <w:sz w:val="27"/>
          <w:szCs w:val="27"/>
        </w:rPr>
        <w:t>(一)经济发展：带动区域发展水平迈上新台阶</w:t>
      </w:r>
    </w:p>
    <w:p>
      <w:pPr>
        <w:spacing w:before="107" w:line="300" w:lineRule="auto"/>
        <w:ind w:left="809" w:right="855" w:firstLine="59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2"/>
          <w:sz w:val="27"/>
          <w:szCs w:val="27"/>
        </w:rPr>
        <w:t>从2002年合作至今，固安工业园区已成为全省发展速度最快的</w:t>
      </w:r>
      <w:r>
        <w:rPr>
          <w:rFonts w:ascii="仿宋" w:eastAsia="仿宋" w:hAnsi="仿宋" w:cs="仿宋"/>
          <w:spacing w:val="1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省级开发区，2014年完成固定资产投资149.6亿元，实现工业总产</w:t>
      </w:r>
      <w:r>
        <w:rPr>
          <w:rFonts w:ascii="仿宋" w:eastAsia="仿宋" w:hAnsi="仿宋" w:cs="仿宋"/>
          <w:spacing w:val="1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16"/>
          <w:sz w:val="27"/>
          <w:szCs w:val="27"/>
        </w:rPr>
        <w:t>值224.5亿元，完成财政收入23.3亿元。受益于固安工业园区新型</w:t>
      </w:r>
      <w:r>
        <w:rPr>
          <w:rFonts w:ascii="仿宋" w:eastAsia="仿宋" w:hAnsi="仿宋" w:cs="仿宋"/>
          <w:spacing w:val="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城镇化，固安县从一个经济发展水平相对落后的县，成为各项指标在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全省领先的县。政企合作十多年，固安县人均</w:t>
      </w:r>
      <w:r>
        <w:rPr>
          <w:rFonts w:ascii="宋体" w:eastAsia="宋体" w:hAnsi="宋体" w:cs="宋体"/>
          <w:sz w:val="27"/>
          <w:szCs w:val="27"/>
        </w:rPr>
        <w:t>GDP</w:t>
      </w:r>
      <w:r>
        <w:rPr>
          <w:rFonts w:ascii="宋体" w:eastAsia="宋体" w:hAnsi="宋体" w:cs="宋体"/>
          <w:spacing w:val="-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增长了4倍，财政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3"/>
          <w:sz w:val="27"/>
          <w:szCs w:val="27"/>
        </w:rPr>
        <w:t>收入增长了24倍，成功跻身“2014中国县域成长竞争力</w:t>
      </w:r>
      <w:r>
        <w:rPr>
          <w:rFonts w:ascii="仿宋" w:eastAsia="仿宋" w:hAnsi="仿宋" w:cs="仿宋"/>
          <w:spacing w:val="12"/>
          <w:sz w:val="27"/>
          <w:szCs w:val="27"/>
        </w:rPr>
        <w:t>排行榜”50</w:t>
      </w:r>
    </w:p>
    <w:p>
      <w:pPr>
        <w:spacing w:line="221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2"/>
          <w:sz w:val="27"/>
          <w:szCs w:val="27"/>
        </w:rPr>
        <w:t>强，位列“中国十佳开发竞争力县”第2位。</w:t>
      </w:r>
    </w:p>
    <w:p>
      <w:pPr>
        <w:spacing w:before="114" w:line="221" w:lineRule="auto"/>
        <w:ind w:left="15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4"/>
          <w:sz w:val="27"/>
          <w:szCs w:val="27"/>
        </w:rPr>
        <w:t>(二)城市建设：构建了中等城市框架和服务配套设施</w:t>
      </w:r>
    </w:p>
    <w:p>
      <w:pPr>
        <w:spacing w:before="125" w:line="301" w:lineRule="auto"/>
        <w:ind w:left="809" w:right="754" w:firstLine="59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1"/>
          <w:sz w:val="27"/>
          <w:szCs w:val="27"/>
        </w:rPr>
        <w:t>截至2014年，华夏幸福公司在园区内投入大量前</w:t>
      </w:r>
      <w:r>
        <w:rPr>
          <w:rFonts w:ascii="仿宋" w:eastAsia="仿宋" w:hAnsi="仿宋" w:cs="仿宋"/>
          <w:spacing w:val="10"/>
          <w:sz w:val="27"/>
          <w:szCs w:val="27"/>
        </w:rPr>
        <w:t>期开发资金，</w:t>
      </w:r>
      <w:r>
        <w:rPr>
          <w:rFonts w:ascii="仿宋" w:eastAsia="仿宋" w:hAnsi="仿宋" w:cs="仿宋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8"/>
          <w:sz w:val="27"/>
          <w:szCs w:val="27"/>
        </w:rPr>
        <w:t>高质量推进路、水、电、气、讯等基础设施，实现了“十通一平”。</w:t>
      </w:r>
      <w:r>
        <w:rPr>
          <w:rFonts w:ascii="仿宋" w:eastAsia="仿宋" w:hAnsi="仿宋" w:cs="仿宋"/>
          <w:spacing w:val="1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同时，积极引进优势资源，建设了中央公园、水系生态景观、创业大 </w:t>
      </w:r>
      <w:r>
        <w:rPr>
          <w:rFonts w:ascii="仿宋" w:eastAsia="仿宋" w:hAnsi="仿宋" w:cs="仿宋"/>
          <w:spacing w:val="8"/>
          <w:sz w:val="27"/>
          <w:szCs w:val="27"/>
        </w:rPr>
        <w:t>厦、商务酒店、人才家园等一批高端配套设施，构建了以城市客厅、</w:t>
      </w:r>
      <w:r>
        <w:rPr>
          <w:rFonts w:ascii="仿宋" w:eastAsia="仿宋" w:hAnsi="仿宋" w:cs="仿宋"/>
          <w:spacing w:val="1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6"/>
          <w:sz w:val="27"/>
          <w:szCs w:val="27"/>
        </w:rPr>
        <w:t>大湖商业区、中央大道金融街区为主体的“智能城市”核心区。其中，</w:t>
      </w:r>
      <w:r>
        <w:rPr>
          <w:rFonts w:ascii="仿宋" w:eastAsia="仿宋" w:hAnsi="仿宋" w:cs="仿宋"/>
          <w:spacing w:val="5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12"/>
          <w:sz w:val="27"/>
          <w:szCs w:val="27"/>
        </w:rPr>
        <w:t>作为城市主干道之一的锦绣大道(大广高速至永和路段)总投资额为</w:t>
      </w:r>
      <w:r>
        <w:rPr>
          <w:rFonts w:ascii="仿宋" w:eastAsia="仿宋" w:hAnsi="仿宋" w:cs="仿宋"/>
          <w:spacing w:val="4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16"/>
          <w:sz w:val="27"/>
          <w:szCs w:val="27"/>
        </w:rPr>
        <w:t>4.13亿元，连接廊涿路与106国道，2012年竣工通车，为产业集聚</w:t>
      </w:r>
    </w:p>
    <w:p>
      <w:pPr>
        <w:spacing w:before="2" w:line="220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5"/>
          <w:sz w:val="27"/>
          <w:szCs w:val="27"/>
        </w:rPr>
        <w:t>和居民住行提供了便利条件。</w:t>
      </w:r>
    </w:p>
    <w:p>
      <w:pPr>
        <w:spacing w:before="126" w:line="220" w:lineRule="auto"/>
        <w:ind w:left="15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4"/>
          <w:sz w:val="27"/>
          <w:szCs w:val="27"/>
        </w:rPr>
        <w:t>(三)民生保障：坚持“以人为本”建设幸福城市</w:t>
      </w:r>
    </w:p>
    <w:p>
      <w:pPr>
        <w:spacing w:before="131" w:line="299" w:lineRule="auto"/>
        <w:ind w:left="809" w:right="851" w:firstLine="59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2"/>
          <w:sz w:val="27"/>
          <w:szCs w:val="27"/>
        </w:rPr>
        <w:t>华夏幸福公司投资2.81亿元，引进的北京八中固安分校已正式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投入使用；与首都医科大学附属医院合作经营的幸福医院也已启动建</w:t>
      </w:r>
      <w:r>
        <w:rPr>
          <w:rFonts w:ascii="仿宋" w:eastAsia="仿宋" w:hAnsi="仿宋" w:cs="仿宋"/>
          <w:spacing w:val="7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设。园区建设促进了公共资源配置均等化，当地居</w:t>
      </w:r>
      <w:r>
        <w:rPr>
          <w:rFonts w:ascii="仿宋" w:eastAsia="仿宋" w:hAnsi="仿宋" w:cs="仿宋"/>
          <w:spacing w:val="4"/>
          <w:sz w:val="27"/>
          <w:szCs w:val="27"/>
        </w:rPr>
        <w:t>民和外来人员享受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同等的教育和医疗等公共资源和服务，并带动固安县民生投</w:t>
      </w:r>
      <w:r>
        <w:rPr>
          <w:rFonts w:ascii="仿宋" w:eastAsia="仿宋" w:hAnsi="仿宋" w:cs="仿宋"/>
          <w:spacing w:val="4"/>
          <w:sz w:val="27"/>
          <w:szCs w:val="27"/>
        </w:rPr>
        <w:t>入不断加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0"/>
          <w:sz w:val="27"/>
          <w:szCs w:val="27"/>
        </w:rPr>
        <w:t>大，促进了全县民生保障体系的完善。2014年固安</w:t>
      </w:r>
      <w:r>
        <w:rPr>
          <w:rFonts w:ascii="仿宋" w:eastAsia="仿宋" w:hAnsi="仿宋" w:cs="仿宋"/>
          <w:spacing w:val="9"/>
          <w:sz w:val="27"/>
          <w:szCs w:val="27"/>
        </w:rPr>
        <w:t xml:space="preserve">县民生领域支出 </w:t>
      </w:r>
      <w:r>
        <w:rPr>
          <w:rFonts w:ascii="仿宋" w:eastAsia="仿宋" w:hAnsi="仿宋" w:cs="仿宋"/>
          <w:spacing w:val="17"/>
          <w:sz w:val="27"/>
          <w:szCs w:val="27"/>
        </w:rPr>
        <w:t xml:space="preserve">达到26.1亿元，占公共财政预算支出的84.8%,在全省率先实施县 </w:t>
      </w:r>
      <w:r>
        <w:rPr>
          <w:rFonts w:ascii="仿宋" w:eastAsia="仿宋" w:hAnsi="仿宋" w:cs="仿宋"/>
          <w:spacing w:val="9"/>
          <w:sz w:val="27"/>
          <w:szCs w:val="27"/>
        </w:rPr>
        <w:t>级社保“一卡通”,在廊坊市率先建立了《低保对象医前医疗救助制</w:t>
      </w:r>
    </w:p>
    <w:p>
      <w:pPr>
        <w:spacing w:line="223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"/>
          <w:sz w:val="27"/>
          <w:szCs w:val="27"/>
        </w:rPr>
        <w:t>度》。</w:t>
      </w:r>
    </w:p>
    <w:p>
      <w:pPr>
        <w:spacing w:line="223" w:lineRule="auto"/>
        <w:rPr>
          <w:rFonts w:ascii="仿宋" w:eastAsia="仿宋" w:hAnsi="仿宋" w:cs="仿宋"/>
          <w:sz w:val="27"/>
          <w:szCs w:val="27"/>
        </w:rPr>
        <w:sectPr>
          <w:footerReference w:type="default" r:id="rId71"/>
          <w:pgSz w:w="11910" w:h="16840"/>
          <w:pgMar w:top="834" w:right="999" w:bottom="1182" w:left="989" w:header="0" w:footer="969" w:gutter="0"/>
          <w:pgNumType w:start="44"/>
          <w:cols w:space="708"/>
        </w:sectPr>
      </w:pPr>
    </w:p>
    <w:tbl>
      <w:tblPr>
        <w:tblStyle w:val="TableNormal27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530"/>
        <w:gridCol w:w="4670"/>
        <w:gridCol w:w="2720"/>
      </w:tblGrid>
      <w:tr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0"/>
        </w:trPr>
        <w:tc>
          <w:tcPr>
            <w:tcW w:w="2530" w:type="dxa"/>
            <w:tcBorders>
              <w:left w:val="nil"/>
            </w:tcBorders>
          </w:tcPr>
          <w:p>
            <w:pPr>
              <w:pStyle w:val="TableText"/>
              <w:spacing w:before="21" w:line="219" w:lineRule="auto"/>
              <w:ind w:left="123"/>
            </w:pPr>
            <w:bookmarkStart w:id="32" w:name="bookmark33"/>
            <w:bookmarkStart w:id="33" w:name="bookmark34"/>
            <w:bookmarkStart w:id="34" w:name="bookmark35"/>
            <w:bookmarkEnd w:id="32"/>
            <w:bookmarkEnd w:id="33"/>
            <w:bookmarkEnd w:id="34"/>
            <w:r>
              <w:rPr>
                <w:b/>
                <w:bCs/>
                <w:spacing w:val="-5"/>
              </w:rPr>
              <w:t>编号：</w:t>
            </w:r>
          </w:p>
          <w:p>
            <w:pPr>
              <w:pStyle w:val="TableText"/>
              <w:spacing w:before="25" w:line="219" w:lineRule="auto"/>
              <w:ind w:left="143"/>
            </w:pPr>
            <w:r>
              <w:rPr>
                <w:b/>
                <w:bCs/>
              </w:rPr>
              <w:t>时间：2021年x月x日</w:t>
            </w:r>
          </w:p>
        </w:tc>
        <w:tc>
          <w:tcPr>
            <w:tcW w:w="4670" w:type="dxa"/>
          </w:tcPr>
          <w:p>
            <w:pPr>
              <w:spacing w:line="250" w:lineRule="auto"/>
            </w:pPr>
          </w:p>
          <w:p>
            <w:pPr>
              <w:pStyle w:val="TableText"/>
              <w:spacing w:before="78" w:line="219" w:lineRule="auto"/>
              <w:ind w:left="268"/>
            </w:pPr>
            <w:r>
              <w:rPr>
                <w:b/>
                <w:bCs/>
                <w:color w:val="F30000"/>
                <w:spacing w:val="-4"/>
              </w:rPr>
              <w:t>书山有路勤为径，学海无涯苦作舟</w:t>
            </w:r>
          </w:p>
        </w:tc>
        <w:tc>
          <w:tcPr>
            <w:tcW w:w="2720" w:type="dxa"/>
            <w:tcBorders>
              <w:right w:val="nil"/>
            </w:tcBorders>
          </w:tcPr>
          <w:p>
            <w:pPr>
              <w:spacing w:line="252" w:lineRule="auto"/>
            </w:pPr>
          </w:p>
          <w:p>
            <w:pPr>
              <w:pStyle w:val="TableText"/>
              <w:spacing w:before="78" w:line="219" w:lineRule="auto"/>
              <w:ind w:left="138"/>
            </w:pPr>
            <w:r>
              <w:rPr>
                <w:b/>
                <w:bCs/>
                <w:spacing w:val="-2"/>
              </w:rPr>
              <w:t>页码：第35页共79页</w:t>
            </w:r>
          </w:p>
        </w:tc>
      </w:tr>
    </w:tbl>
    <w:p>
      <w:pPr>
        <w:pStyle w:val="BodyText"/>
        <w:spacing w:line="290" w:lineRule="auto"/>
      </w:pPr>
    </w:p>
    <w:p>
      <w:pPr>
        <w:spacing w:before="88" w:line="222" w:lineRule="auto"/>
        <w:ind w:left="1373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-17"/>
          <w:sz w:val="27"/>
          <w:szCs w:val="27"/>
        </w:rPr>
        <w:t>四</w:t>
      </w:r>
      <w:r>
        <w:rPr>
          <w:rFonts w:ascii="黑体" w:eastAsia="黑体" w:hAnsi="黑体" w:cs="黑体"/>
          <w:spacing w:val="-17"/>
          <w:sz w:val="27"/>
          <w:szCs w:val="27"/>
        </w:rPr>
        <w:t xml:space="preserve"> </w:t>
      </w:r>
      <w:r>
        <w:rPr>
          <w:rFonts w:ascii="黑体" w:eastAsia="黑体" w:hAnsi="黑体" w:cs="黑体"/>
          <w:b/>
          <w:bCs/>
          <w:spacing w:val="-17"/>
          <w:sz w:val="27"/>
          <w:szCs w:val="27"/>
        </w:rPr>
        <w:t>、借鉴价值</w:t>
      </w:r>
    </w:p>
    <w:p>
      <w:pPr>
        <w:spacing w:before="104" w:line="302" w:lineRule="auto"/>
        <w:ind w:left="830" w:right="842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8"/>
          <w:sz w:val="27"/>
          <w:szCs w:val="27"/>
        </w:rPr>
        <w:t>固安工业园区新型城镇化在整体推进过程中较好解决了园区建</w:t>
      </w:r>
      <w:r>
        <w:rPr>
          <w:rFonts w:ascii="仿宋" w:eastAsia="仿宋" w:hAnsi="仿宋" w:cs="仿宋"/>
          <w:spacing w:val="5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6"/>
          <w:sz w:val="27"/>
          <w:szCs w:val="27"/>
        </w:rPr>
        <w:t>设中的一些难题，这种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PPP </w:t>
      </w:r>
      <w:r>
        <w:rPr>
          <w:rFonts w:ascii="仿宋" w:eastAsia="仿宋" w:hAnsi="仿宋" w:cs="仿宋"/>
          <w:spacing w:val="6"/>
          <w:sz w:val="27"/>
          <w:szCs w:val="27"/>
        </w:rPr>
        <w:t>模式正在固安县新兴产业示范区和其他县</w:t>
      </w:r>
    </w:p>
    <w:p>
      <w:pPr>
        <w:spacing w:line="221" w:lineRule="auto"/>
        <w:ind w:left="8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>市区复制，具有较高的借鉴推广价值。</w:t>
      </w:r>
    </w:p>
    <w:p>
      <w:pPr>
        <w:spacing w:before="113" w:line="442" w:lineRule="exact"/>
        <w:ind w:left="15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8"/>
          <w:position w:val="12"/>
          <w:sz w:val="27"/>
          <w:szCs w:val="27"/>
        </w:rPr>
        <w:t>(一)采用区域整体开发模式，实现公益性与经营性项目的统筹</w:t>
      </w:r>
    </w:p>
    <w:p>
      <w:pPr>
        <w:spacing w:before="1" w:line="221" w:lineRule="auto"/>
        <w:ind w:left="809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2"/>
          <w:sz w:val="27"/>
          <w:szCs w:val="27"/>
        </w:rPr>
        <w:t>平衡</w:t>
      </w:r>
    </w:p>
    <w:p>
      <w:pPr>
        <w:spacing w:before="104" w:line="301" w:lineRule="auto"/>
        <w:ind w:left="830" w:right="820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4"/>
          <w:sz w:val="27"/>
          <w:szCs w:val="27"/>
        </w:rPr>
        <w:t>传统的单一</w:t>
      </w:r>
      <w:r>
        <w:rPr>
          <w:rFonts w:ascii="Times New Roman" w:eastAsia="Times New Roman" w:hAnsi="Times New Roman" w:cs="Times New Roman"/>
          <w:sz w:val="27"/>
          <w:szCs w:val="27"/>
        </w:rPr>
        <w:t>PPP</w:t>
      </w:r>
      <w:r>
        <w:rPr>
          <w:rFonts w:ascii="Times New Roman" w:eastAsia="Times New Roman" w:hAnsi="Times New Roman" w:cs="Times New Roman"/>
          <w:spacing w:val="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项目，对于一些没有收益或收益较低的项目，社</w:t>
      </w:r>
      <w:r>
        <w:rPr>
          <w:rFonts w:ascii="仿宋" w:eastAsia="仿宋" w:hAnsi="仿宋" w:cs="仿宋"/>
          <w:spacing w:val="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会资本参与意愿不强，项目建设主要依靠政府投入。固安</w:t>
      </w:r>
      <w:r>
        <w:rPr>
          <w:rFonts w:ascii="仿宋" w:eastAsia="仿宋" w:hAnsi="仿宋" w:cs="仿宋"/>
          <w:spacing w:val="4"/>
          <w:sz w:val="27"/>
          <w:szCs w:val="27"/>
        </w:rPr>
        <w:t>工业园区新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型城镇化采用综合开发模式，对整个区域进行整体规划，统筹</w:t>
      </w:r>
      <w:r>
        <w:rPr>
          <w:rFonts w:ascii="仿宋" w:eastAsia="仿宋" w:hAnsi="仿宋" w:cs="仿宋"/>
          <w:spacing w:val="4"/>
          <w:sz w:val="27"/>
          <w:szCs w:val="27"/>
        </w:rPr>
        <w:t>考虑基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础设施和公共服务设施建设，统筹建设民生项目、商业项目和产业项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4"/>
          <w:sz w:val="27"/>
          <w:szCs w:val="27"/>
        </w:rPr>
        <w:t>目，既防止纯公益项目不被社会资本问津，也克服了盈利项目被社会</w:t>
      </w:r>
    </w:p>
    <w:p>
      <w:pPr>
        <w:spacing w:before="1" w:line="220" w:lineRule="auto"/>
        <w:ind w:left="8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资本过度追逐的弊端，从而推动区域经济社会实现可持续发展。</w:t>
      </w:r>
    </w:p>
    <w:p>
      <w:pPr>
        <w:spacing w:before="130" w:line="222" w:lineRule="auto"/>
        <w:ind w:left="156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4"/>
          <w:sz w:val="27"/>
          <w:szCs w:val="27"/>
        </w:rPr>
        <w:t>(二)利用专业团队建设运营园区，实现产城融合发展</w:t>
      </w:r>
    </w:p>
    <w:p>
      <w:pPr>
        <w:spacing w:before="117" w:line="300" w:lineRule="auto"/>
        <w:ind w:left="830" w:right="724" w:firstLine="60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3"/>
          <w:sz w:val="27"/>
          <w:szCs w:val="27"/>
        </w:rPr>
        <w:t>为提高固安工业园区核心竞争力，固安县政府通过让专业的人做</w:t>
      </w:r>
      <w:r>
        <w:rPr>
          <w:rFonts w:ascii="仿宋" w:eastAsia="仿宋" w:hAnsi="仿宋" w:cs="仿宋"/>
          <w:spacing w:val="1"/>
          <w:sz w:val="27"/>
          <w:szCs w:val="27"/>
        </w:rPr>
        <w:t xml:space="preserve">  </w:t>
      </w:r>
      <w:r>
        <w:rPr>
          <w:rFonts w:ascii="仿宋" w:eastAsia="仿宋" w:hAnsi="仿宋" w:cs="仿宋"/>
          <w:sz w:val="27"/>
          <w:szCs w:val="27"/>
        </w:rPr>
        <w:t>专业的事，华夏幸福公司配备专业团队，政府和社会资本</w:t>
      </w:r>
      <w:r>
        <w:rPr>
          <w:rFonts w:ascii="仿宋" w:eastAsia="仿宋" w:hAnsi="仿宋" w:cs="仿宋"/>
          <w:spacing w:val="-1"/>
          <w:sz w:val="27"/>
          <w:szCs w:val="27"/>
        </w:rPr>
        <w:t>构建起平等、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契约、诚信、共赢的机制，保证了园区建设运营的良性运转</w:t>
      </w:r>
      <w:r>
        <w:rPr>
          <w:rFonts w:ascii="仿宋" w:eastAsia="仿宋" w:hAnsi="仿宋" w:cs="仿宋"/>
          <w:spacing w:val="4"/>
          <w:sz w:val="27"/>
          <w:szCs w:val="27"/>
        </w:rPr>
        <w:t>。固安县</w:t>
      </w:r>
      <w:r>
        <w:rPr>
          <w:rFonts w:ascii="仿宋" w:eastAsia="仿宋" w:hAnsi="仿宋" w:cs="仿宋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5"/>
          <w:sz w:val="27"/>
          <w:szCs w:val="27"/>
        </w:rPr>
        <w:t>政府在推进新型城镇化的同时，统筹考虑城乡结合问题，加快新农村</w:t>
      </w:r>
    </w:p>
    <w:p>
      <w:pPr>
        <w:spacing w:before="2" w:line="220" w:lineRule="auto"/>
        <w:ind w:left="8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建设，进行产业链优化配置，实现了产城融合发展。</w:t>
      </w:r>
    </w:p>
    <w:p>
      <w:pPr>
        <w:pStyle w:val="BodyText"/>
        <w:spacing w:line="475" w:lineRule="auto"/>
      </w:pPr>
    </w:p>
    <w:p>
      <w:pPr>
        <w:spacing w:before="88" w:line="429" w:lineRule="exact"/>
        <w:ind w:left="137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18"/>
          <w:position w:val="11"/>
          <w:sz w:val="27"/>
          <w:szCs w:val="27"/>
        </w:rPr>
        <w:t>案例9:合肥市王小郢污水处理厂资产权益转让项目</w:t>
      </w:r>
    </w:p>
    <w:p>
      <w:pPr>
        <w:spacing w:before="1" w:line="220" w:lineRule="auto"/>
        <w:ind w:left="137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spacing w:val="2"/>
          <w:sz w:val="27"/>
          <w:szCs w:val="27"/>
        </w:rPr>
        <w:t>一、项目概况</w:t>
      </w:r>
    </w:p>
    <w:p>
      <w:pPr>
        <w:spacing w:before="123" w:line="300" w:lineRule="auto"/>
        <w:ind w:left="830" w:right="745" w:firstLine="60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6"/>
          <w:sz w:val="27"/>
          <w:szCs w:val="27"/>
        </w:rPr>
        <w:t>合肥市王小郢污水处理厂是安徽省第一座大型城市污水处理厂，</w:t>
      </w:r>
      <w:r>
        <w:rPr>
          <w:rFonts w:ascii="仿宋" w:eastAsia="仿宋" w:hAnsi="仿宋" w:cs="仿宋"/>
          <w:spacing w:val="15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8"/>
          <w:sz w:val="27"/>
          <w:szCs w:val="27"/>
        </w:rPr>
        <w:t>也是当时全国规模最大的氧化沟工艺污水处理厂。项目分两期建设，</w:t>
      </w:r>
      <w:r>
        <w:rPr>
          <w:rFonts w:ascii="仿宋" w:eastAsia="仿宋" w:hAnsi="仿宋" w:cs="仿宋"/>
          <w:spacing w:val="3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15"/>
          <w:sz w:val="27"/>
          <w:szCs w:val="27"/>
        </w:rPr>
        <w:t>日处理能力合计30万吨，建设总投资约3.2亿元。污水厂建成后曾</w:t>
      </w:r>
      <w:r>
        <w:rPr>
          <w:rFonts w:ascii="仿宋" w:eastAsia="仿宋" w:hAnsi="仿宋" w:cs="仿宋"/>
          <w:spacing w:val="1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5"/>
          <w:sz w:val="27"/>
          <w:szCs w:val="27"/>
        </w:rPr>
        <w:t>获得市政鲁班奖，是建设部指定的污水处理培训基地和亚行在</w:t>
      </w:r>
      <w:r>
        <w:rPr>
          <w:rFonts w:ascii="仿宋" w:eastAsia="仿宋" w:hAnsi="仿宋" w:cs="仿宋"/>
          <w:spacing w:val="4"/>
          <w:sz w:val="27"/>
          <w:szCs w:val="27"/>
        </w:rPr>
        <w:t>中国投</w:t>
      </w:r>
    </w:p>
    <w:p>
      <w:pPr>
        <w:spacing w:line="220" w:lineRule="auto"/>
        <w:ind w:left="8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1"/>
          <w:sz w:val="27"/>
          <w:szCs w:val="27"/>
        </w:rPr>
        <w:t>资的“示范项目”,为巢湖污染综合治理发挥了重要作用。</w:t>
      </w:r>
    </w:p>
    <w:p>
      <w:pPr>
        <w:spacing w:before="121" w:line="301" w:lineRule="auto"/>
        <w:ind w:left="830" w:right="833" w:firstLine="600"/>
        <w:jc w:val="both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0"/>
          <w:sz w:val="27"/>
          <w:szCs w:val="27"/>
        </w:rPr>
        <w:t>2001年，安徽当地某环保公司曾上书省政府和市政府，要求政</w:t>
      </w:r>
      <w:r>
        <w:rPr>
          <w:rFonts w:ascii="仿宋" w:eastAsia="仿宋" w:hAnsi="仿宋" w:cs="仿宋"/>
          <w:spacing w:val="18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府出于扶持本地企业发展的目的，将王小郢污水处理厂以高于</w:t>
      </w:r>
      <w:r>
        <w:rPr>
          <w:rFonts w:ascii="仿宋" w:eastAsia="仿宋" w:hAnsi="仿宋" w:cs="仿宋"/>
          <w:spacing w:val="4"/>
          <w:sz w:val="27"/>
          <w:szCs w:val="27"/>
        </w:rPr>
        <w:t>评估价</w:t>
      </w:r>
      <w:r>
        <w:rPr>
          <w:rFonts w:ascii="仿宋" w:eastAsia="仿宋" w:hAnsi="仿宋" w:cs="仿宋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5"/>
          <w:sz w:val="27"/>
          <w:szCs w:val="27"/>
        </w:rPr>
        <w:t>的一定价位直接出售给它，同时还许诺将在未来几年投资兴建更多的</w:t>
      </w:r>
    </w:p>
    <w:p>
      <w:pPr>
        <w:spacing w:line="222" w:lineRule="auto"/>
        <w:ind w:left="830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14"/>
          <w:sz w:val="27"/>
          <w:szCs w:val="27"/>
        </w:rPr>
        <w:t>污水处理厂。2001年6月，该公司曾与政府签订了王小郢经营权收</w:t>
      </w:r>
    </w:p>
    <w:p>
      <w:pPr>
        <w:spacing w:line="222" w:lineRule="auto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z w:val="27"/>
          <w:szCs w:val="27"/>
        </w:rPr>
        <w:br/>
      </w:r>
      <w:r>
        <w:rPr>
          <w:rFonts w:ascii="仿宋" w:eastAsia="仿宋" w:hAnsi="仿宋" w:cs="仿宋"/>
          <w:sz w:val="27"/>
          <w:szCs w:val="27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2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https://d.book118.com/856052120202010050</w:t>
        </w:r>
      </w:hyperlink>
    </w:p>
    <w:p>
      <w:pPr>
        <w:spacing w:line="222" w:lineRule="auto"/>
        <w:rPr>
          <w:rFonts w:ascii="仿宋" w:eastAsia="仿宋" w:hAnsi="仿宋" w:cs="仿宋"/>
          <w:sz w:val="27"/>
          <w:szCs w:val="27"/>
        </w:rPr>
      </w:pPr>
    </w:p>
    <w:sectPr>
      <w:footerReference w:type="default" r:id="rId73"/>
      <w:pgSz w:w="11910" w:h="16840"/>
      <w:pgMar w:top="834" w:right="999" w:bottom="1182" w:left="989" w:header="0" w:footer="969" w:gutter="0"/>
      <w:pgNumType w:start="45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ZYaoT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8" w:lineRule="auto"/>
      <w:ind w:left="4103"/>
      <w:rPr>
        <w:rFonts w:ascii="Times New Roman" w:eastAsia="Times New Roman" w:hAnsi="Times New Roman" w:cs="Times New Roman"/>
        <w:sz w:val="22"/>
        <w:szCs w:val="22"/>
      </w:rPr>
    </w:pPr>
    <w:r>
      <w:rPr>
        <w:rFonts w:ascii="Times New Roman" w:eastAsia="Times New Roman" w:hAnsi="Times New Roman" w:cs="Times New Roman"/>
        <w:sz w:val="22"/>
        <w:szCs w:val="22"/>
      </w:rPr>
      <w:t>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8" w:lineRule="auto"/>
      <w:ind w:left="4120"/>
      <w:rPr>
        <w:rFonts w:ascii="Times New Roman" w:eastAsia="Times New Roman" w:hAnsi="Times New Roman" w:cs="Times New Roman"/>
        <w:sz w:val="22"/>
        <w:szCs w:val="22"/>
      </w:rPr>
    </w:pPr>
    <w:r>
      <w:rPr>
        <w:rFonts w:ascii="Times New Roman" w:eastAsia="Times New Roman" w:hAnsi="Times New Roman" w:cs="Times New Roman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8" w:lineRule="auto"/>
      <w:ind w:left="4103"/>
      <w:rPr>
        <w:rFonts w:ascii="Times New Roman" w:eastAsia="Times New Roman" w:hAnsi="Times New Roman" w:cs="Times New Roman"/>
        <w:sz w:val="22"/>
        <w:szCs w:val="22"/>
      </w:rPr>
    </w:pPr>
    <w:r>
      <w:rPr>
        <w:rFonts w:ascii="Times New Roman" w:eastAsia="Times New Roman" w:hAnsi="Times New Roman" w:cs="Times New Roman"/>
        <w:sz w:val="22"/>
        <w:szCs w:val="22"/>
      </w:rPr>
      <w:t>4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8" w:lineRule="auto"/>
      <w:ind w:left="4093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5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03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6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8" w:lineRule="auto"/>
      <w:ind w:left="4103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7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670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7"/>
        <w:sz w:val="18"/>
        <w:szCs w:val="18"/>
      </w:rPr>
      <w:t>第</w:t>
    </w:r>
    <w:r>
      <w:rPr>
        <w:rFonts w:ascii="宋体" w:eastAsia="宋体" w:hAnsi="宋体" w:cs="宋体"/>
        <w:spacing w:val="10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8 页</w:t>
    </w:r>
    <w:r>
      <w:rPr>
        <w:rFonts w:ascii="宋体" w:eastAsia="宋体" w:hAnsi="宋体" w:cs="宋体"/>
        <w:spacing w:val="-16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共 7</w:t>
    </w:r>
    <w:r>
      <w:rPr>
        <w:rFonts w:ascii="宋体" w:eastAsia="宋体" w:hAnsi="宋体" w:cs="宋体"/>
        <w:spacing w:val="-16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9 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670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7"/>
        <w:sz w:val="18"/>
        <w:szCs w:val="18"/>
      </w:rPr>
      <w:t>第 9</w:t>
    </w:r>
    <w:r>
      <w:rPr>
        <w:rFonts w:ascii="宋体" w:eastAsia="宋体" w:hAnsi="宋体" w:cs="宋体"/>
        <w:spacing w:val="5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页 共</w:t>
    </w:r>
    <w:r>
      <w:rPr>
        <w:rFonts w:ascii="宋体" w:eastAsia="宋体" w:hAnsi="宋体" w:cs="宋体"/>
        <w:spacing w:val="-11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7</w:t>
    </w:r>
    <w:r>
      <w:rPr>
        <w:rFonts w:ascii="宋体" w:eastAsia="宋体" w:hAnsi="宋体" w:cs="宋体"/>
        <w:spacing w:val="-16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9 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7580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7"/>
        <w:sz w:val="17"/>
        <w:szCs w:val="17"/>
      </w:rPr>
      <w:t>第 1</w:t>
    </w:r>
    <w:r>
      <w:rPr>
        <w:rFonts w:ascii="宋体" w:eastAsia="宋体" w:hAnsi="宋体" w:cs="宋体"/>
        <w:spacing w:val="-17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0 页 共</w:t>
    </w:r>
    <w:r>
      <w:rPr>
        <w:rFonts w:ascii="宋体" w:eastAsia="宋体" w:hAnsi="宋体" w:cs="宋体"/>
        <w:spacing w:val="-1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7 9</w:t>
    </w:r>
    <w:r>
      <w:rPr>
        <w:rFonts w:ascii="宋体" w:eastAsia="宋体" w:hAnsi="宋体" w:cs="宋体"/>
        <w:spacing w:val="5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7580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7"/>
        <w:sz w:val="17"/>
        <w:szCs w:val="17"/>
      </w:rPr>
      <w:t>第 1</w:t>
    </w:r>
    <w:r>
      <w:rPr>
        <w:rFonts w:ascii="宋体" w:eastAsia="宋体" w:hAnsi="宋体" w:cs="宋体"/>
        <w:spacing w:val="-17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0 页 共</w:t>
    </w:r>
    <w:r>
      <w:rPr>
        <w:rFonts w:ascii="宋体" w:eastAsia="宋体" w:hAnsi="宋体" w:cs="宋体"/>
        <w:spacing w:val="-1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7 9</w:t>
    </w:r>
    <w:r>
      <w:rPr>
        <w:rFonts w:ascii="宋体" w:eastAsia="宋体" w:hAnsi="宋体" w:cs="宋体"/>
        <w:spacing w:val="5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7580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7"/>
        <w:sz w:val="17"/>
        <w:szCs w:val="17"/>
      </w:rPr>
      <w:t>第 1</w:t>
    </w:r>
    <w:r>
      <w:rPr>
        <w:rFonts w:ascii="宋体" w:eastAsia="宋体" w:hAnsi="宋体" w:cs="宋体"/>
        <w:spacing w:val="-17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0 页 共</w:t>
    </w:r>
    <w:r>
      <w:rPr>
        <w:rFonts w:ascii="宋体" w:eastAsia="宋体" w:hAnsi="宋体" w:cs="宋体"/>
        <w:spacing w:val="-1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7 9</w:t>
    </w:r>
    <w:r>
      <w:rPr>
        <w:rFonts w:ascii="宋体" w:eastAsia="宋体" w:hAnsi="宋体" w:cs="宋体"/>
        <w:spacing w:val="5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7580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7"/>
        <w:sz w:val="17"/>
        <w:szCs w:val="17"/>
      </w:rPr>
      <w:t>第 1</w:t>
    </w:r>
    <w:r>
      <w:rPr>
        <w:rFonts w:ascii="宋体" w:eastAsia="宋体" w:hAnsi="宋体" w:cs="宋体"/>
        <w:spacing w:val="-17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0 页 共</w:t>
    </w:r>
    <w:r>
      <w:rPr>
        <w:rFonts w:ascii="宋体" w:eastAsia="宋体" w:hAnsi="宋体" w:cs="宋体"/>
        <w:spacing w:val="-1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7 9</w:t>
    </w:r>
    <w:r>
      <w:rPr>
        <w:rFonts w:ascii="宋体" w:eastAsia="宋体" w:hAnsi="宋体" w:cs="宋体"/>
        <w:spacing w:val="5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7580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7"/>
        <w:sz w:val="17"/>
        <w:szCs w:val="17"/>
      </w:rPr>
      <w:t>第 1</w:t>
    </w:r>
    <w:r>
      <w:rPr>
        <w:rFonts w:ascii="宋体" w:eastAsia="宋体" w:hAnsi="宋体" w:cs="宋体"/>
        <w:spacing w:val="-17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0 页 共</w:t>
    </w:r>
    <w:r>
      <w:rPr>
        <w:rFonts w:ascii="宋体" w:eastAsia="宋体" w:hAnsi="宋体" w:cs="宋体"/>
        <w:spacing w:val="-1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7 9</w:t>
    </w:r>
    <w:r>
      <w:rPr>
        <w:rFonts w:ascii="宋体" w:eastAsia="宋体" w:hAnsi="宋体" w:cs="宋体"/>
        <w:spacing w:val="5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69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10"/>
        <w:sz w:val="18"/>
        <w:szCs w:val="18"/>
      </w:rPr>
      <w:t>第</w:t>
    </w:r>
    <w:r>
      <w:rPr>
        <w:rFonts w:ascii="宋体" w:eastAsia="宋体" w:hAnsi="宋体" w:cs="宋体"/>
        <w:spacing w:val="-11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1</w:t>
    </w:r>
    <w:r>
      <w:rPr>
        <w:rFonts w:ascii="宋体" w:eastAsia="宋体" w:hAnsi="宋体" w:cs="宋体"/>
        <w:spacing w:val="-17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1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共</w:t>
    </w:r>
    <w:r>
      <w:rPr>
        <w:rFonts w:ascii="宋体" w:eastAsia="宋体" w:hAnsi="宋体" w:cs="宋体"/>
        <w:spacing w:val="-15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9 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69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9"/>
        <w:sz w:val="18"/>
        <w:szCs w:val="18"/>
      </w:rPr>
      <w:t>第</w:t>
    </w:r>
    <w:r>
      <w:rPr>
        <w:rFonts w:ascii="宋体" w:eastAsia="宋体" w:hAnsi="宋体" w:cs="宋体"/>
        <w:spacing w:val="-12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1</w:t>
    </w:r>
    <w:r>
      <w:rPr>
        <w:rFonts w:ascii="宋体" w:eastAsia="宋体" w:hAnsi="宋体" w:cs="宋体"/>
        <w:spacing w:val="-32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2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9 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80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9"/>
        <w:sz w:val="18"/>
        <w:szCs w:val="18"/>
      </w:rPr>
      <w:t>第</w:t>
    </w:r>
    <w:r>
      <w:rPr>
        <w:rFonts w:ascii="宋体" w:eastAsia="宋体" w:hAnsi="宋体" w:cs="宋体"/>
        <w:spacing w:val="-14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1</w:t>
    </w:r>
    <w:r>
      <w:rPr>
        <w:rFonts w:ascii="宋体" w:eastAsia="宋体" w:hAnsi="宋体" w:cs="宋体"/>
        <w:spacing w:val="-30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3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9 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80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8"/>
        <w:sz w:val="18"/>
        <w:szCs w:val="18"/>
      </w:rPr>
      <w:t>第</w:t>
    </w:r>
    <w:r>
      <w:rPr>
        <w:rFonts w:ascii="宋体" w:eastAsia="宋体" w:hAnsi="宋体" w:cs="宋体"/>
        <w:spacing w:val="-23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1</w:t>
    </w:r>
    <w:r>
      <w:rPr>
        <w:rFonts w:ascii="宋体" w:eastAsia="宋体" w:hAnsi="宋体" w:cs="宋体"/>
        <w:spacing w:val="-37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4 页 共</w:t>
    </w:r>
    <w:r>
      <w:rPr>
        <w:rFonts w:ascii="宋体" w:eastAsia="宋体" w:hAnsi="宋体" w:cs="宋体"/>
        <w:spacing w:val="-15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9 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69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9"/>
        <w:sz w:val="18"/>
        <w:szCs w:val="18"/>
      </w:rPr>
      <w:t>第</w:t>
    </w:r>
    <w:r>
      <w:rPr>
        <w:rFonts w:ascii="宋体" w:eastAsia="宋体" w:hAnsi="宋体" w:cs="宋体"/>
        <w:spacing w:val="-14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1</w:t>
    </w:r>
    <w:r>
      <w:rPr>
        <w:rFonts w:ascii="宋体" w:eastAsia="宋体" w:hAnsi="宋体" w:cs="宋体"/>
        <w:spacing w:val="-30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5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9 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69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8"/>
        <w:sz w:val="18"/>
        <w:szCs w:val="18"/>
      </w:rPr>
      <w:t>第</w:t>
    </w:r>
    <w:r>
      <w:rPr>
        <w:rFonts w:ascii="宋体" w:eastAsia="宋体" w:hAnsi="宋体" w:cs="宋体"/>
        <w:spacing w:val="-22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1</w:t>
    </w:r>
    <w:r>
      <w:rPr>
        <w:rFonts w:ascii="宋体" w:eastAsia="宋体" w:hAnsi="宋体" w:cs="宋体"/>
        <w:spacing w:val="-33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6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9 页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80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9"/>
        <w:sz w:val="18"/>
        <w:szCs w:val="18"/>
      </w:rPr>
      <w:t>第</w:t>
    </w:r>
    <w:r>
      <w:rPr>
        <w:rFonts w:ascii="宋体" w:eastAsia="宋体" w:hAnsi="宋体" w:cs="宋体"/>
        <w:spacing w:val="-14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1</w:t>
    </w:r>
    <w:r>
      <w:rPr>
        <w:rFonts w:ascii="宋体" w:eastAsia="宋体" w:hAnsi="宋体" w:cs="宋体"/>
        <w:spacing w:val="-30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7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9 页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80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8"/>
        <w:sz w:val="18"/>
        <w:szCs w:val="18"/>
      </w:rPr>
      <w:t>第</w:t>
    </w:r>
    <w:r>
      <w:rPr>
        <w:rFonts w:ascii="宋体" w:eastAsia="宋体" w:hAnsi="宋体" w:cs="宋体"/>
        <w:spacing w:val="-21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1</w:t>
    </w:r>
    <w:r>
      <w:rPr>
        <w:rFonts w:ascii="宋体" w:eastAsia="宋体" w:hAnsi="宋体" w:cs="宋体"/>
        <w:spacing w:val="-34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8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9 页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69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8"/>
        <w:sz w:val="18"/>
        <w:szCs w:val="18"/>
      </w:rPr>
      <w:t>第</w:t>
    </w:r>
    <w:r>
      <w:rPr>
        <w:rFonts w:ascii="宋体" w:eastAsia="宋体" w:hAnsi="宋体" w:cs="宋体"/>
        <w:spacing w:val="-21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1</w:t>
    </w:r>
    <w:r>
      <w:rPr>
        <w:rFonts w:ascii="宋体" w:eastAsia="宋体" w:hAnsi="宋体" w:cs="宋体"/>
        <w:spacing w:val="-34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9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9 页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7580"/>
      <w:rPr>
        <w:rFonts w:ascii="LiSu" w:eastAsia="LiSu" w:hAnsi="LiSu" w:cs="LiSu"/>
        <w:sz w:val="18"/>
        <w:szCs w:val="18"/>
      </w:rPr>
    </w:pPr>
    <w:r>
      <w:rPr>
        <w:rFonts w:ascii="LiSu" w:eastAsia="LiSu" w:hAnsi="LiSu" w:cs="LiSu"/>
        <w:spacing w:val="-7"/>
        <w:sz w:val="18"/>
        <w:szCs w:val="18"/>
      </w:rPr>
      <w:t>第</w:t>
    </w:r>
    <w:r>
      <w:rPr>
        <w:rFonts w:ascii="LiSu" w:eastAsia="LiSu" w:hAnsi="LiSu" w:cs="LiSu"/>
        <w:spacing w:val="-29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2</w:t>
    </w:r>
    <w:r>
      <w:rPr>
        <w:rFonts w:ascii="LiSu" w:eastAsia="LiSu" w:hAnsi="LiSu" w:cs="LiSu"/>
        <w:spacing w:val="-34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0 页</w:t>
    </w:r>
    <w:r>
      <w:rPr>
        <w:rFonts w:ascii="LiSu" w:eastAsia="LiSu" w:hAnsi="LiSu" w:cs="LiSu"/>
        <w:spacing w:val="-22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共 7</w:t>
    </w:r>
    <w:r>
      <w:rPr>
        <w:rFonts w:ascii="LiSu" w:eastAsia="LiSu" w:hAnsi="LiSu" w:cs="LiSu"/>
        <w:spacing w:val="-20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9 页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7580"/>
      <w:rPr>
        <w:rFonts w:ascii="LiSu" w:eastAsia="LiSu" w:hAnsi="LiSu" w:cs="LiSu"/>
        <w:sz w:val="18"/>
        <w:szCs w:val="18"/>
      </w:rPr>
    </w:pPr>
    <w:r>
      <w:rPr>
        <w:rFonts w:ascii="LiSu" w:eastAsia="LiSu" w:hAnsi="LiSu" w:cs="LiSu"/>
        <w:spacing w:val="-7"/>
        <w:sz w:val="18"/>
        <w:szCs w:val="18"/>
      </w:rPr>
      <w:t>第</w:t>
    </w:r>
    <w:r>
      <w:rPr>
        <w:rFonts w:ascii="LiSu" w:eastAsia="LiSu" w:hAnsi="LiSu" w:cs="LiSu"/>
        <w:spacing w:val="-29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2</w:t>
    </w:r>
    <w:r>
      <w:rPr>
        <w:rFonts w:ascii="LiSu" w:eastAsia="LiSu" w:hAnsi="LiSu" w:cs="LiSu"/>
        <w:spacing w:val="-34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0 页</w:t>
    </w:r>
    <w:r>
      <w:rPr>
        <w:rFonts w:ascii="LiSu" w:eastAsia="LiSu" w:hAnsi="LiSu" w:cs="LiSu"/>
        <w:spacing w:val="-22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共 7</w:t>
    </w:r>
    <w:r>
      <w:rPr>
        <w:rFonts w:ascii="LiSu" w:eastAsia="LiSu" w:hAnsi="LiSu" w:cs="LiSu"/>
        <w:spacing w:val="-20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9 页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7580"/>
      <w:rPr>
        <w:rFonts w:ascii="LiSu" w:eastAsia="LiSu" w:hAnsi="LiSu" w:cs="LiSu"/>
        <w:sz w:val="18"/>
        <w:szCs w:val="18"/>
      </w:rPr>
    </w:pPr>
    <w:r>
      <w:rPr>
        <w:rFonts w:ascii="LiSu" w:eastAsia="LiSu" w:hAnsi="LiSu" w:cs="LiSu"/>
        <w:spacing w:val="-7"/>
        <w:sz w:val="18"/>
        <w:szCs w:val="18"/>
      </w:rPr>
      <w:t>第</w:t>
    </w:r>
    <w:r>
      <w:rPr>
        <w:rFonts w:ascii="LiSu" w:eastAsia="LiSu" w:hAnsi="LiSu" w:cs="LiSu"/>
        <w:spacing w:val="-29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2</w:t>
    </w:r>
    <w:r>
      <w:rPr>
        <w:rFonts w:ascii="LiSu" w:eastAsia="LiSu" w:hAnsi="LiSu" w:cs="LiSu"/>
        <w:spacing w:val="-34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0 页</w:t>
    </w:r>
    <w:r>
      <w:rPr>
        <w:rFonts w:ascii="LiSu" w:eastAsia="LiSu" w:hAnsi="LiSu" w:cs="LiSu"/>
        <w:spacing w:val="-22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共 7</w:t>
    </w:r>
    <w:r>
      <w:rPr>
        <w:rFonts w:ascii="LiSu" w:eastAsia="LiSu" w:hAnsi="LiSu" w:cs="LiSu"/>
        <w:spacing w:val="-20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9 页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7580"/>
      <w:rPr>
        <w:rFonts w:ascii="LiSu" w:eastAsia="LiSu" w:hAnsi="LiSu" w:cs="LiSu"/>
        <w:sz w:val="18"/>
        <w:szCs w:val="18"/>
      </w:rPr>
    </w:pPr>
    <w:r>
      <w:rPr>
        <w:rFonts w:ascii="LiSu" w:eastAsia="LiSu" w:hAnsi="LiSu" w:cs="LiSu"/>
        <w:spacing w:val="-7"/>
        <w:sz w:val="18"/>
        <w:szCs w:val="18"/>
      </w:rPr>
      <w:t>第</w:t>
    </w:r>
    <w:r>
      <w:rPr>
        <w:rFonts w:ascii="LiSu" w:eastAsia="LiSu" w:hAnsi="LiSu" w:cs="LiSu"/>
        <w:spacing w:val="-29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2</w:t>
    </w:r>
    <w:r>
      <w:rPr>
        <w:rFonts w:ascii="LiSu" w:eastAsia="LiSu" w:hAnsi="LiSu" w:cs="LiSu"/>
        <w:spacing w:val="-34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0 页</w:t>
    </w:r>
    <w:r>
      <w:rPr>
        <w:rFonts w:ascii="LiSu" w:eastAsia="LiSu" w:hAnsi="LiSu" w:cs="LiSu"/>
        <w:spacing w:val="-22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共 7</w:t>
    </w:r>
    <w:r>
      <w:rPr>
        <w:rFonts w:ascii="LiSu" w:eastAsia="LiSu" w:hAnsi="LiSu" w:cs="LiSu"/>
        <w:spacing w:val="-20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9 页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7580"/>
      <w:rPr>
        <w:rFonts w:ascii="LiSu" w:eastAsia="LiSu" w:hAnsi="LiSu" w:cs="LiSu"/>
        <w:sz w:val="18"/>
        <w:szCs w:val="18"/>
      </w:rPr>
    </w:pPr>
    <w:r>
      <w:rPr>
        <w:rFonts w:ascii="LiSu" w:eastAsia="LiSu" w:hAnsi="LiSu" w:cs="LiSu"/>
        <w:spacing w:val="-7"/>
        <w:sz w:val="18"/>
        <w:szCs w:val="18"/>
      </w:rPr>
      <w:t>第</w:t>
    </w:r>
    <w:r>
      <w:rPr>
        <w:rFonts w:ascii="LiSu" w:eastAsia="LiSu" w:hAnsi="LiSu" w:cs="LiSu"/>
        <w:spacing w:val="-29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2</w:t>
    </w:r>
    <w:r>
      <w:rPr>
        <w:rFonts w:ascii="LiSu" w:eastAsia="LiSu" w:hAnsi="LiSu" w:cs="LiSu"/>
        <w:spacing w:val="-34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0 页</w:t>
    </w:r>
    <w:r>
      <w:rPr>
        <w:rFonts w:ascii="LiSu" w:eastAsia="LiSu" w:hAnsi="LiSu" w:cs="LiSu"/>
        <w:spacing w:val="-22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共 7</w:t>
    </w:r>
    <w:r>
      <w:rPr>
        <w:rFonts w:ascii="LiSu" w:eastAsia="LiSu" w:hAnsi="LiSu" w:cs="LiSu"/>
        <w:spacing w:val="-20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9 页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7580"/>
      <w:rPr>
        <w:rFonts w:ascii="LiSu" w:eastAsia="LiSu" w:hAnsi="LiSu" w:cs="LiSu"/>
        <w:sz w:val="18"/>
        <w:szCs w:val="18"/>
      </w:rPr>
    </w:pPr>
    <w:r>
      <w:rPr>
        <w:rFonts w:ascii="LiSu" w:eastAsia="LiSu" w:hAnsi="LiSu" w:cs="LiSu"/>
        <w:spacing w:val="-7"/>
        <w:sz w:val="18"/>
        <w:szCs w:val="18"/>
      </w:rPr>
      <w:t>第</w:t>
    </w:r>
    <w:r>
      <w:rPr>
        <w:rFonts w:ascii="LiSu" w:eastAsia="LiSu" w:hAnsi="LiSu" w:cs="LiSu"/>
        <w:spacing w:val="-29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2</w:t>
    </w:r>
    <w:r>
      <w:rPr>
        <w:rFonts w:ascii="LiSu" w:eastAsia="LiSu" w:hAnsi="LiSu" w:cs="LiSu"/>
        <w:spacing w:val="-34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0 页</w:t>
    </w:r>
    <w:r>
      <w:rPr>
        <w:rFonts w:ascii="LiSu" w:eastAsia="LiSu" w:hAnsi="LiSu" w:cs="LiSu"/>
        <w:spacing w:val="-22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共 7</w:t>
    </w:r>
    <w:r>
      <w:rPr>
        <w:rFonts w:ascii="LiSu" w:eastAsia="LiSu" w:hAnsi="LiSu" w:cs="LiSu"/>
        <w:spacing w:val="-20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9 页</w: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7580"/>
      <w:rPr>
        <w:rFonts w:ascii="LiSu" w:eastAsia="LiSu" w:hAnsi="LiSu" w:cs="LiSu"/>
        <w:sz w:val="18"/>
        <w:szCs w:val="18"/>
      </w:rPr>
    </w:pPr>
    <w:r>
      <w:rPr>
        <w:rFonts w:ascii="LiSu" w:eastAsia="LiSu" w:hAnsi="LiSu" w:cs="LiSu"/>
        <w:spacing w:val="-7"/>
        <w:sz w:val="18"/>
        <w:szCs w:val="18"/>
      </w:rPr>
      <w:t>第</w:t>
    </w:r>
    <w:r>
      <w:rPr>
        <w:rFonts w:ascii="LiSu" w:eastAsia="LiSu" w:hAnsi="LiSu" w:cs="LiSu"/>
        <w:spacing w:val="-29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2</w:t>
    </w:r>
    <w:r>
      <w:rPr>
        <w:rFonts w:ascii="LiSu" w:eastAsia="LiSu" w:hAnsi="LiSu" w:cs="LiSu"/>
        <w:spacing w:val="-34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0 页</w:t>
    </w:r>
    <w:r>
      <w:rPr>
        <w:rFonts w:ascii="LiSu" w:eastAsia="LiSu" w:hAnsi="LiSu" w:cs="LiSu"/>
        <w:spacing w:val="-22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共 7</w:t>
    </w:r>
    <w:r>
      <w:rPr>
        <w:rFonts w:ascii="LiSu" w:eastAsia="LiSu" w:hAnsi="LiSu" w:cs="LiSu"/>
        <w:spacing w:val="-20"/>
        <w:sz w:val="18"/>
        <w:szCs w:val="18"/>
      </w:rPr>
      <w:t xml:space="preserve"> </w:t>
    </w:r>
    <w:r>
      <w:rPr>
        <w:rFonts w:ascii="LiSu" w:eastAsia="LiSu" w:hAnsi="LiSu" w:cs="LiSu"/>
        <w:spacing w:val="-7"/>
        <w:sz w:val="18"/>
        <w:szCs w:val="18"/>
      </w:rPr>
      <w:t>9 页</w: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79"/>
      <w:rPr>
        <w:rFonts w:ascii="宋体" w:eastAsia="宋体" w:hAnsi="宋体" w:cs="宋体"/>
        <w:sz w:val="19"/>
        <w:szCs w:val="19"/>
      </w:rPr>
    </w:pPr>
    <w:r>
      <w:rPr>
        <w:rFonts w:ascii="宋体" w:eastAsia="宋体" w:hAnsi="宋体" w:cs="宋体"/>
        <w:spacing w:val="3"/>
        <w:sz w:val="19"/>
        <w:szCs w:val="19"/>
      </w:rPr>
      <w:t>第21</w:t>
    </w:r>
    <w:r>
      <w:rPr>
        <w:rFonts w:ascii="宋体" w:eastAsia="宋体" w:hAnsi="宋体" w:cs="宋体"/>
        <w:spacing w:val="-8"/>
        <w:sz w:val="19"/>
        <w:szCs w:val="19"/>
      </w:rPr>
      <w:t xml:space="preserve"> </w:t>
    </w:r>
    <w:r>
      <w:rPr>
        <w:rFonts w:ascii="宋体" w:eastAsia="宋体" w:hAnsi="宋体" w:cs="宋体"/>
        <w:spacing w:val="3"/>
        <w:sz w:val="19"/>
        <w:szCs w:val="19"/>
      </w:rPr>
      <w:t>页</w:t>
    </w:r>
    <w:r>
      <w:rPr>
        <w:rFonts w:ascii="宋体" w:eastAsia="宋体" w:hAnsi="宋体" w:cs="宋体"/>
        <w:spacing w:val="-34"/>
        <w:sz w:val="19"/>
        <w:szCs w:val="19"/>
      </w:rPr>
      <w:t xml:space="preserve"> </w:t>
    </w:r>
    <w:r>
      <w:rPr>
        <w:rFonts w:ascii="宋体" w:eastAsia="宋体" w:hAnsi="宋体" w:cs="宋体"/>
        <w:spacing w:val="3"/>
        <w:sz w:val="19"/>
        <w:szCs w:val="19"/>
      </w:rPr>
      <w:t>共</w:t>
    </w:r>
    <w:r>
      <w:rPr>
        <w:rFonts w:ascii="宋体" w:eastAsia="宋体" w:hAnsi="宋体" w:cs="宋体"/>
        <w:spacing w:val="-29"/>
        <w:sz w:val="19"/>
        <w:szCs w:val="19"/>
      </w:rPr>
      <w:t xml:space="preserve"> </w:t>
    </w:r>
    <w:r>
      <w:rPr>
        <w:rFonts w:ascii="宋体" w:eastAsia="宋体" w:hAnsi="宋体" w:cs="宋体"/>
        <w:spacing w:val="3"/>
        <w:sz w:val="19"/>
        <w:szCs w:val="19"/>
      </w:rPr>
      <w:t>7</w:t>
    </w:r>
    <w:r>
      <w:rPr>
        <w:rFonts w:ascii="宋体" w:eastAsia="宋体" w:hAnsi="宋体" w:cs="宋体"/>
        <w:spacing w:val="-33"/>
        <w:sz w:val="19"/>
        <w:szCs w:val="19"/>
      </w:rPr>
      <w:t xml:space="preserve"> </w:t>
    </w:r>
    <w:r>
      <w:rPr>
        <w:rFonts w:ascii="宋体" w:eastAsia="宋体" w:hAnsi="宋体" w:cs="宋体"/>
        <w:spacing w:val="3"/>
        <w:sz w:val="19"/>
        <w:szCs w:val="19"/>
      </w:rPr>
      <w:t>9 页</w: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79"/>
      <w:rPr>
        <w:rFonts w:ascii="宋体" w:eastAsia="宋体" w:hAnsi="宋体" w:cs="宋体"/>
        <w:sz w:val="19"/>
        <w:szCs w:val="19"/>
      </w:rPr>
    </w:pPr>
    <w:r>
      <w:rPr>
        <w:rFonts w:ascii="宋体" w:eastAsia="宋体" w:hAnsi="宋体" w:cs="宋体"/>
        <w:spacing w:val="2"/>
        <w:sz w:val="19"/>
        <w:szCs w:val="19"/>
      </w:rPr>
      <w:t>第22 页</w:t>
    </w:r>
    <w:r>
      <w:rPr>
        <w:rFonts w:ascii="宋体" w:eastAsia="宋体" w:hAnsi="宋体" w:cs="宋体"/>
        <w:spacing w:val="-27"/>
        <w:sz w:val="19"/>
        <w:szCs w:val="19"/>
      </w:rPr>
      <w:t xml:space="preserve"> </w:t>
    </w:r>
    <w:r>
      <w:rPr>
        <w:rFonts w:ascii="宋体" w:eastAsia="宋体" w:hAnsi="宋体" w:cs="宋体"/>
        <w:spacing w:val="2"/>
        <w:sz w:val="19"/>
        <w:szCs w:val="19"/>
      </w:rPr>
      <w:t>共</w:t>
    </w:r>
    <w:r>
      <w:rPr>
        <w:rFonts w:ascii="宋体" w:eastAsia="宋体" w:hAnsi="宋体" w:cs="宋体"/>
        <w:spacing w:val="-29"/>
        <w:sz w:val="19"/>
        <w:szCs w:val="19"/>
      </w:rPr>
      <w:t xml:space="preserve"> </w:t>
    </w:r>
    <w:r>
      <w:rPr>
        <w:rFonts w:ascii="宋体" w:eastAsia="宋体" w:hAnsi="宋体" w:cs="宋体"/>
        <w:spacing w:val="2"/>
        <w:sz w:val="19"/>
        <w:szCs w:val="19"/>
      </w:rPr>
      <w:t>7</w:t>
    </w:r>
    <w:r>
      <w:rPr>
        <w:rFonts w:ascii="宋体" w:eastAsia="宋体" w:hAnsi="宋体" w:cs="宋体"/>
        <w:spacing w:val="-33"/>
        <w:sz w:val="19"/>
        <w:szCs w:val="19"/>
      </w:rPr>
      <w:t xml:space="preserve"> </w:t>
    </w:r>
    <w:r>
      <w:rPr>
        <w:rFonts w:ascii="宋体" w:eastAsia="宋体" w:hAnsi="宋体" w:cs="宋体"/>
        <w:spacing w:val="2"/>
        <w:sz w:val="19"/>
        <w:szCs w:val="19"/>
      </w:rPr>
      <w:t>9</w:t>
    </w:r>
    <w:r>
      <w:rPr>
        <w:rFonts w:ascii="宋体" w:eastAsia="宋体" w:hAnsi="宋体" w:cs="宋体"/>
        <w:spacing w:val="-6"/>
        <w:sz w:val="19"/>
        <w:szCs w:val="19"/>
      </w:rPr>
      <w:t xml:space="preserve"> </w:t>
    </w:r>
    <w:r>
      <w:rPr>
        <w:rFonts w:ascii="宋体" w:eastAsia="宋体" w:hAnsi="宋体" w:cs="宋体"/>
        <w:spacing w:val="2"/>
        <w:sz w:val="19"/>
        <w:szCs w:val="19"/>
      </w:rPr>
      <w:t>页</w: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80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8"/>
        <w:sz w:val="18"/>
        <w:szCs w:val="18"/>
      </w:rPr>
      <w:t>第</w:t>
    </w:r>
    <w:r>
      <w:rPr>
        <w:rFonts w:ascii="宋体" w:eastAsia="宋体" w:hAnsi="宋体" w:cs="宋体"/>
        <w:spacing w:val="-25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2</w:t>
    </w:r>
    <w:r>
      <w:rPr>
        <w:rFonts w:ascii="宋体" w:eastAsia="宋体" w:hAnsi="宋体" w:cs="宋体"/>
        <w:spacing w:val="-30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3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9 页</w: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7569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7"/>
        <w:sz w:val="17"/>
        <w:szCs w:val="17"/>
      </w:rPr>
      <w:t>第</w:t>
    </w:r>
    <w:r>
      <w:rPr>
        <w:rFonts w:ascii="宋体" w:eastAsia="宋体" w:hAnsi="宋体" w:cs="宋体"/>
        <w:spacing w:val="-11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2</w:t>
    </w:r>
    <w:r>
      <w:rPr>
        <w:rFonts w:ascii="宋体" w:eastAsia="宋体" w:hAnsi="宋体" w:cs="宋体"/>
        <w:spacing w:val="-23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4</w:t>
    </w:r>
    <w:r>
      <w:rPr>
        <w:rFonts w:ascii="宋体" w:eastAsia="宋体" w:hAnsi="宋体" w:cs="宋体"/>
        <w:spacing w:val="9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页 共 7 9</w:t>
    </w:r>
    <w:r>
      <w:rPr>
        <w:rFonts w:ascii="宋体" w:eastAsia="宋体" w:hAnsi="宋体" w:cs="宋体"/>
        <w:spacing w:val="5"/>
        <w:sz w:val="17"/>
        <w:szCs w:val="17"/>
      </w:rPr>
      <w:t xml:space="preserve"> </w:t>
    </w:r>
    <w:r>
      <w:rPr>
        <w:rFonts w:ascii="宋体" w:eastAsia="宋体" w:hAnsi="宋体" w:cs="宋体"/>
        <w:spacing w:val="-7"/>
        <w:sz w:val="17"/>
        <w:szCs w:val="17"/>
      </w:rPr>
      <w:t>页</w: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" w:line="210" w:lineRule="auto"/>
      <w:ind w:left="7580"/>
      <w:rPr>
        <w:rFonts w:ascii="宋体" w:eastAsia="宋体" w:hAnsi="宋体" w:cs="宋体"/>
        <w:sz w:val="22"/>
        <w:szCs w:val="22"/>
      </w:rPr>
    </w:pPr>
    <w:r>
      <w:rPr>
        <w:rFonts w:ascii="宋体" w:eastAsia="宋体" w:hAnsi="宋体" w:cs="宋体"/>
        <w:spacing w:val="9"/>
        <w:sz w:val="22"/>
        <w:szCs w:val="22"/>
      </w:rPr>
      <w:t>第25</w:t>
    </w:r>
    <w:r>
      <w:rPr>
        <w:rFonts w:ascii="宋体" w:eastAsia="宋体" w:hAnsi="宋体" w:cs="宋体"/>
        <w:spacing w:val="-21"/>
        <w:sz w:val="22"/>
        <w:szCs w:val="22"/>
      </w:rPr>
      <w:t xml:space="preserve"> </w:t>
    </w:r>
    <w:r>
      <w:rPr>
        <w:rFonts w:ascii="宋体" w:eastAsia="宋体" w:hAnsi="宋体" w:cs="宋体"/>
        <w:spacing w:val="9"/>
        <w:sz w:val="22"/>
        <w:szCs w:val="22"/>
      </w:rPr>
      <w:t>页共79</w:t>
    </w:r>
    <w:r>
      <w:rPr>
        <w:rFonts w:ascii="宋体" w:eastAsia="宋体" w:hAnsi="宋体" w:cs="宋体"/>
        <w:spacing w:val="-23"/>
        <w:sz w:val="22"/>
        <w:szCs w:val="22"/>
      </w:rPr>
      <w:t xml:space="preserve"> </w:t>
    </w:r>
    <w:r>
      <w:rPr>
        <w:rFonts w:ascii="宋体" w:eastAsia="宋体" w:hAnsi="宋体" w:cs="宋体"/>
        <w:spacing w:val="9"/>
        <w:sz w:val="22"/>
        <w:szCs w:val="22"/>
      </w:rPr>
      <w:t>页</w: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69"/>
      <w:rPr>
        <w:rFonts w:ascii="宋体" w:eastAsia="宋体" w:hAnsi="宋体" w:cs="宋体"/>
        <w:sz w:val="19"/>
        <w:szCs w:val="19"/>
      </w:rPr>
    </w:pPr>
    <w:r>
      <w:rPr>
        <w:rFonts w:ascii="宋体" w:eastAsia="宋体" w:hAnsi="宋体" w:cs="宋体"/>
        <w:spacing w:val="2"/>
        <w:sz w:val="19"/>
        <w:szCs w:val="19"/>
      </w:rPr>
      <w:t>第26 页</w:t>
    </w:r>
    <w:r>
      <w:rPr>
        <w:rFonts w:ascii="宋体" w:eastAsia="宋体" w:hAnsi="宋体" w:cs="宋体"/>
        <w:spacing w:val="-27"/>
        <w:sz w:val="19"/>
        <w:szCs w:val="19"/>
      </w:rPr>
      <w:t xml:space="preserve"> </w:t>
    </w:r>
    <w:r>
      <w:rPr>
        <w:rFonts w:ascii="宋体" w:eastAsia="宋体" w:hAnsi="宋体" w:cs="宋体"/>
        <w:spacing w:val="2"/>
        <w:sz w:val="19"/>
        <w:szCs w:val="19"/>
      </w:rPr>
      <w:t>共</w:t>
    </w:r>
    <w:r>
      <w:rPr>
        <w:rFonts w:ascii="宋体" w:eastAsia="宋体" w:hAnsi="宋体" w:cs="宋体"/>
        <w:spacing w:val="-29"/>
        <w:sz w:val="19"/>
        <w:szCs w:val="19"/>
      </w:rPr>
      <w:t xml:space="preserve"> </w:t>
    </w:r>
    <w:r>
      <w:rPr>
        <w:rFonts w:ascii="宋体" w:eastAsia="宋体" w:hAnsi="宋体" w:cs="宋体"/>
        <w:spacing w:val="2"/>
        <w:sz w:val="19"/>
        <w:szCs w:val="19"/>
      </w:rPr>
      <w:t>7</w:t>
    </w:r>
    <w:r>
      <w:rPr>
        <w:rFonts w:ascii="宋体" w:eastAsia="宋体" w:hAnsi="宋体" w:cs="宋体"/>
        <w:spacing w:val="-33"/>
        <w:sz w:val="19"/>
        <w:szCs w:val="19"/>
      </w:rPr>
      <w:t xml:space="preserve"> </w:t>
    </w:r>
    <w:r>
      <w:rPr>
        <w:rFonts w:ascii="宋体" w:eastAsia="宋体" w:hAnsi="宋体" w:cs="宋体"/>
        <w:spacing w:val="2"/>
        <w:sz w:val="19"/>
        <w:szCs w:val="19"/>
      </w:rPr>
      <w:t>9</w:t>
    </w:r>
    <w:r>
      <w:rPr>
        <w:rFonts w:ascii="宋体" w:eastAsia="宋体" w:hAnsi="宋体" w:cs="宋体"/>
        <w:spacing w:val="-6"/>
        <w:sz w:val="19"/>
        <w:szCs w:val="19"/>
      </w:rPr>
      <w:t xml:space="preserve"> </w:t>
    </w:r>
    <w:r>
      <w:rPr>
        <w:rFonts w:ascii="宋体" w:eastAsia="宋体" w:hAnsi="宋体" w:cs="宋体"/>
        <w:spacing w:val="2"/>
        <w:sz w:val="19"/>
        <w:szCs w:val="19"/>
      </w:rPr>
      <w:t>页</w: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69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8"/>
        <w:sz w:val="18"/>
        <w:szCs w:val="18"/>
      </w:rPr>
      <w:t>第</w:t>
    </w:r>
    <w:r>
      <w:rPr>
        <w:rFonts w:ascii="宋体" w:eastAsia="宋体" w:hAnsi="宋体" w:cs="宋体"/>
        <w:spacing w:val="-25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2</w:t>
    </w:r>
    <w:r>
      <w:rPr>
        <w:rFonts w:ascii="宋体" w:eastAsia="宋体" w:hAnsi="宋体" w:cs="宋体"/>
        <w:spacing w:val="-30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7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9 页</w: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80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7"/>
        <w:sz w:val="18"/>
        <w:szCs w:val="18"/>
      </w:rPr>
      <w:t>第</w:t>
    </w:r>
    <w:r>
      <w:rPr>
        <w:rFonts w:ascii="宋体" w:eastAsia="宋体" w:hAnsi="宋体" w:cs="宋体"/>
        <w:spacing w:val="-32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2</w:t>
    </w:r>
    <w:r>
      <w:rPr>
        <w:rFonts w:ascii="宋体" w:eastAsia="宋体" w:hAnsi="宋体" w:cs="宋体"/>
        <w:spacing w:val="-34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8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9 页</w: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69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7"/>
        <w:sz w:val="18"/>
        <w:szCs w:val="18"/>
      </w:rPr>
      <w:t>第</w:t>
    </w:r>
    <w:r>
      <w:rPr>
        <w:rFonts w:ascii="宋体" w:eastAsia="宋体" w:hAnsi="宋体" w:cs="宋体"/>
        <w:spacing w:val="-32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2</w:t>
    </w:r>
    <w:r>
      <w:rPr>
        <w:rFonts w:ascii="宋体" w:eastAsia="宋体" w:hAnsi="宋体" w:cs="宋体"/>
        <w:spacing w:val="-34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9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9 页</w: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69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7"/>
        <w:sz w:val="18"/>
        <w:szCs w:val="18"/>
      </w:rPr>
      <w:t>第</w:t>
    </w:r>
    <w:r>
      <w:rPr>
        <w:rFonts w:ascii="宋体" w:eastAsia="宋体" w:hAnsi="宋体" w:cs="宋体"/>
        <w:spacing w:val="-32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3</w:t>
    </w:r>
    <w:r>
      <w:rPr>
        <w:rFonts w:ascii="宋体" w:eastAsia="宋体" w:hAnsi="宋体" w:cs="宋体"/>
        <w:spacing w:val="-34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0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9 页</w: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80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9"/>
        <w:sz w:val="18"/>
        <w:szCs w:val="18"/>
      </w:rPr>
      <w:t>第</w:t>
    </w:r>
    <w:r>
      <w:rPr>
        <w:rFonts w:ascii="宋体" w:eastAsia="宋体" w:hAnsi="宋体" w:cs="宋体"/>
        <w:spacing w:val="-21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3</w:t>
    </w:r>
    <w:r>
      <w:rPr>
        <w:rFonts w:ascii="宋体" w:eastAsia="宋体" w:hAnsi="宋体" w:cs="宋体"/>
        <w:spacing w:val="-17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1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共</w:t>
    </w:r>
    <w:r>
      <w:rPr>
        <w:rFonts w:ascii="宋体" w:eastAsia="宋体" w:hAnsi="宋体" w:cs="宋体"/>
        <w:spacing w:val="-15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9"/>
        <w:sz w:val="18"/>
        <w:szCs w:val="18"/>
      </w:rPr>
      <w:t>9 页</w: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69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8"/>
        <w:sz w:val="18"/>
        <w:szCs w:val="18"/>
      </w:rPr>
      <w:t>第</w:t>
    </w:r>
    <w:r>
      <w:rPr>
        <w:rFonts w:ascii="宋体" w:eastAsia="宋体" w:hAnsi="宋体" w:cs="宋体"/>
        <w:spacing w:val="-23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3</w:t>
    </w:r>
    <w:r>
      <w:rPr>
        <w:rFonts w:ascii="宋体" w:eastAsia="宋体" w:hAnsi="宋体" w:cs="宋体"/>
        <w:spacing w:val="-32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2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9 页</w: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80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8"/>
        <w:sz w:val="18"/>
        <w:szCs w:val="18"/>
      </w:rPr>
      <w:t>第</w:t>
    </w:r>
    <w:r>
      <w:rPr>
        <w:rFonts w:ascii="宋体" w:eastAsia="宋体" w:hAnsi="宋体" w:cs="宋体"/>
        <w:spacing w:val="-25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3</w:t>
    </w:r>
    <w:r>
      <w:rPr>
        <w:rFonts w:ascii="宋体" w:eastAsia="宋体" w:hAnsi="宋体" w:cs="宋体"/>
        <w:spacing w:val="-30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3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9 页</w:t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80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7"/>
        <w:sz w:val="18"/>
        <w:szCs w:val="18"/>
      </w:rPr>
      <w:t>第</w:t>
    </w:r>
    <w:r>
      <w:rPr>
        <w:rFonts w:ascii="宋体" w:eastAsia="宋体" w:hAnsi="宋体" w:cs="宋体"/>
        <w:spacing w:val="-29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3</w:t>
    </w:r>
    <w:r>
      <w:rPr>
        <w:rFonts w:ascii="宋体" w:eastAsia="宋体" w:hAnsi="宋体" w:cs="宋体"/>
        <w:spacing w:val="-37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4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7"/>
        <w:sz w:val="18"/>
        <w:szCs w:val="18"/>
      </w:rPr>
      <w:t>9 页</w:t>
    </w: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9" w:lineRule="auto"/>
      <w:ind w:left="7580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8"/>
        <w:sz w:val="18"/>
        <w:szCs w:val="18"/>
      </w:rPr>
      <w:t>第</w:t>
    </w:r>
    <w:r>
      <w:rPr>
        <w:rFonts w:ascii="宋体" w:eastAsia="宋体" w:hAnsi="宋体" w:cs="宋体"/>
        <w:spacing w:val="-25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3</w:t>
    </w:r>
    <w:r>
      <w:rPr>
        <w:rFonts w:ascii="宋体" w:eastAsia="宋体" w:hAnsi="宋体" w:cs="宋体"/>
        <w:spacing w:val="-30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5 页</w:t>
    </w:r>
    <w:r>
      <w:rPr>
        <w:rFonts w:ascii="宋体" w:eastAsia="宋体" w:hAnsi="宋体" w:cs="宋体"/>
        <w:spacing w:val="-20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共 7</w:t>
    </w:r>
    <w:r>
      <w:rPr>
        <w:rFonts w:ascii="宋体" w:eastAsia="宋体" w:hAnsi="宋体" w:cs="宋体"/>
        <w:spacing w:val="-19"/>
        <w:sz w:val="18"/>
        <w:szCs w:val="18"/>
      </w:rPr>
      <w:t xml:space="preserve"> </w:t>
    </w:r>
    <w:r>
      <w:rPr>
        <w:rFonts w:ascii="宋体" w:eastAsia="宋体" w:hAnsi="宋体" w:cs="宋体"/>
        <w:spacing w:val="-8"/>
        <w:sz w:val="18"/>
        <w:szCs w:val="18"/>
      </w:rPr>
      <w:t>9 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47FC7E9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4"/>
      <w:szCs w:val="24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_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_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_1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_1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_1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_1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_1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_1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_1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_1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_1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_1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_2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_2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_2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3">
    <w:name w:val="Table Normal_2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4">
    <w:name w:val="Table Normal_2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5">
    <w:name w:val="Table Normal_2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6">
    <w:name w:val="Table Normal_2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7">
    <w:name w:val="Table Normal_2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image" Target="media/image1.jpeg" /><Relationship Id="rId14" Type="http://schemas.openxmlformats.org/officeDocument/2006/relationships/footer" Target="footer10.xml" /><Relationship Id="rId15" Type="http://schemas.openxmlformats.org/officeDocument/2006/relationships/footer" Target="footer11.xml" /><Relationship Id="rId16" Type="http://schemas.openxmlformats.org/officeDocument/2006/relationships/image" Target="media/image2.png" /><Relationship Id="rId17" Type="http://schemas.openxmlformats.org/officeDocument/2006/relationships/footer" Target="footer12.xml" /><Relationship Id="rId18" Type="http://schemas.openxmlformats.org/officeDocument/2006/relationships/image" Target="media/image3.jpeg" /><Relationship Id="rId19" Type="http://schemas.openxmlformats.org/officeDocument/2006/relationships/image" Target="media/image4.jpeg" /><Relationship Id="rId2" Type="http://schemas.openxmlformats.org/officeDocument/2006/relationships/webSettings" Target="webSettings.xml" /><Relationship Id="rId20" Type="http://schemas.openxmlformats.org/officeDocument/2006/relationships/footer" Target="footer13.xml" /><Relationship Id="rId21" Type="http://schemas.openxmlformats.org/officeDocument/2006/relationships/footer" Target="footer14.xml" /><Relationship Id="rId22" Type="http://schemas.openxmlformats.org/officeDocument/2006/relationships/footer" Target="footer15.xml" /><Relationship Id="rId23" Type="http://schemas.openxmlformats.org/officeDocument/2006/relationships/footer" Target="footer16.xml" /><Relationship Id="rId24" Type="http://schemas.openxmlformats.org/officeDocument/2006/relationships/footer" Target="footer17.xml" /><Relationship Id="rId25" Type="http://schemas.openxmlformats.org/officeDocument/2006/relationships/footer" Target="footer18.xml" /><Relationship Id="rId26" Type="http://schemas.openxmlformats.org/officeDocument/2006/relationships/footer" Target="footer19.xml" /><Relationship Id="rId27" Type="http://schemas.openxmlformats.org/officeDocument/2006/relationships/footer" Target="footer20.xml" /><Relationship Id="rId28" Type="http://schemas.openxmlformats.org/officeDocument/2006/relationships/footer" Target="footer21.xml" /><Relationship Id="rId29" Type="http://schemas.openxmlformats.org/officeDocument/2006/relationships/footer" Target="footer22.xml" /><Relationship Id="rId3" Type="http://schemas.openxmlformats.org/officeDocument/2006/relationships/fontTable" Target="fontTable.xml" /><Relationship Id="rId30" Type="http://schemas.openxmlformats.org/officeDocument/2006/relationships/footer" Target="footer23.xml" /><Relationship Id="rId31" Type="http://schemas.openxmlformats.org/officeDocument/2006/relationships/image" Target="media/image5.jpeg" /><Relationship Id="rId32" Type="http://schemas.openxmlformats.org/officeDocument/2006/relationships/footer" Target="footer24.xml" /><Relationship Id="rId33" Type="http://schemas.openxmlformats.org/officeDocument/2006/relationships/footer" Target="footer25.xml" /><Relationship Id="rId34" Type="http://schemas.openxmlformats.org/officeDocument/2006/relationships/footer" Target="footer26.xml" /><Relationship Id="rId35" Type="http://schemas.openxmlformats.org/officeDocument/2006/relationships/footer" Target="footer27.xml" /><Relationship Id="rId36" Type="http://schemas.openxmlformats.org/officeDocument/2006/relationships/footer" Target="footer28.xml" /><Relationship Id="rId37" Type="http://schemas.openxmlformats.org/officeDocument/2006/relationships/footer" Target="footer29.xml" /><Relationship Id="rId38" Type="http://schemas.openxmlformats.org/officeDocument/2006/relationships/image" Target="media/image6.jpeg" /><Relationship Id="rId39" Type="http://schemas.openxmlformats.org/officeDocument/2006/relationships/footer" Target="footer30.xml" /><Relationship Id="rId4" Type="http://schemas.openxmlformats.org/officeDocument/2006/relationships/footer" Target="footer1.xml" /><Relationship Id="rId40" Type="http://schemas.openxmlformats.org/officeDocument/2006/relationships/image" Target="media/image7.jpeg" /><Relationship Id="rId41" Type="http://schemas.openxmlformats.org/officeDocument/2006/relationships/footer" Target="footer31.xml" /><Relationship Id="rId42" Type="http://schemas.openxmlformats.org/officeDocument/2006/relationships/footer" Target="footer32.xml" /><Relationship Id="rId43" Type="http://schemas.openxmlformats.org/officeDocument/2006/relationships/image" Target="media/image8.jpeg" /><Relationship Id="rId44" Type="http://schemas.openxmlformats.org/officeDocument/2006/relationships/footer" Target="footer33.xml" /><Relationship Id="rId45" Type="http://schemas.openxmlformats.org/officeDocument/2006/relationships/image" Target="media/image9.jpeg" /><Relationship Id="rId46" Type="http://schemas.openxmlformats.org/officeDocument/2006/relationships/footer" Target="footer34.xml" /><Relationship Id="rId47" Type="http://schemas.openxmlformats.org/officeDocument/2006/relationships/image" Target="media/image10.jpeg" /><Relationship Id="rId48" Type="http://schemas.openxmlformats.org/officeDocument/2006/relationships/image" Target="media/image11.jpeg" /><Relationship Id="rId49" Type="http://schemas.openxmlformats.org/officeDocument/2006/relationships/image" Target="media/image12.png" /><Relationship Id="rId5" Type="http://schemas.openxmlformats.org/officeDocument/2006/relationships/footer" Target="footer2.xml" /><Relationship Id="rId50" Type="http://schemas.openxmlformats.org/officeDocument/2006/relationships/image" Target="media/image13.jpeg" /><Relationship Id="rId51" Type="http://schemas.openxmlformats.org/officeDocument/2006/relationships/image" Target="media/image14.jpeg" /><Relationship Id="rId52" Type="http://schemas.openxmlformats.org/officeDocument/2006/relationships/image" Target="media/image15.jpeg" /><Relationship Id="rId53" Type="http://schemas.openxmlformats.org/officeDocument/2006/relationships/image" Target="media/image16.jpeg" /><Relationship Id="rId54" Type="http://schemas.openxmlformats.org/officeDocument/2006/relationships/image" Target="media/image17.jpeg" /><Relationship Id="rId55" Type="http://schemas.openxmlformats.org/officeDocument/2006/relationships/image" Target="media/image18.jpeg" /><Relationship Id="rId56" Type="http://schemas.openxmlformats.org/officeDocument/2006/relationships/image" Target="media/image19.jpeg" /><Relationship Id="rId57" Type="http://schemas.openxmlformats.org/officeDocument/2006/relationships/image" Target="media/image20.jpeg" /><Relationship Id="rId58" Type="http://schemas.openxmlformats.org/officeDocument/2006/relationships/image" Target="media/image21.jpeg" /><Relationship Id="rId59" Type="http://schemas.openxmlformats.org/officeDocument/2006/relationships/image" Target="media/image22.jpeg" /><Relationship Id="rId6" Type="http://schemas.openxmlformats.org/officeDocument/2006/relationships/footer" Target="footer3.xml" /><Relationship Id="rId60" Type="http://schemas.openxmlformats.org/officeDocument/2006/relationships/image" Target="media/image23.jpeg" /><Relationship Id="rId61" Type="http://schemas.openxmlformats.org/officeDocument/2006/relationships/image" Target="media/image24.jpeg" /><Relationship Id="rId62" Type="http://schemas.openxmlformats.org/officeDocument/2006/relationships/image" Target="media/image25.jpeg" /><Relationship Id="rId63" Type="http://schemas.openxmlformats.org/officeDocument/2006/relationships/footer" Target="footer35.xml" /><Relationship Id="rId64" Type="http://schemas.openxmlformats.org/officeDocument/2006/relationships/footer" Target="footer36.xml" /><Relationship Id="rId65" Type="http://schemas.openxmlformats.org/officeDocument/2006/relationships/footer" Target="footer37.xml" /><Relationship Id="rId66" Type="http://schemas.openxmlformats.org/officeDocument/2006/relationships/footer" Target="footer38.xml" /><Relationship Id="rId67" Type="http://schemas.openxmlformats.org/officeDocument/2006/relationships/footer" Target="footer39.xml" /><Relationship Id="rId68" Type="http://schemas.openxmlformats.org/officeDocument/2006/relationships/footer" Target="footer40.xml" /><Relationship Id="rId69" Type="http://schemas.openxmlformats.org/officeDocument/2006/relationships/footer" Target="footer41.xml" /><Relationship Id="rId7" Type="http://schemas.openxmlformats.org/officeDocument/2006/relationships/footer" Target="footer4.xml" /><Relationship Id="rId70" Type="http://schemas.openxmlformats.org/officeDocument/2006/relationships/footer" Target="footer42.xml" /><Relationship Id="rId71" Type="http://schemas.openxmlformats.org/officeDocument/2006/relationships/footer" Target="footer43.xml" /><Relationship Id="rId72" Type="http://schemas.openxmlformats.org/officeDocument/2006/relationships/hyperlink" Target="https://d.book118.com/856052120202010050" TargetMode="External" /><Relationship Id="rId73" Type="http://schemas.openxmlformats.org/officeDocument/2006/relationships/footer" Target="footer44.xml" /><Relationship Id="rId74" Type="http://schemas.openxmlformats.org/officeDocument/2006/relationships/theme" Target="theme/theme1.xml" /><Relationship Id="rId75" Type="http://schemas.openxmlformats.org/officeDocument/2006/relationships/styles" Target="styles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2024-02-09T08:59:00Z</dcterms:created>
  <dcterms:modified xsi:type="dcterms:W3CDTF">2024-02-09T01:00:02Z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2024-02-09T01:00:00Z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65c578fb843f42001f5f78eawl</vt:lpwstr>
  </property>
</Properties>
</file>