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2018-2023年商丘医学高等专科学校高职单招（数学／语文／英语）历年常考试题库含答案解析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古语“多行不义必自毙”出自（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下列曲词中化用古人诗句的句子是（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A.伯劳东去燕西飞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B.碧云天，黄花地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C.昨宵今日，清减了小腰围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D.泪添九曲黄河溢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《天净沙·秋思》前三句用各写三种景物的词语构成（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B.鼎足对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C.流水对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D.博喻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孟子《寡人之于国也》所言“王道”的意思是（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A.称王天下的方法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B.用仁政治理天下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C.夺取王位的方法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D.用武力统一天下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《论学问》一文指出治学的目的是（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A.能权衡轻重，审察事理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B.娱乐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C.增长才识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D.装饰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《战国策》的整理编订者是（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A.刘向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B.左丘明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C.司马迁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D.战国史官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下列作品中，通篇采用寓言形式说理的是（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《饮酒》是一首（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A.五言律诗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C.五言古诗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D.五言绝句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下列属于北宋豪放词人的是（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贯串《爱尔克的灯光》全文的线索是（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A.故居的变迁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B.亡姐的不幸遭遇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C.三种灯光的依次闪现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D.“我的心灵的灯”的引导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下面属于《论学问》一文提出的读书做学问的三种用途之一的是（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A.辩驳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B.信仰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C.体育锻炼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D.增长才识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《秋水》中河伯“以天下之美为尽在己”中“美”的意思是指（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A.风景优美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B.水大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C.水小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D.明大理的人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老舍的长篇小说代表作是（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A.《骆驼祥子》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B.《茶馆》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C.《龙须沟》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D.《月牙儿》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《杜陵叟》是一首（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C.新乐府诗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D.古题乐府诗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https://d.book118.com/856053030230010052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856053030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