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2024年抛丸清理机行业趋势</w:t>
      </w:r>
      <w:r>
        <w:rPr>
          <w:rFonts w:ascii="微软雅黑" w:eastAsia="微软雅黑" w:hAnsi="微软雅黑" w:cs="微软雅黑"/>
          <w:b/>
          <w:bCs/>
          <w:color w:val="2D54A0"/>
          <w:spacing w:val="8"/>
          <w:sz w:val="59"/>
          <w:szCs w:val="59"/>
        </w:rPr>
        <w:t>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9422"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_Toc9422 \h </w:instrText>
        </w:r>
        <w:r>
          <w:fldChar w:fldCharType="separate"/>
        </w:r>
        <w:r>
          <w:t>4</w:t>
        </w:r>
        <w:r>
          <w:fldChar w:fldCharType="end"/>
        </w:r>
      </w:hyperlink>
    </w:p>
    <w:p>
      <w:pPr>
        <w:pStyle w:val="TOC1"/>
        <w:tabs>
          <w:tab w:val="right" w:leader="dot" w:pos="8306"/>
        </w:tabs>
      </w:pPr>
      <w:hyperlink w:anchor="_Toc4955" w:history="1">
        <w:r>
          <w:rPr>
            <w:rFonts w:ascii="微软雅黑" w:eastAsia="微软雅黑" w:hAnsi="微软雅黑" w:cs="微软雅黑" w:hint="eastAsia"/>
            <w:color w:val="001CAC" w:themeColor="hyperlink" w:themeShade="BF"/>
            <w:szCs w:val="32"/>
            <w:lang w:eastAsia="zh-CN"/>
          </w:rPr>
          <w:t>一、制度运行与优化</w:t>
        </w:r>
        <w:r>
          <w:tab/>
        </w:r>
        <w:r>
          <w:fldChar w:fldCharType="begin"/>
        </w:r>
        <w:r>
          <w:instrText xml:space="preserve"> PAGEREF _Toc4955 \h </w:instrText>
        </w:r>
        <w:r>
          <w:fldChar w:fldCharType="separate"/>
        </w:r>
        <w:r>
          <w:t>4</w:t>
        </w:r>
        <w:r>
          <w:fldChar w:fldCharType="end"/>
        </w:r>
      </w:hyperlink>
    </w:p>
    <w:p>
      <w:pPr>
        <w:pStyle w:val="TOC2"/>
        <w:tabs>
          <w:tab w:val="right" w:leader="dot" w:pos="8306"/>
        </w:tabs>
      </w:pPr>
      <w:hyperlink w:anchor="_Toc3754" w:history="1">
        <w:r>
          <w:rPr>
            <w:rFonts w:ascii="宋体" w:eastAsia="宋体" w:hAnsi="宋体" w:cs="宋体" w:hint="eastAsia"/>
            <w:bCs w:val="0"/>
            <w:szCs w:val="28"/>
            <w:lang w:eastAsia="zh-CN"/>
          </w:rPr>
          <w:t>(一)、制度执行与监督</w:t>
        </w:r>
        <w:r>
          <w:tab/>
        </w:r>
        <w:r>
          <w:fldChar w:fldCharType="begin"/>
        </w:r>
        <w:r>
          <w:instrText xml:space="preserve"> PAGEREF _Toc3754 \h </w:instrText>
        </w:r>
        <w:r>
          <w:fldChar w:fldCharType="separate"/>
        </w:r>
        <w:r>
          <w:t>4</w:t>
        </w:r>
        <w:r>
          <w:fldChar w:fldCharType="end"/>
        </w:r>
      </w:hyperlink>
    </w:p>
    <w:p>
      <w:pPr>
        <w:pStyle w:val="TOC2"/>
        <w:tabs>
          <w:tab w:val="right" w:leader="dot" w:pos="8306"/>
        </w:tabs>
      </w:pPr>
      <w:hyperlink w:anchor="_Toc30218" w:history="1">
        <w:r>
          <w:rPr>
            <w:rFonts w:ascii="宋体" w:eastAsia="宋体" w:hAnsi="宋体" w:cs="宋体" w:hint="eastAsia"/>
            <w:bCs w:val="0"/>
            <w:szCs w:val="28"/>
            <w:lang w:eastAsia="zh-CN"/>
          </w:rPr>
          <w:t>(二)、制度优化与更新</w:t>
        </w:r>
        <w:r>
          <w:tab/>
        </w:r>
        <w:r>
          <w:fldChar w:fldCharType="begin"/>
        </w:r>
        <w:r>
          <w:instrText xml:space="preserve"> PAGEREF _Toc30218 \h </w:instrText>
        </w:r>
        <w:r>
          <w:fldChar w:fldCharType="separate"/>
        </w:r>
        <w:r>
          <w:t>5</w:t>
        </w:r>
        <w:r>
          <w:fldChar w:fldCharType="end"/>
        </w:r>
      </w:hyperlink>
    </w:p>
    <w:p>
      <w:pPr>
        <w:pStyle w:val="TOC1"/>
        <w:tabs>
          <w:tab w:val="right" w:leader="dot" w:pos="8306"/>
        </w:tabs>
      </w:pPr>
      <w:hyperlink w:anchor="_Toc26990" w:history="1">
        <w:r>
          <w:rPr>
            <w:rFonts w:ascii="微软雅黑" w:eastAsia="微软雅黑" w:hAnsi="微软雅黑" w:cs="微软雅黑" w:hint="eastAsia"/>
            <w:color w:val="001CAC" w:themeColor="hyperlink" w:themeShade="BF"/>
            <w:szCs w:val="32"/>
            <w:lang w:eastAsia="zh-CN"/>
          </w:rPr>
          <w:t>二、抛丸清理机行业投资管理策略</w:t>
        </w:r>
        <w:r>
          <w:tab/>
        </w:r>
        <w:r>
          <w:fldChar w:fldCharType="begin"/>
        </w:r>
        <w:r>
          <w:instrText xml:space="preserve"> PAGEREF _Toc26990 \h </w:instrText>
        </w:r>
        <w:r>
          <w:fldChar w:fldCharType="separate"/>
        </w:r>
        <w:r>
          <w:t>5</w:t>
        </w:r>
        <w:r>
          <w:fldChar w:fldCharType="end"/>
        </w:r>
      </w:hyperlink>
    </w:p>
    <w:p>
      <w:pPr>
        <w:pStyle w:val="TOC2"/>
        <w:tabs>
          <w:tab w:val="right" w:leader="dot" w:pos="8306"/>
        </w:tabs>
      </w:pPr>
      <w:hyperlink w:anchor="_Toc12904" w:history="1">
        <w:r>
          <w:rPr>
            <w:rFonts w:ascii="宋体" w:eastAsia="宋体" w:hAnsi="宋体" w:cs="宋体" w:hint="eastAsia"/>
            <w:bCs w:val="0"/>
            <w:szCs w:val="28"/>
            <w:lang w:eastAsia="zh-CN"/>
          </w:rPr>
          <w:t>(一)、抛丸清理机行业投资估算主要内容</w:t>
        </w:r>
        <w:r>
          <w:tab/>
        </w:r>
        <w:r>
          <w:fldChar w:fldCharType="begin"/>
        </w:r>
        <w:r>
          <w:instrText xml:space="preserve"> PAGEREF _Toc12904 \h </w:instrText>
        </w:r>
        <w:r>
          <w:fldChar w:fldCharType="separate"/>
        </w:r>
        <w:r>
          <w:t>5</w:t>
        </w:r>
        <w:r>
          <w:fldChar w:fldCharType="end"/>
        </w:r>
      </w:hyperlink>
    </w:p>
    <w:p>
      <w:pPr>
        <w:pStyle w:val="TOC2"/>
        <w:tabs>
          <w:tab w:val="right" w:leader="dot" w:pos="8306"/>
        </w:tabs>
      </w:pPr>
      <w:hyperlink w:anchor="_Toc20223" w:history="1">
        <w:r>
          <w:rPr>
            <w:rFonts w:ascii="宋体" w:eastAsia="宋体" w:hAnsi="宋体" w:cs="宋体" w:hint="eastAsia"/>
            <w:bCs w:val="0"/>
            <w:szCs w:val="28"/>
            <w:lang w:eastAsia="zh-CN"/>
          </w:rPr>
          <w:t>(二)、抛丸清理机行业设备购置投资费用管理</w:t>
        </w:r>
        <w:r>
          <w:tab/>
        </w:r>
        <w:r>
          <w:fldChar w:fldCharType="begin"/>
        </w:r>
        <w:r>
          <w:instrText xml:space="preserve"> PAGEREF _Toc20223 \h </w:instrText>
        </w:r>
        <w:r>
          <w:fldChar w:fldCharType="separate"/>
        </w:r>
        <w:r>
          <w:t>8</w:t>
        </w:r>
        <w:r>
          <w:fldChar w:fldCharType="end"/>
        </w:r>
      </w:hyperlink>
    </w:p>
    <w:p>
      <w:pPr>
        <w:pStyle w:val="TOC2"/>
        <w:tabs>
          <w:tab w:val="right" w:leader="dot" w:pos="8306"/>
        </w:tabs>
      </w:pPr>
      <w:hyperlink w:anchor="_Toc12249" w:history="1">
        <w:r>
          <w:rPr>
            <w:rFonts w:ascii="宋体" w:eastAsia="宋体" w:hAnsi="宋体" w:cs="宋体" w:hint="eastAsia"/>
            <w:bCs w:val="0"/>
            <w:szCs w:val="28"/>
            <w:lang w:eastAsia="zh-CN"/>
          </w:rPr>
          <w:t>(三)、抛丸清理机行业装修施工投资费用管理</w:t>
        </w:r>
        <w:r>
          <w:tab/>
        </w:r>
        <w:r>
          <w:fldChar w:fldCharType="begin"/>
        </w:r>
        <w:r>
          <w:instrText xml:space="preserve"> PAGEREF _Toc12249 \h </w:instrText>
        </w:r>
        <w:r>
          <w:fldChar w:fldCharType="separate"/>
        </w:r>
        <w:r>
          <w:t>12</w:t>
        </w:r>
        <w:r>
          <w:fldChar w:fldCharType="end"/>
        </w:r>
      </w:hyperlink>
    </w:p>
    <w:p>
      <w:pPr>
        <w:pStyle w:val="TOC2"/>
        <w:tabs>
          <w:tab w:val="right" w:leader="dot" w:pos="8306"/>
        </w:tabs>
      </w:pPr>
      <w:hyperlink w:anchor="_Toc20956" w:history="1">
        <w:r>
          <w:rPr>
            <w:rFonts w:ascii="宋体" w:eastAsia="宋体" w:hAnsi="宋体" w:cs="宋体" w:hint="eastAsia"/>
            <w:bCs w:val="0"/>
            <w:szCs w:val="28"/>
            <w:lang w:eastAsia="zh-CN"/>
          </w:rPr>
          <w:t>(四)、抛丸清理机行业流动资金管理</w:t>
        </w:r>
        <w:r>
          <w:tab/>
        </w:r>
        <w:r>
          <w:fldChar w:fldCharType="begin"/>
        </w:r>
        <w:r>
          <w:instrText xml:space="preserve"> PAGEREF _Toc20956 \h </w:instrText>
        </w:r>
        <w:r>
          <w:fldChar w:fldCharType="separate"/>
        </w:r>
        <w:r>
          <w:t>13</w:t>
        </w:r>
        <w:r>
          <w:fldChar w:fldCharType="end"/>
        </w:r>
      </w:hyperlink>
    </w:p>
    <w:p>
      <w:pPr>
        <w:pStyle w:val="TOC1"/>
        <w:tabs>
          <w:tab w:val="right" w:leader="dot" w:pos="8306"/>
        </w:tabs>
      </w:pPr>
      <w:hyperlink w:anchor="_Toc9421" w:history="1">
        <w:r>
          <w:rPr>
            <w:rFonts w:ascii="微软雅黑" w:eastAsia="微软雅黑" w:hAnsi="微软雅黑" w:cs="微软雅黑" w:hint="eastAsia"/>
            <w:color w:val="001CAC" w:themeColor="hyperlink" w:themeShade="BF"/>
            <w:szCs w:val="32"/>
            <w:lang w:eastAsia="zh-CN"/>
          </w:rPr>
          <w:t>三、制度建设与管理</w:t>
        </w:r>
        <w:r>
          <w:tab/>
        </w:r>
        <w:r>
          <w:fldChar w:fldCharType="begin"/>
        </w:r>
        <w:r>
          <w:instrText xml:space="preserve"> PAGEREF _Toc9421 \h </w:instrText>
        </w:r>
        <w:r>
          <w:fldChar w:fldCharType="separate"/>
        </w:r>
        <w:r>
          <w:t>16</w:t>
        </w:r>
        <w:r>
          <w:fldChar w:fldCharType="end"/>
        </w:r>
      </w:hyperlink>
    </w:p>
    <w:p>
      <w:pPr>
        <w:pStyle w:val="TOC2"/>
        <w:tabs>
          <w:tab w:val="right" w:leader="dot" w:pos="8306"/>
        </w:tabs>
      </w:pPr>
      <w:hyperlink w:anchor="_Toc11516" w:history="1">
        <w:r>
          <w:rPr>
            <w:rFonts w:ascii="宋体" w:eastAsia="宋体" w:hAnsi="宋体" w:cs="宋体" w:hint="eastAsia"/>
            <w:bCs w:val="0"/>
            <w:szCs w:val="28"/>
            <w:lang w:eastAsia="zh-CN"/>
          </w:rPr>
          <w:t>(一)、公司治理结构</w:t>
        </w:r>
        <w:r>
          <w:tab/>
        </w:r>
        <w:r>
          <w:fldChar w:fldCharType="begin"/>
        </w:r>
        <w:r>
          <w:instrText xml:space="preserve"> PAGEREF _Toc11516 \h </w:instrText>
        </w:r>
        <w:r>
          <w:fldChar w:fldCharType="separate"/>
        </w:r>
        <w:r>
          <w:t>16</w:t>
        </w:r>
        <w:r>
          <w:fldChar w:fldCharType="end"/>
        </w:r>
      </w:hyperlink>
    </w:p>
    <w:p>
      <w:pPr>
        <w:pStyle w:val="TOC2"/>
        <w:tabs>
          <w:tab w:val="right" w:leader="dot" w:pos="8306"/>
        </w:tabs>
      </w:pPr>
      <w:hyperlink w:anchor="_Toc19868" w:history="1">
        <w:r>
          <w:rPr>
            <w:rFonts w:ascii="宋体" w:eastAsia="宋体" w:hAnsi="宋体" w:cs="宋体" w:hint="eastAsia"/>
            <w:bCs w:val="0"/>
            <w:szCs w:val="28"/>
            <w:lang w:eastAsia="zh-CN"/>
          </w:rPr>
          <w:t>(二)、内部控制与审计</w:t>
        </w:r>
        <w:r>
          <w:tab/>
        </w:r>
        <w:r>
          <w:fldChar w:fldCharType="begin"/>
        </w:r>
        <w:r>
          <w:instrText xml:space="preserve"> PAGEREF _Toc19868 \h </w:instrText>
        </w:r>
        <w:r>
          <w:fldChar w:fldCharType="separate"/>
        </w:r>
        <w:r>
          <w:t>17</w:t>
        </w:r>
        <w:r>
          <w:fldChar w:fldCharType="end"/>
        </w:r>
      </w:hyperlink>
    </w:p>
    <w:p>
      <w:pPr>
        <w:pStyle w:val="TOC2"/>
        <w:tabs>
          <w:tab w:val="right" w:leader="dot" w:pos="8306"/>
        </w:tabs>
      </w:pPr>
      <w:hyperlink w:anchor="_Toc19368" w:history="1">
        <w:r>
          <w:rPr>
            <w:rFonts w:ascii="宋体" w:eastAsia="宋体" w:hAnsi="宋体" w:cs="宋体" w:hint="eastAsia"/>
            <w:bCs w:val="0"/>
            <w:szCs w:val="28"/>
            <w:lang w:eastAsia="zh-CN"/>
          </w:rPr>
          <w:t>(三)、法律法规合规体系</w:t>
        </w:r>
        <w:r>
          <w:tab/>
        </w:r>
        <w:r>
          <w:fldChar w:fldCharType="begin"/>
        </w:r>
        <w:r>
          <w:instrText xml:space="preserve"> PAGEREF _Toc19368 \h </w:instrText>
        </w:r>
        <w:r>
          <w:fldChar w:fldCharType="separate"/>
        </w:r>
        <w:r>
          <w:t>17</w:t>
        </w:r>
        <w:r>
          <w:fldChar w:fldCharType="end"/>
        </w:r>
      </w:hyperlink>
    </w:p>
    <w:p>
      <w:pPr>
        <w:pStyle w:val="TOC1"/>
        <w:tabs>
          <w:tab w:val="right" w:leader="dot" w:pos="8306"/>
        </w:tabs>
      </w:pPr>
      <w:hyperlink w:anchor="_Toc20336" w:history="1">
        <w:r>
          <w:rPr>
            <w:rFonts w:ascii="微软雅黑" w:eastAsia="微软雅黑" w:hAnsi="微软雅黑" w:cs="微软雅黑" w:hint="eastAsia"/>
            <w:color w:val="001CAC" w:themeColor="hyperlink" w:themeShade="BF"/>
            <w:szCs w:val="32"/>
            <w:lang w:eastAsia="zh-CN"/>
          </w:rPr>
          <w:t>四、抛丸清理机行业公司治理与社会责任</w:t>
        </w:r>
        <w:r>
          <w:tab/>
        </w:r>
        <w:r>
          <w:fldChar w:fldCharType="begin"/>
        </w:r>
        <w:r>
          <w:instrText xml:space="preserve"> PAGEREF _Toc20336 \h </w:instrText>
        </w:r>
        <w:r>
          <w:fldChar w:fldCharType="separate"/>
        </w:r>
        <w:r>
          <w:t>18</w:t>
        </w:r>
        <w:r>
          <w:fldChar w:fldCharType="end"/>
        </w:r>
      </w:hyperlink>
    </w:p>
    <w:p>
      <w:pPr>
        <w:pStyle w:val="TOC2"/>
        <w:tabs>
          <w:tab w:val="right" w:leader="dot" w:pos="8306"/>
        </w:tabs>
      </w:pPr>
      <w:hyperlink w:anchor="_Toc12608" w:history="1">
        <w:r>
          <w:rPr>
            <w:rFonts w:ascii="宋体" w:eastAsia="宋体" w:hAnsi="宋体" w:cs="宋体" w:hint="eastAsia"/>
            <w:bCs w:val="0"/>
            <w:szCs w:val="28"/>
            <w:lang w:eastAsia="zh-CN"/>
          </w:rPr>
          <w:t>(一)、公司治理结构</w:t>
        </w:r>
        <w:r>
          <w:tab/>
        </w:r>
        <w:r>
          <w:fldChar w:fldCharType="begin"/>
        </w:r>
        <w:r>
          <w:instrText xml:space="preserve"> PAGEREF _Toc12608 \h </w:instrText>
        </w:r>
        <w:r>
          <w:fldChar w:fldCharType="separate"/>
        </w:r>
        <w:r>
          <w:t>18</w:t>
        </w:r>
        <w:r>
          <w:fldChar w:fldCharType="end"/>
        </w:r>
      </w:hyperlink>
    </w:p>
    <w:p>
      <w:pPr>
        <w:pStyle w:val="TOC2"/>
        <w:tabs>
          <w:tab w:val="right" w:leader="dot" w:pos="8306"/>
        </w:tabs>
      </w:pPr>
      <w:hyperlink w:anchor="_Toc20356" w:history="1">
        <w:r>
          <w:rPr>
            <w:rFonts w:ascii="宋体" w:eastAsia="宋体" w:hAnsi="宋体" w:cs="宋体" w:hint="eastAsia"/>
            <w:bCs w:val="0"/>
            <w:szCs w:val="28"/>
            <w:lang w:eastAsia="zh-CN"/>
          </w:rPr>
          <w:t>(二)、董事会运作与决策</w:t>
        </w:r>
        <w:r>
          <w:tab/>
        </w:r>
        <w:r>
          <w:fldChar w:fldCharType="begin"/>
        </w:r>
        <w:r>
          <w:instrText xml:space="preserve"> PAGEREF _Toc20356 \h </w:instrText>
        </w:r>
        <w:r>
          <w:fldChar w:fldCharType="separate"/>
        </w:r>
        <w:r>
          <w:t>19</w:t>
        </w:r>
        <w:r>
          <w:fldChar w:fldCharType="end"/>
        </w:r>
      </w:hyperlink>
    </w:p>
    <w:p>
      <w:pPr>
        <w:pStyle w:val="TOC2"/>
        <w:tabs>
          <w:tab w:val="right" w:leader="dot" w:pos="8306"/>
        </w:tabs>
      </w:pPr>
      <w:hyperlink w:anchor="_Toc18442" w:history="1">
        <w:r>
          <w:rPr>
            <w:rFonts w:ascii="宋体" w:eastAsia="宋体" w:hAnsi="宋体" w:cs="宋体" w:hint="eastAsia"/>
            <w:bCs w:val="0"/>
            <w:szCs w:val="28"/>
            <w:lang w:eastAsia="zh-CN"/>
          </w:rPr>
          <w:t>(三)、内部控制与审计</w:t>
        </w:r>
        <w:r>
          <w:tab/>
        </w:r>
        <w:r>
          <w:fldChar w:fldCharType="begin"/>
        </w:r>
        <w:r>
          <w:instrText xml:space="preserve"> PAGEREF _Toc18442 \h </w:instrText>
        </w:r>
        <w:r>
          <w:fldChar w:fldCharType="separate"/>
        </w:r>
        <w:r>
          <w:t>19</w:t>
        </w:r>
        <w:r>
          <w:fldChar w:fldCharType="end"/>
        </w:r>
      </w:hyperlink>
    </w:p>
    <w:p>
      <w:pPr>
        <w:pStyle w:val="TOC2"/>
        <w:tabs>
          <w:tab w:val="right" w:leader="dot" w:pos="8306"/>
        </w:tabs>
      </w:pPr>
      <w:hyperlink w:anchor="_Toc18741" w:history="1">
        <w:r>
          <w:rPr>
            <w:rFonts w:ascii="宋体" w:eastAsia="宋体" w:hAnsi="宋体" w:cs="宋体" w:hint="eastAsia"/>
            <w:bCs w:val="0"/>
            <w:szCs w:val="28"/>
            <w:lang w:eastAsia="zh-CN"/>
          </w:rPr>
          <w:t>(四)、法律法规合规体系</w:t>
        </w:r>
        <w:r>
          <w:tab/>
        </w:r>
        <w:r>
          <w:fldChar w:fldCharType="begin"/>
        </w:r>
        <w:r>
          <w:instrText xml:space="preserve"> PAGEREF _Toc18741 \h </w:instrText>
        </w:r>
        <w:r>
          <w:fldChar w:fldCharType="separate"/>
        </w:r>
        <w:r>
          <w:t>20</w:t>
        </w:r>
        <w:r>
          <w:fldChar w:fldCharType="end"/>
        </w:r>
      </w:hyperlink>
    </w:p>
    <w:p>
      <w:pPr>
        <w:pStyle w:val="TOC2"/>
        <w:tabs>
          <w:tab w:val="right" w:leader="dot" w:pos="8306"/>
        </w:tabs>
      </w:pPr>
      <w:hyperlink w:anchor="_Toc6001" w:history="1">
        <w:r>
          <w:rPr>
            <w:rFonts w:ascii="宋体" w:eastAsia="宋体" w:hAnsi="宋体" w:cs="宋体" w:hint="eastAsia"/>
            <w:bCs w:val="0"/>
            <w:szCs w:val="28"/>
            <w:lang w:eastAsia="zh-CN"/>
          </w:rPr>
          <w:t>(五)、企业社会责任与道德经营</w:t>
        </w:r>
        <w:r>
          <w:tab/>
        </w:r>
        <w:r>
          <w:fldChar w:fldCharType="begin"/>
        </w:r>
        <w:r>
          <w:instrText xml:space="preserve"> PAGEREF _Toc6001 \h </w:instrText>
        </w:r>
        <w:r>
          <w:fldChar w:fldCharType="separate"/>
        </w:r>
        <w:r>
          <w:t>21</w:t>
        </w:r>
        <w:r>
          <w:fldChar w:fldCharType="end"/>
        </w:r>
      </w:hyperlink>
    </w:p>
    <w:p>
      <w:pPr>
        <w:pStyle w:val="TOC1"/>
        <w:tabs>
          <w:tab w:val="right" w:leader="dot" w:pos="8306"/>
        </w:tabs>
      </w:pPr>
      <w:hyperlink w:anchor="_Toc16822" w:history="1">
        <w:r>
          <w:rPr>
            <w:rFonts w:ascii="微软雅黑" w:eastAsia="微软雅黑" w:hAnsi="微软雅黑" w:cs="微软雅黑" w:hint="eastAsia"/>
            <w:color w:val="001CAC" w:themeColor="hyperlink" w:themeShade="BF"/>
            <w:szCs w:val="32"/>
            <w:lang w:eastAsia="zh-CN"/>
          </w:rPr>
          <w:t>五、公司文化与社会责任</w:t>
        </w:r>
        <w:r>
          <w:tab/>
        </w:r>
        <w:r>
          <w:fldChar w:fldCharType="begin"/>
        </w:r>
        <w:r>
          <w:instrText xml:space="preserve"> PAGEREF _Toc16822 \h </w:instrText>
        </w:r>
        <w:r>
          <w:fldChar w:fldCharType="separate"/>
        </w:r>
        <w:r>
          <w:t>22</w:t>
        </w:r>
        <w:r>
          <w:fldChar w:fldCharType="end"/>
        </w:r>
      </w:hyperlink>
    </w:p>
    <w:p>
      <w:pPr>
        <w:pStyle w:val="TOC2"/>
        <w:tabs>
          <w:tab w:val="right" w:leader="dot" w:pos="8306"/>
        </w:tabs>
      </w:pPr>
      <w:hyperlink w:anchor="_Toc9579" w:history="1">
        <w:r>
          <w:rPr>
            <w:rFonts w:ascii="宋体" w:eastAsia="宋体" w:hAnsi="宋体" w:cs="宋体" w:hint="eastAsia"/>
            <w:bCs w:val="0"/>
            <w:szCs w:val="28"/>
            <w:lang w:eastAsia="zh-CN"/>
          </w:rPr>
          <w:t>(一)、公司文化建设</w:t>
        </w:r>
        <w:r>
          <w:tab/>
        </w:r>
        <w:r>
          <w:fldChar w:fldCharType="begin"/>
        </w:r>
        <w:r>
          <w:instrText xml:space="preserve"> PAGEREF _Toc9579 \h </w:instrText>
        </w:r>
        <w:r>
          <w:fldChar w:fldCharType="separate"/>
        </w:r>
        <w:r>
          <w:t>22</w:t>
        </w:r>
        <w:r>
          <w:fldChar w:fldCharType="end"/>
        </w:r>
      </w:hyperlink>
    </w:p>
    <w:p>
      <w:pPr>
        <w:pStyle w:val="TOC2"/>
        <w:tabs>
          <w:tab w:val="right" w:leader="dot" w:pos="8306"/>
        </w:tabs>
      </w:pPr>
      <w:hyperlink w:anchor="_Toc11889" w:history="1">
        <w:r>
          <w:rPr>
            <w:rFonts w:ascii="宋体" w:eastAsia="宋体" w:hAnsi="宋体" w:cs="宋体" w:hint="eastAsia"/>
            <w:bCs w:val="0"/>
            <w:szCs w:val="28"/>
            <w:lang w:eastAsia="zh-CN"/>
          </w:rPr>
          <w:t>(二)、企业社会责任与可持续发展</w:t>
        </w:r>
        <w:r>
          <w:tab/>
        </w:r>
        <w:r>
          <w:fldChar w:fldCharType="begin"/>
        </w:r>
        <w:r>
          <w:instrText xml:space="preserve"> PAGEREF _Toc11889 \h </w:instrText>
        </w:r>
        <w:r>
          <w:fldChar w:fldCharType="separate"/>
        </w:r>
        <w:r>
          <w:t>22</w:t>
        </w:r>
        <w:r>
          <w:fldChar w:fldCharType="end"/>
        </w:r>
      </w:hyperlink>
    </w:p>
    <w:p>
      <w:pPr>
        <w:pStyle w:val="TOC1"/>
        <w:tabs>
          <w:tab w:val="right" w:leader="dot" w:pos="8306"/>
        </w:tabs>
      </w:pPr>
      <w:hyperlink w:anchor="_Toc9180" w:history="1">
        <w:r>
          <w:rPr>
            <w:rFonts w:ascii="微软雅黑" w:eastAsia="微软雅黑" w:hAnsi="微软雅黑" w:cs="微软雅黑" w:hint="eastAsia"/>
            <w:color w:val="001CAC" w:themeColor="hyperlink" w:themeShade="BF"/>
            <w:szCs w:val="32"/>
            <w:lang w:eastAsia="zh-CN"/>
          </w:rPr>
          <w:t>六、抛丸清理机行业选址方案分析</w:t>
        </w:r>
        <w:r>
          <w:tab/>
        </w:r>
        <w:r>
          <w:fldChar w:fldCharType="begin"/>
        </w:r>
        <w:r>
          <w:instrText xml:space="preserve"> PAGEREF _Toc9180 \h </w:instrText>
        </w:r>
        <w:r>
          <w:fldChar w:fldCharType="separate"/>
        </w:r>
        <w:r>
          <w:t>23</w:t>
        </w:r>
        <w:r>
          <w:fldChar w:fldCharType="end"/>
        </w:r>
      </w:hyperlink>
    </w:p>
    <w:p>
      <w:pPr>
        <w:pStyle w:val="TOC2"/>
        <w:tabs>
          <w:tab w:val="right" w:leader="dot" w:pos="8306"/>
        </w:tabs>
      </w:pPr>
      <w:hyperlink w:anchor="_Toc19286" w:history="1">
        <w:r>
          <w:rPr>
            <w:rFonts w:ascii="宋体" w:eastAsia="宋体" w:hAnsi="宋体" w:cs="宋体" w:hint="eastAsia"/>
            <w:bCs w:val="0"/>
            <w:szCs w:val="28"/>
            <w:lang w:eastAsia="zh-CN"/>
          </w:rPr>
          <w:t>(一)、抛丸清理机行业选址影响因素</w:t>
        </w:r>
        <w:r>
          <w:tab/>
        </w:r>
        <w:r>
          <w:fldChar w:fldCharType="begin"/>
        </w:r>
        <w:r>
          <w:instrText xml:space="preserve"> PAGEREF _Toc19286 \h </w:instrText>
        </w:r>
        <w:r>
          <w:fldChar w:fldCharType="separate"/>
        </w:r>
        <w:r>
          <w:t>23</w:t>
        </w:r>
        <w:r>
          <w:fldChar w:fldCharType="end"/>
        </w:r>
      </w:hyperlink>
    </w:p>
    <w:p>
      <w:pPr>
        <w:pStyle w:val="TOC2"/>
        <w:tabs>
          <w:tab w:val="right" w:leader="dot" w:pos="8306"/>
        </w:tabs>
      </w:pPr>
      <w:hyperlink w:anchor="_Toc21031" w:history="1">
        <w:r>
          <w:rPr>
            <w:rFonts w:ascii="宋体" w:eastAsia="宋体" w:hAnsi="宋体" w:cs="宋体" w:hint="eastAsia"/>
            <w:bCs w:val="0"/>
            <w:szCs w:val="28"/>
            <w:lang w:eastAsia="zh-CN"/>
          </w:rPr>
          <w:t>(二)、抛丸清理机行业选址原则</w:t>
        </w:r>
        <w:r>
          <w:tab/>
        </w:r>
        <w:r>
          <w:fldChar w:fldCharType="begin"/>
        </w:r>
        <w:r>
          <w:instrText xml:space="preserve"> PAGEREF _Toc21031 \h </w:instrText>
        </w:r>
        <w:r>
          <w:fldChar w:fldCharType="separate"/>
        </w:r>
        <w:r>
          <w:t>26</w:t>
        </w:r>
        <w:r>
          <w:fldChar w:fldCharType="end"/>
        </w:r>
      </w:hyperlink>
    </w:p>
    <w:p>
      <w:pPr>
        <w:pStyle w:val="TOC2"/>
        <w:tabs>
          <w:tab w:val="right" w:leader="dot" w:pos="8306"/>
        </w:tabs>
      </w:pPr>
      <w:hyperlink w:anchor="_Toc18594" w:history="1">
        <w:r>
          <w:rPr>
            <w:rFonts w:ascii="宋体" w:eastAsia="宋体" w:hAnsi="宋体" w:cs="宋体" w:hint="eastAsia"/>
            <w:bCs w:val="0"/>
            <w:szCs w:val="28"/>
            <w:lang w:eastAsia="zh-CN"/>
          </w:rPr>
          <w:t>(三)、消费习惯对抛丸清理机行业选址的影响</w:t>
        </w:r>
        <w:r>
          <w:tab/>
        </w:r>
        <w:r>
          <w:fldChar w:fldCharType="begin"/>
        </w:r>
        <w:r>
          <w:instrText xml:space="preserve"> PAGEREF _Toc18594 \h </w:instrText>
        </w:r>
        <w:r>
          <w:fldChar w:fldCharType="separate"/>
        </w:r>
        <w:r>
          <w:t>27</w:t>
        </w:r>
        <w:r>
          <w:fldChar w:fldCharType="end"/>
        </w:r>
      </w:hyperlink>
    </w:p>
    <w:p>
      <w:pPr>
        <w:pStyle w:val="TOC2"/>
        <w:tabs>
          <w:tab w:val="right" w:leader="dot" w:pos="8306"/>
        </w:tabs>
      </w:pPr>
      <w:hyperlink w:anchor="_Toc31835" w:history="1">
        <w:r>
          <w:rPr>
            <w:rFonts w:ascii="宋体" w:eastAsia="宋体" w:hAnsi="宋体" w:cs="宋体" w:hint="eastAsia"/>
            <w:bCs w:val="0"/>
            <w:szCs w:val="28"/>
            <w:lang w:eastAsia="zh-CN"/>
          </w:rPr>
          <w:t>(四)、消费能力对抛丸清理机行业选址的影响</w:t>
        </w:r>
        <w:r>
          <w:tab/>
        </w:r>
        <w:r>
          <w:fldChar w:fldCharType="begin"/>
        </w:r>
        <w:r>
          <w:instrText xml:space="preserve"> PAGEREF _Toc31835 \h </w:instrText>
        </w:r>
        <w:r>
          <w:fldChar w:fldCharType="separate"/>
        </w:r>
        <w:r>
          <w:t>28</w:t>
        </w:r>
        <w:r>
          <w:fldChar w:fldCharType="end"/>
        </w:r>
      </w:hyperlink>
    </w:p>
    <w:p>
      <w:pPr>
        <w:pStyle w:val="TOC2"/>
        <w:tabs>
          <w:tab w:val="right" w:leader="dot" w:pos="8306"/>
        </w:tabs>
      </w:pPr>
      <w:hyperlink w:anchor="_Toc13285" w:history="1">
        <w:r>
          <w:rPr>
            <w:rFonts w:ascii="宋体" w:eastAsia="宋体" w:hAnsi="宋体" w:cs="宋体" w:hint="eastAsia"/>
            <w:bCs w:val="0"/>
            <w:szCs w:val="28"/>
            <w:lang w:eastAsia="zh-CN"/>
          </w:rPr>
          <w:t>(五)、经营成本对抛丸清理机行业选址的影响</w:t>
        </w:r>
        <w:r>
          <w:tab/>
        </w:r>
        <w:r>
          <w:fldChar w:fldCharType="begin"/>
        </w:r>
        <w:r>
          <w:instrText xml:space="preserve"> PAGEREF _Toc13285 \h </w:instrText>
        </w:r>
        <w:r>
          <w:fldChar w:fldCharType="separate"/>
        </w:r>
        <w:r>
          <w:t>30</w:t>
        </w:r>
        <w:r>
          <w:fldChar w:fldCharType="end"/>
        </w:r>
      </w:hyperlink>
    </w:p>
    <w:p>
      <w:pPr>
        <w:pStyle w:val="TOC2"/>
        <w:tabs>
          <w:tab w:val="right" w:leader="dot" w:pos="8306"/>
        </w:tabs>
      </w:pPr>
      <w:hyperlink w:anchor="_Toc3218" w:history="1">
        <w:r>
          <w:rPr>
            <w:rFonts w:ascii="宋体" w:eastAsia="宋体" w:hAnsi="宋体" w:cs="宋体" w:hint="eastAsia"/>
            <w:bCs w:val="0"/>
            <w:szCs w:val="28"/>
            <w:lang w:eastAsia="zh-CN"/>
          </w:rPr>
          <w:t>(六)、交通条件对抛丸清理机行业选址的影响</w:t>
        </w:r>
        <w:r>
          <w:tab/>
        </w:r>
        <w:r>
          <w:fldChar w:fldCharType="begin"/>
        </w:r>
        <w:r>
          <w:instrText xml:space="preserve"> PAGEREF _Toc3218 \h </w:instrText>
        </w:r>
        <w:r>
          <w:fldChar w:fldCharType="separate"/>
        </w:r>
        <w:r>
          <w:t>31</w:t>
        </w:r>
        <w:r>
          <w:fldChar w:fldCharType="end"/>
        </w:r>
      </w:hyperlink>
    </w:p>
    <w:p>
      <w:pPr>
        <w:pStyle w:val="TOC1"/>
        <w:tabs>
          <w:tab w:val="right" w:leader="dot" w:pos="8306"/>
        </w:tabs>
      </w:pPr>
      <w:hyperlink w:anchor="_Toc24157" w:history="1">
        <w:r>
          <w:rPr>
            <w:rFonts w:ascii="微软雅黑" w:eastAsia="微软雅黑" w:hAnsi="微软雅黑" w:cs="微软雅黑" w:hint="eastAsia"/>
            <w:color w:val="001CAC" w:themeColor="hyperlink" w:themeShade="BF"/>
            <w:szCs w:val="32"/>
            <w:lang w:eastAsia="zh-CN"/>
          </w:rPr>
          <w:t>七、抛丸清理机行业质量管理方案</w:t>
        </w:r>
        <w:r>
          <w:tab/>
        </w:r>
        <w:r>
          <w:fldChar w:fldCharType="begin"/>
        </w:r>
        <w:r>
          <w:instrText xml:space="preserve"> PAGEREF _Toc24157 \h </w:instrText>
        </w:r>
        <w:r>
          <w:fldChar w:fldCharType="separate"/>
        </w:r>
        <w:r>
          <w:t>32</w:t>
        </w:r>
        <w:r>
          <w:fldChar w:fldCharType="end"/>
        </w:r>
      </w:hyperlink>
    </w:p>
    <w:p>
      <w:pPr>
        <w:pStyle w:val="TOC2"/>
        <w:tabs>
          <w:tab w:val="right" w:leader="dot" w:pos="8306"/>
        </w:tabs>
      </w:pPr>
      <w:hyperlink w:anchor="_Toc2172" w:history="1">
        <w:r>
          <w:rPr>
            <w:rFonts w:ascii="宋体" w:eastAsia="宋体" w:hAnsi="宋体" w:cs="宋体" w:hint="eastAsia"/>
            <w:bCs w:val="0"/>
            <w:szCs w:val="28"/>
            <w:lang w:eastAsia="zh-CN"/>
          </w:rPr>
          <w:t>(一)、抛丸清理机行业质量管理要求</w:t>
        </w:r>
        <w:r>
          <w:tab/>
        </w:r>
        <w:r>
          <w:fldChar w:fldCharType="begin"/>
        </w:r>
        <w:r>
          <w:instrText xml:space="preserve"> PAGEREF _Toc2172 \h </w:instrText>
        </w:r>
        <w:r>
          <w:fldChar w:fldCharType="separate"/>
        </w:r>
        <w:r>
          <w:t>32</w:t>
        </w:r>
        <w:r>
          <w:fldChar w:fldCharType="end"/>
        </w:r>
      </w:hyperlink>
    </w:p>
    <w:p>
      <w:pPr>
        <w:pStyle w:val="TOC2"/>
        <w:tabs>
          <w:tab w:val="right" w:leader="dot" w:pos="8306"/>
        </w:tabs>
      </w:pPr>
      <w:hyperlink w:anchor="_Toc21198" w:history="1">
        <w:r>
          <w:rPr>
            <w:rFonts w:ascii="宋体" w:eastAsia="宋体" w:hAnsi="宋体" w:cs="宋体" w:hint="eastAsia"/>
            <w:bCs w:val="0"/>
            <w:szCs w:val="28"/>
            <w:lang w:eastAsia="zh-CN"/>
          </w:rPr>
          <w:t>(二)、抛丸清理机行业服务质量管理方案</w:t>
        </w:r>
        <w:r>
          <w:tab/>
        </w:r>
        <w:r>
          <w:fldChar w:fldCharType="begin"/>
        </w:r>
        <w:r>
          <w:instrText xml:space="preserve"> PAGEREF _Toc21198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57" w:history="1">
        <w:r>
          <w:rPr>
            <w:rFonts w:ascii="宋体" w:eastAsia="宋体" w:hAnsi="宋体" w:cs="宋体" w:hint="eastAsia"/>
            <w:bCs w:val="0"/>
            <w:szCs w:val="28"/>
            <w:lang w:eastAsia="zh-CN"/>
          </w:rPr>
          <w:t>(三)、抛丸清理机行业质量成本管理方案</w:t>
        </w:r>
        <w:r>
          <w:tab/>
        </w:r>
        <w:r>
          <w:fldChar w:fldCharType="begin"/>
        </w:r>
        <w:r>
          <w:instrText xml:space="preserve"> PAGEREF _Toc25657 \h </w:instrText>
        </w:r>
        <w:r>
          <w:fldChar w:fldCharType="separate"/>
        </w:r>
        <w:r>
          <w:t>34</w:t>
        </w:r>
        <w:r>
          <w:fldChar w:fldCharType="end"/>
        </w:r>
      </w:hyperlink>
    </w:p>
    <w:p>
      <w:pPr>
        <w:pStyle w:val="TOC1"/>
        <w:tabs>
          <w:tab w:val="right" w:leader="dot" w:pos="8306"/>
        </w:tabs>
      </w:pPr>
      <w:hyperlink w:anchor="_Toc16263" w:history="1">
        <w:r>
          <w:rPr>
            <w:rFonts w:ascii="微软雅黑" w:eastAsia="微软雅黑" w:hAnsi="微软雅黑" w:cs="微软雅黑" w:hint="eastAsia"/>
            <w:color w:val="001CAC" w:themeColor="hyperlink" w:themeShade="BF"/>
            <w:szCs w:val="32"/>
            <w:lang w:eastAsia="zh-CN"/>
          </w:rPr>
          <w:t>八、质量管理与持续改进</w:t>
        </w:r>
        <w:r>
          <w:tab/>
        </w:r>
        <w:r>
          <w:fldChar w:fldCharType="begin"/>
        </w:r>
        <w:r>
          <w:instrText xml:space="preserve"> PAGEREF _Toc16263 \h </w:instrText>
        </w:r>
        <w:r>
          <w:fldChar w:fldCharType="separate"/>
        </w:r>
        <w:r>
          <w:t>35</w:t>
        </w:r>
        <w:r>
          <w:fldChar w:fldCharType="end"/>
        </w:r>
      </w:hyperlink>
    </w:p>
    <w:p>
      <w:pPr>
        <w:pStyle w:val="TOC2"/>
        <w:tabs>
          <w:tab w:val="right" w:leader="dot" w:pos="8306"/>
        </w:tabs>
      </w:pPr>
      <w:hyperlink w:anchor="_Toc7391" w:history="1">
        <w:r>
          <w:rPr>
            <w:rFonts w:ascii="宋体" w:eastAsia="宋体" w:hAnsi="宋体" w:cs="宋体" w:hint="eastAsia"/>
            <w:bCs w:val="0"/>
            <w:szCs w:val="28"/>
            <w:lang w:eastAsia="zh-CN"/>
          </w:rPr>
          <w:t>(一)、质量管理体系建设</w:t>
        </w:r>
        <w:r>
          <w:tab/>
        </w:r>
        <w:r>
          <w:fldChar w:fldCharType="begin"/>
        </w:r>
        <w:r>
          <w:instrText xml:space="preserve"> PAGEREF _Toc7391 \h </w:instrText>
        </w:r>
        <w:r>
          <w:fldChar w:fldCharType="separate"/>
        </w:r>
        <w:r>
          <w:t>35</w:t>
        </w:r>
        <w:r>
          <w:fldChar w:fldCharType="end"/>
        </w:r>
      </w:hyperlink>
    </w:p>
    <w:p>
      <w:pPr>
        <w:pStyle w:val="TOC2"/>
        <w:tabs>
          <w:tab w:val="right" w:leader="dot" w:pos="8306"/>
        </w:tabs>
      </w:pPr>
      <w:hyperlink w:anchor="_Toc7483" w:history="1">
        <w:r>
          <w:rPr>
            <w:rFonts w:ascii="宋体" w:eastAsia="宋体" w:hAnsi="宋体" w:cs="宋体" w:hint="eastAsia"/>
            <w:bCs w:val="0"/>
            <w:szCs w:val="28"/>
            <w:lang w:eastAsia="zh-CN"/>
          </w:rPr>
          <w:t>(二)、生产过程控制与优化</w:t>
        </w:r>
        <w:r>
          <w:tab/>
        </w:r>
        <w:r>
          <w:fldChar w:fldCharType="begin"/>
        </w:r>
        <w:r>
          <w:instrText xml:space="preserve"> PAGEREF _Toc7483 \h </w:instrText>
        </w:r>
        <w:r>
          <w:fldChar w:fldCharType="separate"/>
        </w:r>
        <w:r>
          <w:t>36</w:t>
        </w:r>
        <w:r>
          <w:fldChar w:fldCharType="end"/>
        </w:r>
      </w:hyperlink>
    </w:p>
    <w:p>
      <w:pPr>
        <w:pStyle w:val="TOC2"/>
        <w:tabs>
          <w:tab w:val="right" w:leader="dot" w:pos="8306"/>
        </w:tabs>
      </w:pPr>
      <w:hyperlink w:anchor="_Toc24682" w:history="1">
        <w:r>
          <w:rPr>
            <w:rFonts w:ascii="宋体" w:eastAsia="宋体" w:hAnsi="宋体" w:cs="宋体" w:hint="eastAsia"/>
            <w:bCs w:val="0"/>
            <w:szCs w:val="28"/>
            <w:lang w:eastAsia="zh-CN"/>
          </w:rPr>
          <w:t>(三)、产品质量检验与测试</w:t>
        </w:r>
        <w:r>
          <w:tab/>
        </w:r>
        <w:r>
          <w:fldChar w:fldCharType="begin"/>
        </w:r>
        <w:r>
          <w:instrText xml:space="preserve"> PAGEREF _Toc24682 \h </w:instrText>
        </w:r>
        <w:r>
          <w:fldChar w:fldCharType="separate"/>
        </w:r>
        <w:r>
          <w:t>37</w:t>
        </w:r>
        <w:r>
          <w:fldChar w:fldCharType="end"/>
        </w:r>
      </w:hyperlink>
    </w:p>
    <w:p>
      <w:pPr>
        <w:pStyle w:val="TOC2"/>
        <w:tabs>
          <w:tab w:val="right" w:leader="dot" w:pos="8306"/>
        </w:tabs>
      </w:pPr>
      <w:hyperlink w:anchor="_Toc25032" w:history="1">
        <w:r>
          <w:rPr>
            <w:rFonts w:ascii="宋体" w:eastAsia="宋体" w:hAnsi="宋体" w:cs="宋体" w:hint="eastAsia"/>
            <w:bCs w:val="0"/>
            <w:szCs w:val="28"/>
            <w:lang w:eastAsia="zh-CN"/>
          </w:rPr>
          <w:t>(四)、用户反馈与质量改进</w:t>
        </w:r>
        <w:r>
          <w:tab/>
        </w:r>
        <w:r>
          <w:fldChar w:fldCharType="begin"/>
        </w:r>
        <w:r>
          <w:instrText xml:space="preserve"> PAGEREF _Toc25032 \h </w:instrText>
        </w:r>
        <w:r>
          <w:fldChar w:fldCharType="separate"/>
        </w:r>
        <w:r>
          <w:t>37</w:t>
        </w:r>
        <w:r>
          <w:fldChar w:fldCharType="end"/>
        </w:r>
      </w:hyperlink>
    </w:p>
    <w:p>
      <w:pPr>
        <w:pStyle w:val="TOC1"/>
        <w:tabs>
          <w:tab w:val="right" w:leader="dot" w:pos="8306"/>
        </w:tabs>
      </w:pPr>
      <w:hyperlink w:anchor="_Toc30176" w:history="1">
        <w:r>
          <w:rPr>
            <w:rFonts w:ascii="微软雅黑" w:eastAsia="微软雅黑" w:hAnsi="微软雅黑" w:cs="微软雅黑" w:hint="eastAsia"/>
            <w:color w:val="001CAC" w:themeColor="hyperlink" w:themeShade="BF"/>
            <w:szCs w:val="32"/>
            <w:lang w:eastAsia="zh-CN"/>
          </w:rPr>
          <w:t>九、项目技术流程</w:t>
        </w:r>
        <w:r>
          <w:tab/>
        </w:r>
        <w:r>
          <w:fldChar w:fldCharType="begin"/>
        </w:r>
        <w:r>
          <w:instrText xml:space="preserve"> PAGEREF _Toc30176 \h </w:instrText>
        </w:r>
        <w:r>
          <w:fldChar w:fldCharType="separate"/>
        </w:r>
        <w:r>
          <w:t>38</w:t>
        </w:r>
        <w:r>
          <w:fldChar w:fldCharType="end"/>
        </w:r>
      </w:hyperlink>
    </w:p>
    <w:p>
      <w:pPr>
        <w:pStyle w:val="TOC2"/>
        <w:tabs>
          <w:tab w:val="right" w:leader="dot" w:pos="8306"/>
        </w:tabs>
      </w:pPr>
      <w:hyperlink w:anchor="_Toc17965" w:history="1">
        <w:r>
          <w:rPr>
            <w:rFonts w:ascii="宋体" w:eastAsia="宋体" w:hAnsi="宋体" w:cs="宋体" w:hint="eastAsia"/>
            <w:bCs w:val="0"/>
            <w:szCs w:val="28"/>
            <w:lang w:eastAsia="zh-CN"/>
          </w:rPr>
          <w:t>(一)、技术方案选择</w:t>
        </w:r>
        <w:r>
          <w:tab/>
        </w:r>
        <w:r>
          <w:fldChar w:fldCharType="begin"/>
        </w:r>
        <w:r>
          <w:instrText xml:space="preserve"> PAGEREF _Toc17965 \h </w:instrText>
        </w:r>
        <w:r>
          <w:fldChar w:fldCharType="separate"/>
        </w:r>
        <w:r>
          <w:t>38</w:t>
        </w:r>
        <w:r>
          <w:fldChar w:fldCharType="end"/>
        </w:r>
      </w:hyperlink>
    </w:p>
    <w:p>
      <w:pPr>
        <w:pStyle w:val="TOC2"/>
        <w:tabs>
          <w:tab w:val="right" w:leader="dot" w:pos="8306"/>
        </w:tabs>
      </w:pPr>
      <w:hyperlink w:anchor="_Toc28662" w:history="1">
        <w:r>
          <w:rPr>
            <w:rFonts w:ascii="宋体" w:eastAsia="宋体" w:hAnsi="宋体" w:cs="宋体" w:hint="eastAsia"/>
            <w:bCs w:val="0"/>
            <w:szCs w:val="28"/>
            <w:lang w:eastAsia="zh-CN"/>
          </w:rPr>
          <w:t>(二)、设备选型方案</w:t>
        </w:r>
        <w:r>
          <w:tab/>
        </w:r>
        <w:r>
          <w:fldChar w:fldCharType="begin"/>
        </w:r>
        <w:r>
          <w:instrText xml:space="preserve"> PAGEREF _Toc28662 \h </w:instrText>
        </w:r>
        <w:r>
          <w:fldChar w:fldCharType="separate"/>
        </w:r>
        <w:r>
          <w:t>39</w:t>
        </w:r>
        <w:r>
          <w:fldChar w:fldCharType="end"/>
        </w:r>
      </w:hyperlink>
    </w:p>
    <w:p>
      <w:pPr>
        <w:pStyle w:val="TOC2"/>
        <w:tabs>
          <w:tab w:val="right" w:leader="dot" w:pos="8306"/>
        </w:tabs>
      </w:pPr>
      <w:hyperlink w:anchor="_Toc8509" w:history="1">
        <w:r>
          <w:rPr>
            <w:rFonts w:ascii="宋体" w:eastAsia="宋体" w:hAnsi="宋体" w:cs="宋体" w:hint="eastAsia"/>
            <w:bCs w:val="0"/>
            <w:szCs w:val="28"/>
            <w:lang w:eastAsia="zh-CN"/>
          </w:rPr>
          <w:t>(三)、技术流程与工艺设计</w:t>
        </w:r>
        <w:r>
          <w:tab/>
        </w:r>
        <w:r>
          <w:fldChar w:fldCharType="begin"/>
        </w:r>
        <w:r>
          <w:instrText xml:space="preserve"> PAGEREF _Toc8509 \h </w:instrText>
        </w:r>
        <w:r>
          <w:fldChar w:fldCharType="separate"/>
        </w:r>
        <w:r>
          <w:t>39</w:t>
        </w:r>
        <w:r>
          <w:fldChar w:fldCharType="end"/>
        </w:r>
      </w:hyperlink>
    </w:p>
    <w:p>
      <w:pPr>
        <w:pStyle w:val="TOC1"/>
        <w:tabs>
          <w:tab w:val="right" w:leader="dot" w:pos="8306"/>
        </w:tabs>
      </w:pPr>
      <w:hyperlink w:anchor="_Toc17782" w:history="1">
        <w:r>
          <w:rPr>
            <w:rFonts w:ascii="微软雅黑" w:eastAsia="微软雅黑" w:hAnsi="微软雅黑" w:cs="微软雅黑" w:hint="eastAsia"/>
            <w:color w:val="001CAC" w:themeColor="hyperlink" w:themeShade="BF"/>
            <w:szCs w:val="32"/>
            <w:lang w:eastAsia="zh-CN"/>
          </w:rPr>
          <w:t>十、安全与劳动保护</w:t>
        </w:r>
        <w:r>
          <w:tab/>
        </w:r>
        <w:r>
          <w:fldChar w:fldCharType="begin"/>
        </w:r>
        <w:r>
          <w:instrText xml:space="preserve"> PAGEREF _Toc17782 \h </w:instrText>
        </w:r>
        <w:r>
          <w:fldChar w:fldCharType="separate"/>
        </w:r>
        <w:r>
          <w:t>41</w:t>
        </w:r>
        <w:r>
          <w:fldChar w:fldCharType="end"/>
        </w:r>
      </w:hyperlink>
    </w:p>
    <w:p>
      <w:pPr>
        <w:pStyle w:val="TOC2"/>
        <w:tabs>
          <w:tab w:val="right" w:leader="dot" w:pos="8306"/>
        </w:tabs>
      </w:pPr>
      <w:hyperlink w:anchor="_Toc9420" w:history="1">
        <w:r>
          <w:rPr>
            <w:rFonts w:ascii="宋体" w:eastAsia="宋体" w:hAnsi="宋体" w:cs="宋体" w:hint="eastAsia"/>
            <w:bCs w:val="0"/>
            <w:szCs w:val="28"/>
            <w:lang w:eastAsia="zh-CN"/>
          </w:rPr>
          <w:t>(一)、设计依据与法规合规</w:t>
        </w:r>
        <w:r>
          <w:tab/>
        </w:r>
        <w:r>
          <w:fldChar w:fldCharType="begin"/>
        </w:r>
        <w:r>
          <w:instrText xml:space="preserve"> PAGEREF _Toc9420 \h </w:instrText>
        </w:r>
        <w:r>
          <w:fldChar w:fldCharType="separate"/>
        </w:r>
        <w:r>
          <w:t>41</w:t>
        </w:r>
        <w:r>
          <w:fldChar w:fldCharType="end"/>
        </w:r>
      </w:hyperlink>
    </w:p>
    <w:p>
      <w:pPr>
        <w:pStyle w:val="TOC2"/>
        <w:tabs>
          <w:tab w:val="right" w:leader="dot" w:pos="8306"/>
        </w:tabs>
      </w:pPr>
      <w:hyperlink w:anchor="_Toc1589" w:history="1">
        <w:r>
          <w:rPr>
            <w:rFonts w:ascii="宋体" w:eastAsia="宋体" w:hAnsi="宋体" w:cs="宋体" w:hint="eastAsia"/>
            <w:bCs w:val="0"/>
            <w:szCs w:val="28"/>
            <w:lang w:eastAsia="zh-CN"/>
          </w:rPr>
          <w:t>(二)、劳动安全预期效果评价</w:t>
        </w:r>
        <w:r>
          <w:tab/>
        </w:r>
        <w:r>
          <w:fldChar w:fldCharType="begin"/>
        </w:r>
        <w:r>
          <w:instrText xml:space="preserve"> PAGEREF _Toc1589 \h </w:instrText>
        </w:r>
        <w:r>
          <w:fldChar w:fldCharType="separate"/>
        </w:r>
        <w:r>
          <w:t>41</w:t>
        </w:r>
        <w:r>
          <w:fldChar w:fldCharType="end"/>
        </w:r>
      </w:hyperlink>
    </w:p>
    <w:p>
      <w:pPr>
        <w:pStyle w:val="TOC2"/>
        <w:tabs>
          <w:tab w:val="right" w:leader="dot" w:pos="8306"/>
        </w:tabs>
      </w:pPr>
      <w:hyperlink w:anchor="_Toc31085" w:history="1">
        <w:r>
          <w:rPr>
            <w:rFonts w:ascii="宋体" w:eastAsia="宋体" w:hAnsi="宋体" w:cs="宋体" w:hint="eastAsia"/>
            <w:bCs w:val="0"/>
            <w:szCs w:val="28"/>
            <w:lang w:eastAsia="zh-CN"/>
          </w:rPr>
          <w:t>(三)、主要防范措施</w:t>
        </w:r>
        <w:r>
          <w:tab/>
        </w:r>
        <w:r>
          <w:fldChar w:fldCharType="begin"/>
        </w:r>
        <w:r>
          <w:instrText xml:space="preserve"> PAGEREF _Toc31085 \h </w:instrText>
        </w:r>
        <w:r>
          <w:fldChar w:fldCharType="separate"/>
        </w:r>
        <w:r>
          <w:t>41</w:t>
        </w:r>
        <w:r>
          <w:fldChar w:fldCharType="end"/>
        </w:r>
      </w:hyperlink>
    </w:p>
    <w:p>
      <w:pPr>
        <w:pStyle w:val="TOC1"/>
        <w:tabs>
          <w:tab w:val="right" w:leader="dot" w:pos="8306"/>
        </w:tabs>
      </w:pPr>
      <w:hyperlink w:anchor="_Toc22619" w:history="1">
        <w:r>
          <w:rPr>
            <w:rFonts w:ascii="微软雅黑" w:eastAsia="微软雅黑" w:hAnsi="微软雅黑" w:cs="微软雅黑" w:hint="eastAsia"/>
            <w:color w:val="001CAC" w:themeColor="hyperlink" w:themeShade="BF"/>
            <w:szCs w:val="32"/>
            <w:lang w:eastAsia="zh-CN"/>
          </w:rPr>
          <w:t>十一、抛丸清理机行业项目管理与实施</w:t>
        </w:r>
        <w:r>
          <w:tab/>
        </w:r>
        <w:r>
          <w:fldChar w:fldCharType="begin"/>
        </w:r>
        <w:r>
          <w:instrText xml:space="preserve"> PAGEREF _Toc22619 \h </w:instrText>
        </w:r>
        <w:r>
          <w:fldChar w:fldCharType="separate"/>
        </w:r>
        <w:r>
          <w:t>42</w:t>
        </w:r>
        <w:r>
          <w:fldChar w:fldCharType="end"/>
        </w:r>
      </w:hyperlink>
    </w:p>
    <w:p>
      <w:pPr>
        <w:pStyle w:val="TOC2"/>
        <w:tabs>
          <w:tab w:val="right" w:leader="dot" w:pos="8306"/>
        </w:tabs>
      </w:pPr>
      <w:hyperlink w:anchor="_Toc21756" w:history="1">
        <w:r>
          <w:rPr>
            <w:rFonts w:ascii="宋体" w:eastAsia="宋体" w:hAnsi="宋体" w:cs="宋体" w:hint="eastAsia"/>
            <w:bCs w:val="0"/>
            <w:szCs w:val="28"/>
            <w:lang w:eastAsia="zh-CN"/>
          </w:rPr>
          <w:t>(一)、项目进度安排</w:t>
        </w:r>
        <w:r>
          <w:tab/>
        </w:r>
        <w:r>
          <w:fldChar w:fldCharType="begin"/>
        </w:r>
        <w:r>
          <w:instrText xml:space="preserve"> PAGEREF _Toc21756 \h </w:instrText>
        </w:r>
        <w:r>
          <w:fldChar w:fldCharType="separate"/>
        </w:r>
        <w:r>
          <w:t>42</w:t>
        </w:r>
        <w:r>
          <w:fldChar w:fldCharType="end"/>
        </w:r>
      </w:hyperlink>
    </w:p>
    <w:p>
      <w:pPr>
        <w:pStyle w:val="TOC2"/>
        <w:tabs>
          <w:tab w:val="right" w:leader="dot" w:pos="8306"/>
        </w:tabs>
      </w:pPr>
      <w:hyperlink w:anchor="_Toc2379" w:history="1">
        <w:r>
          <w:rPr>
            <w:rFonts w:ascii="宋体" w:eastAsia="宋体" w:hAnsi="宋体" w:cs="宋体" w:hint="eastAsia"/>
            <w:bCs w:val="0"/>
            <w:szCs w:val="28"/>
            <w:lang w:eastAsia="zh-CN"/>
          </w:rPr>
          <w:t>(二)、项目实施保障措施</w:t>
        </w:r>
        <w:r>
          <w:tab/>
        </w:r>
        <w:r>
          <w:fldChar w:fldCharType="begin"/>
        </w:r>
        <w:r>
          <w:instrText xml:space="preserve"> PAGEREF _Toc2379 \h </w:instrText>
        </w:r>
        <w:r>
          <w:fldChar w:fldCharType="separate"/>
        </w:r>
        <w:r>
          <w:t>43</w:t>
        </w:r>
        <w:r>
          <w:fldChar w:fldCharType="end"/>
        </w:r>
      </w:hyperlink>
    </w:p>
    <w:p>
      <w:pPr>
        <w:pStyle w:val="TOC2"/>
        <w:tabs>
          <w:tab w:val="right" w:leader="dot" w:pos="8306"/>
        </w:tabs>
      </w:pPr>
      <w:hyperlink w:anchor="_Toc19071" w:history="1">
        <w:r>
          <w:rPr>
            <w:rFonts w:ascii="宋体" w:eastAsia="宋体" w:hAnsi="宋体" w:cs="宋体" w:hint="eastAsia"/>
            <w:bCs w:val="0"/>
            <w:szCs w:val="28"/>
            <w:lang w:eastAsia="zh-CN"/>
          </w:rPr>
          <w:t>(三)、项目风险分析与对策</w:t>
        </w:r>
        <w:r>
          <w:tab/>
        </w:r>
        <w:r>
          <w:fldChar w:fldCharType="begin"/>
        </w:r>
        <w:r>
          <w:instrText xml:space="preserve"> PAGEREF _Toc19071 \h </w:instrText>
        </w:r>
        <w:r>
          <w:fldChar w:fldCharType="separate"/>
        </w:r>
        <w:r>
          <w:t>43</w:t>
        </w:r>
        <w:r>
          <w:fldChar w:fldCharType="end"/>
        </w:r>
      </w:hyperlink>
    </w:p>
    <w:p>
      <w:pPr>
        <w:pStyle w:val="TOC1"/>
        <w:tabs>
          <w:tab w:val="right" w:leader="dot" w:pos="8306"/>
        </w:tabs>
      </w:pPr>
      <w:hyperlink w:anchor="_Toc5742" w:history="1">
        <w:r>
          <w:rPr>
            <w:rFonts w:ascii="微软雅黑" w:eastAsia="微软雅黑" w:hAnsi="微软雅黑" w:cs="微软雅黑" w:hint="eastAsia"/>
            <w:color w:val="001CAC" w:themeColor="hyperlink" w:themeShade="BF"/>
            <w:szCs w:val="32"/>
            <w:lang w:eastAsia="zh-CN"/>
          </w:rPr>
          <w:t>十二、项目实施与进度安排</w:t>
        </w:r>
        <w:r>
          <w:tab/>
        </w:r>
        <w:r>
          <w:fldChar w:fldCharType="begin"/>
        </w:r>
        <w:r>
          <w:instrText xml:space="preserve"> PAGEREF _Toc5742 \h </w:instrText>
        </w:r>
        <w:r>
          <w:fldChar w:fldCharType="separate"/>
        </w:r>
        <w:r>
          <w:t>44</w:t>
        </w:r>
        <w:r>
          <w:fldChar w:fldCharType="end"/>
        </w:r>
      </w:hyperlink>
    </w:p>
    <w:p>
      <w:pPr>
        <w:pStyle w:val="TOC2"/>
        <w:tabs>
          <w:tab w:val="right" w:leader="dot" w:pos="8306"/>
        </w:tabs>
      </w:pPr>
      <w:hyperlink w:anchor="_Toc17968" w:history="1">
        <w:r>
          <w:rPr>
            <w:rFonts w:ascii="宋体" w:eastAsia="宋体" w:hAnsi="宋体" w:cs="宋体" w:hint="eastAsia"/>
            <w:bCs w:val="0"/>
            <w:szCs w:val="28"/>
            <w:lang w:eastAsia="zh-CN"/>
          </w:rPr>
          <w:t>(一)、项目计划与时间节点</w:t>
        </w:r>
        <w:r>
          <w:tab/>
        </w:r>
        <w:r>
          <w:fldChar w:fldCharType="begin"/>
        </w:r>
        <w:r>
          <w:instrText xml:space="preserve"> PAGEREF _Toc17968 \h </w:instrText>
        </w:r>
        <w:r>
          <w:fldChar w:fldCharType="separate"/>
        </w:r>
        <w:r>
          <w:t>44</w:t>
        </w:r>
        <w:r>
          <w:fldChar w:fldCharType="end"/>
        </w:r>
      </w:hyperlink>
    </w:p>
    <w:p>
      <w:pPr>
        <w:pStyle w:val="TOC2"/>
        <w:tabs>
          <w:tab w:val="right" w:leader="dot" w:pos="8306"/>
        </w:tabs>
      </w:pPr>
      <w:hyperlink w:anchor="_Toc30122" w:history="1">
        <w:r>
          <w:rPr>
            <w:rFonts w:ascii="宋体" w:eastAsia="宋体" w:hAnsi="宋体" w:cs="宋体" w:hint="eastAsia"/>
            <w:bCs w:val="0"/>
            <w:szCs w:val="28"/>
            <w:lang w:eastAsia="zh-CN"/>
          </w:rPr>
          <w:t>(二)、项目进度安排</w:t>
        </w:r>
        <w:r>
          <w:tab/>
        </w:r>
        <w:r>
          <w:fldChar w:fldCharType="begin"/>
        </w:r>
        <w:r>
          <w:instrText xml:space="preserve"> PAGEREF _Toc30122 \h </w:instrText>
        </w:r>
        <w:r>
          <w:fldChar w:fldCharType="separate"/>
        </w:r>
        <w:r>
          <w:t>45</w:t>
        </w:r>
        <w:r>
          <w:fldChar w:fldCharType="end"/>
        </w:r>
      </w:hyperlink>
    </w:p>
    <w:p>
      <w:pPr>
        <w:pStyle w:val="TOC2"/>
        <w:tabs>
          <w:tab w:val="right" w:leader="dot" w:pos="8306"/>
        </w:tabs>
      </w:pPr>
      <w:hyperlink w:anchor="_Toc32426" w:history="1">
        <w:r>
          <w:rPr>
            <w:rFonts w:ascii="宋体" w:eastAsia="宋体" w:hAnsi="宋体" w:cs="宋体" w:hint="eastAsia"/>
            <w:bCs w:val="0"/>
            <w:szCs w:val="28"/>
            <w:lang w:eastAsia="zh-CN"/>
          </w:rPr>
          <w:t>(三)、风险管理与对策</w:t>
        </w:r>
        <w:r>
          <w:tab/>
        </w:r>
        <w:r>
          <w:fldChar w:fldCharType="begin"/>
        </w:r>
        <w:r>
          <w:instrText xml:space="preserve"> PAGEREF _Toc32426 \h </w:instrText>
        </w:r>
        <w:r>
          <w:fldChar w:fldCharType="separate"/>
        </w:r>
        <w:r>
          <w:t>47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9422"/>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抛丸清理机行业研究报告致力于对抛丸清理机行业进行详尽研究和分析，旨在为抛丸清理机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4955"/>
      <w:r>
        <w:rPr>
          <w:rFonts w:ascii="微软雅黑" w:eastAsia="微软雅黑" w:hAnsi="微软雅黑" w:cs="微软雅黑" w:hint="eastAsia"/>
          <w:color w:val="2E54A1" w:themeColor="accent1" w:themeShade="BF"/>
          <w:sz w:val="32"/>
          <w:szCs w:val="32"/>
          <w:lang w:eastAsia="zh-CN"/>
        </w:rPr>
        <w:t>一、制度运行与优化</w:t>
      </w:r>
      <w:bookmarkEnd w:id="2"/>
    </w:p>
    <w:p>
      <w:pPr>
        <w:pStyle w:val="Heading2"/>
        <w:spacing w:line="480" w:lineRule="auto"/>
        <w:rPr>
          <w:rFonts w:ascii="宋体" w:eastAsia="宋体" w:hAnsi="宋体" w:cs="宋体" w:hint="eastAsia"/>
          <w:bCs w:val="0"/>
          <w:sz w:val="28"/>
          <w:szCs w:val="28"/>
          <w:lang w:eastAsia="zh-CN"/>
        </w:rPr>
      </w:pPr>
      <w:bookmarkStart w:id="3" w:name="_Toc3754"/>
      <w:r>
        <w:rPr>
          <w:rFonts w:ascii="宋体" w:eastAsia="宋体" w:hAnsi="宋体" w:cs="宋体" w:hint="eastAsia"/>
          <w:b/>
          <w:bCs w:val="0"/>
          <w:sz w:val="28"/>
          <w:szCs w:val="28"/>
          <w:lang w:eastAsia="zh-CN"/>
        </w:rPr>
        <w:t>(一)、制度执行与监督</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制度执行与监督是确保公司规章制度得到切实贯彻的重要环节。我们特别重视这一过程，通过成立专业的制度执行团队，致力于监察和评估公司各级制度的执行情况。该团队定期进行内部审核，深入各个部门开展审查，全面了解执行效果，并向高层管理层提供详尽的报告,以确保公司的各项规章制度得以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强化监督机制，我们鼓励员工积极参与。通过设立匿名举报机制，我们提供了一个安全、隐蔽的渠道，使员工能够自由反映制度执行中的问题。这种开放的沟通渠道有助于公司及时发现并解决潜在问题，同时也增强了员工对公司治理的信任度。</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审查与交流，高层管理层能够深入了解制度执行的实际情况，并迅速制定必要的改进方案。这种多层次的监督机制不仅有助于维护公司内部秩序，也为公司整体治理水平的不断提升复定坚实基础。</w:t>
      </w:r>
    </w:p>
    <w:p>
      <w:pPr>
        <w:pStyle w:val="Heading2"/>
        <w:spacing w:line="480" w:lineRule="auto"/>
        <w:rPr>
          <w:rFonts w:ascii="宋体" w:eastAsia="宋体" w:hAnsi="宋体" w:cs="宋体" w:hint="eastAsia"/>
          <w:bCs w:val="0"/>
          <w:sz w:val="28"/>
          <w:szCs w:val="28"/>
          <w:lang w:eastAsia="zh-CN"/>
        </w:rPr>
      </w:pPr>
      <w:bookmarkStart w:id="4" w:name="_Toc30218"/>
      <w:r>
        <w:rPr>
          <w:rFonts w:ascii="宋体" w:eastAsia="宋体" w:hAnsi="宋体" w:cs="宋体" w:hint="eastAsia"/>
          <w:b/>
          <w:bCs w:val="0"/>
          <w:sz w:val="28"/>
          <w:szCs w:val="28"/>
          <w:lang w:eastAsia="zh-CN"/>
        </w:rPr>
        <w:t>(二)、制度优化与更新</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度的优化与更新是公司持续发展的重要环节。我们将其视作一项策略任务，通过建立制度管理委员会来推动这一过程。委员会由各个部门的专业人员组成，负责定期审查公司的各项制度。这一审查不仅仅限于内部，还积极吸纳员工的建议和意见，融入外部专业观点，确保审查的全面性和公正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适应外部环境的变化和公司内部的发展需求,我们密切关注法规和抛丸清理机行业标准的变动。这种灵活性使得我们能够及时调整公司制度，确保其与时俱进。通过持续的制度优化与更新，我们致力于构建一个符合公司实际情况、富有弹性和活力的治理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度更新的过程中，我们注重与员工的沟通与合作。通过定期的培训和沟通会议，我们向员工解释新制度的背景和目的，提供详尽的操作指南，以确保员工能够理解和遵守新的规定。这种共同努力有助于强化员工对制度变化的接受度，为公司长期发展提供更为健康和稳定的制度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5" w:name="_Toc26990"/>
      <w:r>
        <w:rPr>
          <w:rFonts w:ascii="微软雅黑" w:eastAsia="微软雅黑" w:hAnsi="微软雅黑" w:cs="微软雅黑" w:hint="eastAsia"/>
          <w:color w:val="2E54A1" w:themeColor="accent1" w:themeShade="BF"/>
          <w:sz w:val="32"/>
          <w:szCs w:val="32"/>
          <w:lang w:eastAsia="zh-CN"/>
        </w:rPr>
        <w:t>二、抛丸清理机行业投资管理策略</w:t>
      </w:r>
      <w:bookmarkEnd w:id="5"/>
    </w:p>
    <w:p>
      <w:pPr>
        <w:pStyle w:val="Heading2"/>
        <w:spacing w:line="480" w:lineRule="auto"/>
        <w:rPr>
          <w:rFonts w:ascii="宋体" w:eastAsia="宋体" w:hAnsi="宋体" w:cs="宋体" w:hint="eastAsia"/>
          <w:bCs w:val="0"/>
          <w:sz w:val="28"/>
          <w:szCs w:val="28"/>
          <w:lang w:eastAsia="zh-CN"/>
        </w:rPr>
      </w:pPr>
      <w:bookmarkStart w:id="6" w:name="_Toc12904"/>
      <w:r>
        <w:rPr>
          <w:rFonts w:ascii="宋体" w:eastAsia="宋体" w:hAnsi="宋体" w:cs="宋体" w:hint="eastAsia"/>
          <w:b/>
          <w:bCs w:val="0"/>
          <w:sz w:val="28"/>
          <w:szCs w:val="28"/>
          <w:lang w:eastAsia="zh-CN"/>
        </w:rPr>
        <w:t>(一)、抛丸清理机行业投资估算主要内容</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(一)设备投资成本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https://d.book118.com/856101051014010041</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62A91464"/>
    <w:rsid w:val="692E1C42"/>
    <w:rsid w:val="75C15CDF"/>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56101051014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2024-01-17T06:19:19Z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