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58" w:line="221" w:lineRule="auto"/>
        <w:ind w:left="937"/>
        <w:outlineLvl w:val="0"/>
        <w:rPr>
          <w:sz w:val="30"/>
          <w:szCs w:val="30"/>
        </w:rPr>
      </w:pPr>
      <w:r>
        <w:rPr>
          <w:spacing w:val="-2"/>
          <w:sz w:val="30"/>
          <w:szCs w:val="30"/>
        </w:rPr>
        <w:t>危险化学品企业设备完整性</w:t>
      </w:r>
      <w:r>
        <w:rPr>
          <w:spacing w:val="-2"/>
          <w:sz w:val="30"/>
          <w:szCs w:val="30"/>
        </w:rPr>
        <w:t xml:space="preserve">  </w:t>
      </w:r>
      <w:r>
        <w:rPr>
          <w:spacing w:val="-2"/>
          <w:sz w:val="30"/>
          <w:szCs w:val="30"/>
        </w:rPr>
        <w:t>第</w:t>
      </w:r>
      <w:r>
        <w:rPr>
          <w:spacing w:val="-46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1</w:t>
      </w:r>
      <w:r>
        <w:rPr>
          <w:spacing w:val="-58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部分：管</w:t>
      </w:r>
      <w:r>
        <w:rPr>
          <w:spacing w:val="-3"/>
          <w:sz w:val="30"/>
          <w:szCs w:val="30"/>
        </w:rPr>
        <w:t>理体系要求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78" w:line="223" w:lineRule="auto"/>
        <w:ind w:left="14"/>
        <w:rPr>
          <w:sz w:val="24"/>
          <w:szCs w:val="24"/>
        </w:rPr>
      </w:pPr>
      <w:r>
        <w:rPr>
          <w:spacing w:val="-10"/>
          <w:sz w:val="24"/>
          <w:szCs w:val="24"/>
        </w:rPr>
        <w:t>1</w:t>
      </w:r>
      <w:r>
        <w:rPr>
          <w:spacing w:val="6"/>
          <w:sz w:val="24"/>
          <w:szCs w:val="24"/>
        </w:rPr>
        <w:t xml:space="preserve">  </w:t>
      </w:r>
      <w:r>
        <w:rPr>
          <w:spacing w:val="-10"/>
          <w:sz w:val="24"/>
          <w:szCs w:val="24"/>
        </w:rPr>
        <w:t>范围</w:t>
      </w:r>
    </w:p>
    <w:p>
      <w:pPr>
        <w:spacing w:before="257" w:line="229" w:lineRule="auto"/>
        <w:ind w:left="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本文件提出了危险化学品企业设备完整性管理体系的要求，规</w:t>
      </w:r>
      <w:r>
        <w:rPr>
          <w:rFonts w:ascii="SimSun" w:eastAsia="SimSun" w:hAnsi="SimSun" w:cs="SimSun"/>
          <w:spacing w:val="-3"/>
          <w:sz w:val="21"/>
          <w:szCs w:val="21"/>
        </w:rPr>
        <w:t>定了组织环境、领导作用、策划、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支持、运行、绩效评价、改进等设备完整性管理要素的基本内容。</w:t>
      </w:r>
    </w:p>
    <w:p>
      <w:pPr>
        <w:spacing w:before="20" w:line="231" w:lineRule="auto"/>
        <w:ind w:left="3" w:right="79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本文件适用于危险化学品企业静设备、转动设备、电气设备、仪表设备</w:t>
      </w:r>
      <w:r>
        <w:rPr>
          <w:rFonts w:ascii="SimSun" w:eastAsia="SimSun" w:hAnsi="SimSun" w:cs="SimSun"/>
          <w:sz w:val="21"/>
          <w:szCs w:val="21"/>
        </w:rPr>
        <w:t xml:space="preserve">、安全及消防设施等设 </w:t>
      </w:r>
      <w:r>
        <w:rPr>
          <w:rFonts w:ascii="SimSun" w:eastAsia="SimSun" w:hAnsi="SimSun" w:cs="SimSun"/>
          <w:sz w:val="21"/>
          <w:szCs w:val="21"/>
        </w:rPr>
        <w:t>备的完整性管理。其他企业和生产经营单位的设备管理</w:t>
      </w:r>
      <w:r>
        <w:rPr>
          <w:rFonts w:ascii="SimSun" w:eastAsia="SimSun" w:hAnsi="SimSun" w:cs="SimSun"/>
          <w:spacing w:val="-1"/>
          <w:sz w:val="21"/>
          <w:szCs w:val="21"/>
        </w:rPr>
        <w:t>可参照执行。</w:t>
      </w:r>
    </w:p>
    <w:p>
      <w:pPr>
        <w:pStyle w:val="BodyText"/>
        <w:spacing w:before="264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2</w:t>
      </w:r>
      <w:r>
        <w:rPr>
          <w:spacing w:val="-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规范性引用文件</w:t>
      </w:r>
    </w:p>
    <w:p>
      <w:pPr>
        <w:spacing w:before="260" w:line="233" w:lineRule="auto"/>
        <w:ind w:left="2" w:right="76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下列文件中的内容通过文中的规范性引用而构成本文件必不</w:t>
      </w:r>
      <w:r>
        <w:rPr>
          <w:rFonts w:ascii="SimSun" w:eastAsia="SimSun" w:hAnsi="SimSun" w:cs="SimSun"/>
          <w:sz w:val="21"/>
          <w:szCs w:val="21"/>
        </w:rPr>
        <w:t xml:space="preserve">可缺少的条款。其中，注日期的引 </w:t>
      </w:r>
      <w:r>
        <w:rPr>
          <w:rFonts w:ascii="SimSun" w:eastAsia="SimSun" w:hAnsi="SimSun" w:cs="SimSun"/>
          <w:spacing w:val="1"/>
          <w:sz w:val="21"/>
          <w:szCs w:val="21"/>
        </w:rPr>
        <w:t>用文件，仅该日期对应的版本适用于本文件；不注日期的引用文件，其最新</w:t>
      </w:r>
      <w:r>
        <w:rPr>
          <w:rFonts w:ascii="SimSun" w:eastAsia="SimSun" w:hAnsi="SimSun" w:cs="SimSun"/>
          <w:sz w:val="21"/>
          <w:szCs w:val="21"/>
        </w:rPr>
        <w:t xml:space="preserve">版本（包括所有的修改 </w:t>
      </w:r>
      <w:r>
        <w:rPr>
          <w:rFonts w:ascii="SimSun" w:eastAsia="SimSun" w:hAnsi="SimSun" w:cs="SimSun"/>
          <w:spacing w:val="-3"/>
          <w:sz w:val="21"/>
          <w:szCs w:val="21"/>
        </w:rPr>
        <w:t>单）适用于本文件。</w:t>
      </w:r>
    </w:p>
    <w:p>
      <w:pPr>
        <w:spacing w:before="23" w:line="221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GB/T 19001-2016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质量管理体系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要求</w:t>
      </w:r>
    </w:p>
    <w:p>
      <w:pPr>
        <w:spacing w:before="19" w:line="221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GB/T 24001-2016  环境管理体系 要求</w:t>
      </w:r>
      <w:r>
        <w:rPr>
          <w:rFonts w:ascii="SimSun" w:eastAsia="SimSun" w:hAnsi="SimSun" w:cs="SimSun"/>
          <w:spacing w:val="-1"/>
          <w:sz w:val="21"/>
          <w:szCs w:val="21"/>
        </w:rPr>
        <w:t>及使用指南</w:t>
      </w:r>
    </w:p>
    <w:p>
      <w:pPr>
        <w:spacing w:before="20" w:line="221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GB/T 24353-2022  风险管理</w:t>
      </w:r>
      <w:r>
        <w:rPr>
          <w:rFonts w:ascii="SimSun" w:eastAsia="SimSun" w:hAnsi="SimSun" w:cs="SimSun"/>
          <w:spacing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指南</w:t>
      </w:r>
    </w:p>
    <w:p>
      <w:pPr>
        <w:spacing w:before="22" w:line="221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 xml:space="preserve">GB/T 28001-2019  职业健康安全管理体系 </w:t>
      </w:r>
      <w:r>
        <w:rPr>
          <w:rFonts w:ascii="SimSun" w:eastAsia="SimSun" w:hAnsi="SimSun" w:cs="SimSun"/>
          <w:spacing w:val="-1"/>
          <w:sz w:val="21"/>
          <w:szCs w:val="21"/>
        </w:rPr>
        <w:t>要求</w:t>
      </w:r>
    </w:p>
    <w:p>
      <w:pPr>
        <w:spacing w:before="20" w:line="221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   32167-2015  油气输送管道完整</w:t>
      </w:r>
      <w:r>
        <w:rPr>
          <w:rFonts w:ascii="SimSun" w:eastAsia="SimSun" w:hAnsi="SimSun" w:cs="SimSun"/>
          <w:spacing w:val="-1"/>
          <w:sz w:val="21"/>
          <w:szCs w:val="21"/>
        </w:rPr>
        <w:t>性管理规范</w:t>
      </w:r>
    </w:p>
    <w:p>
      <w:pPr>
        <w:spacing w:before="23" w:line="515" w:lineRule="exact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23"/>
          <w:sz w:val="21"/>
          <w:szCs w:val="21"/>
        </w:rPr>
        <w:t>GB/T 33173-2016/ ISO55001:2014</w:t>
      </w:r>
      <w:r>
        <w:rPr>
          <w:rFonts w:ascii="SimSun" w:eastAsia="SimSun" w:hAnsi="SimSun" w:cs="SimSun"/>
          <w:spacing w:val="28"/>
          <w:position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23"/>
          <w:sz w:val="21"/>
          <w:szCs w:val="21"/>
        </w:rPr>
        <w:t>资产管理</w:t>
      </w:r>
      <w:r>
        <w:rPr>
          <w:rFonts w:ascii="SimSun" w:eastAsia="SimSun" w:hAnsi="SimSun" w:cs="SimSun"/>
          <w:spacing w:val="11"/>
          <w:position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23"/>
          <w:sz w:val="21"/>
          <w:szCs w:val="21"/>
        </w:rPr>
        <w:t>管理体系 要求</w:t>
      </w:r>
    </w:p>
    <w:p>
      <w:pPr>
        <w:pStyle w:val="BodyText"/>
        <w:spacing w:before="1" w:line="220" w:lineRule="auto"/>
        <w:ind w:left="1"/>
        <w:rPr>
          <w:sz w:val="24"/>
          <w:szCs w:val="24"/>
        </w:rPr>
      </w:pPr>
      <w:r>
        <w:rPr>
          <w:spacing w:val="-1"/>
          <w:sz w:val="24"/>
          <w:szCs w:val="24"/>
        </w:rPr>
        <w:t>3</w:t>
      </w:r>
      <w:r>
        <w:rPr>
          <w:spacing w:val="-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术语、定义和缩略语</w:t>
      </w:r>
    </w:p>
    <w:p>
      <w:pPr>
        <w:pStyle w:val="BodyText"/>
        <w:spacing w:before="261" w:line="188" w:lineRule="auto"/>
      </w:pPr>
      <w:r>
        <w:rPr>
          <w:spacing w:val="-1"/>
        </w:rPr>
        <w:t>3.1</w:t>
      </w:r>
      <w:r>
        <w:rPr>
          <w:spacing w:val="-1"/>
        </w:rPr>
        <w:t xml:space="preserve"> </w:t>
      </w:r>
      <w:r>
        <w:rPr>
          <w:spacing w:val="-1"/>
        </w:rPr>
        <w:t>术语和定义</w:t>
      </w:r>
    </w:p>
    <w:p>
      <w:pPr>
        <w:spacing w:line="205" w:lineRule="auto"/>
        <w:ind w:left="440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C0C0C0"/>
          <w:spacing w:val="-1"/>
          <w:sz w:val="2"/>
          <w:szCs w:val="2"/>
        </w:rPr>
        <w:t>内部资料</w:t>
      </w:r>
      <w:r>
        <w:rPr>
          <w:rFonts w:ascii="SimSun" w:eastAsia="SimSun" w:hAnsi="SimSun" w:cs="SimSun"/>
          <w:color w:val="C0C0C0"/>
          <w:spacing w:val="6"/>
          <w:w w:val="109"/>
          <w:sz w:val="2"/>
          <w:szCs w:val="2"/>
        </w:rPr>
        <w:t xml:space="preserve"> </w:t>
      </w:r>
      <w:r>
        <w:rPr>
          <w:rFonts w:ascii="SimSun" w:eastAsia="SimSun" w:hAnsi="SimSun" w:cs="SimSun"/>
          <w:color w:val="C0C0C0"/>
          <w:spacing w:val="-1"/>
          <w:sz w:val="2"/>
          <w:szCs w:val="2"/>
        </w:rPr>
        <w:t>尚未公开 注意保密</w:t>
      </w:r>
    </w:p>
    <w:p>
      <w:pPr>
        <w:spacing w:before="158" w:line="304" w:lineRule="exact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6"/>
          <w:sz w:val="21"/>
          <w:szCs w:val="21"/>
        </w:rPr>
        <w:t>下列术语和定义适用于本文件。</w:t>
      </w:r>
    </w:p>
    <w:p>
      <w:pPr>
        <w:pStyle w:val="BodyText"/>
        <w:spacing w:line="184" w:lineRule="auto"/>
        <w:ind w:left="1"/>
      </w:pPr>
      <w:r>
        <w:rPr>
          <w:spacing w:val="-1"/>
        </w:rPr>
        <w:t>3.1.1</w:t>
      </w:r>
    </w:p>
    <w:p>
      <w:pPr>
        <w:pStyle w:val="BodyText"/>
        <w:spacing w:before="31" w:line="219" w:lineRule="auto"/>
        <w:ind w:left="421"/>
      </w:pPr>
      <w:r>
        <w:rPr>
          <w:spacing w:val="-2"/>
        </w:rPr>
        <w:t>设备完整性（Equipment</w:t>
      </w:r>
      <w:r>
        <w:rPr>
          <w:spacing w:val="41"/>
        </w:rPr>
        <w:t xml:space="preserve"> </w:t>
      </w:r>
      <w:r>
        <w:rPr>
          <w:spacing w:val="-2"/>
        </w:rPr>
        <w:t>Integrity）</w:t>
      </w:r>
    </w:p>
    <w:p>
      <w:pPr>
        <w:spacing w:before="24" w:line="229" w:lineRule="auto"/>
        <w:ind w:left="3" w:right="78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设备在物理上和功能上是完整的、 处于安全可靠的受控状态，符合预期的功能，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反映设备安全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性、可靠性、经济性的综合特性。</w:t>
      </w:r>
    </w:p>
    <w:p>
      <w:pPr>
        <w:pStyle w:val="BodyText"/>
        <w:spacing w:before="55" w:line="184" w:lineRule="auto"/>
        <w:ind w:left="1"/>
      </w:pPr>
      <w:r>
        <w:rPr>
          <w:spacing w:val="-1"/>
        </w:rPr>
        <w:t>3.1.2</w:t>
      </w:r>
    </w:p>
    <w:p>
      <w:pPr>
        <w:pStyle w:val="BodyText"/>
        <w:spacing w:before="29" w:line="219" w:lineRule="auto"/>
        <w:ind w:left="421"/>
      </w:pPr>
      <w:r>
        <w:rPr>
          <w:spacing w:val="-1"/>
        </w:rPr>
        <w:t>设备完整性管理体系（Equipment</w:t>
      </w:r>
      <w:r>
        <w:rPr>
          <w:spacing w:val="40"/>
        </w:rPr>
        <w:t xml:space="preserve"> </w:t>
      </w:r>
      <w:r>
        <w:rPr>
          <w:spacing w:val="-1"/>
        </w:rPr>
        <w:t>Integrity</w:t>
      </w:r>
      <w:r>
        <w:rPr>
          <w:spacing w:val="-1"/>
        </w:rPr>
        <w:t xml:space="preserve"> </w:t>
      </w:r>
      <w:r>
        <w:rPr>
          <w:spacing w:val="-1"/>
        </w:rPr>
        <w:t>Management</w:t>
      </w:r>
      <w:r>
        <w:rPr>
          <w:spacing w:val="-1"/>
        </w:rPr>
        <w:t xml:space="preserve"> </w:t>
      </w:r>
      <w:r>
        <w:rPr>
          <w:spacing w:val="-1"/>
        </w:rPr>
        <w:t>Syst</w:t>
      </w:r>
      <w:r>
        <w:rPr>
          <w:spacing w:val="-2"/>
        </w:rPr>
        <w:t>em）</w:t>
      </w:r>
    </w:p>
    <w:p>
      <w:pPr>
        <w:spacing w:before="25" w:line="229" w:lineRule="auto"/>
        <w:ind w:left="3" w:right="114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企业设备完整性管理的方针、策略、目标、计划和活动，</w:t>
      </w:r>
      <w:r>
        <w:rPr>
          <w:rFonts w:ascii="SimSun" w:eastAsia="SimSun" w:hAnsi="SimSun" w:cs="SimSun"/>
          <w:spacing w:val="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以及对于上述内容的规划、实施、检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查和持续改进所必需的程序和组织结构。</w:t>
      </w:r>
    </w:p>
    <w:p>
      <w:pPr>
        <w:pStyle w:val="BodyText"/>
        <w:spacing w:before="56" w:line="184" w:lineRule="auto"/>
        <w:ind w:left="1"/>
      </w:pPr>
      <w:r>
        <w:rPr>
          <w:spacing w:val="-1"/>
        </w:rPr>
        <w:t>3.1.3</w:t>
      </w:r>
    </w:p>
    <w:p>
      <w:pPr>
        <w:pStyle w:val="BodyText"/>
        <w:spacing w:before="29" w:line="219" w:lineRule="auto"/>
        <w:ind w:left="421"/>
      </w:pPr>
      <w:r>
        <w:t>设备分类分级管理（Equipment</w:t>
      </w:r>
      <w:r>
        <w:t xml:space="preserve"> </w:t>
      </w:r>
      <w:r>
        <w:t>Classification</w:t>
      </w:r>
      <w:r>
        <w:t xml:space="preserve"> </w:t>
      </w:r>
      <w:r>
        <w:t>M</w:t>
      </w:r>
      <w:r>
        <w:rPr>
          <w:spacing w:val="-1"/>
        </w:rPr>
        <w:t>anagement）</w:t>
      </w:r>
    </w:p>
    <w:p>
      <w:pPr>
        <w:spacing w:before="25" w:line="233" w:lineRule="auto"/>
        <w:ind w:left="1" w:right="114" w:firstLine="419"/>
        <w:rPr>
          <w:rFonts w:ascii="SimSun" w:eastAsia="SimSun" w:hAnsi="SimSun" w:cs="SimSun"/>
          <w:sz w:val="21"/>
          <w:szCs w:val="21"/>
        </w:rPr>
        <w:sectPr>
          <w:headerReference w:type="default" r:id="rId4"/>
          <w:footerReference w:type="default" r:id="rId5"/>
          <w:pgSz w:w="11907" w:h="16841"/>
          <w:pgMar w:top="1348" w:right="1336" w:bottom="1259" w:left="1425" w:header="1133" w:footer="1098" w:gutter="0"/>
          <w:cols w:space="708"/>
        </w:sectPr>
      </w:pPr>
      <w:r>
        <w:rPr>
          <w:rFonts w:ascii="SimSun" w:eastAsia="SimSun" w:hAnsi="SimSun" w:cs="SimSun"/>
          <w:sz w:val="21"/>
          <w:szCs w:val="21"/>
        </w:rPr>
        <w:t>根据不同类别设备的生产重要性、维修复杂性、故障危害性、设计成熟度、维修费用</w:t>
      </w:r>
      <w:r>
        <w:rPr>
          <w:rFonts w:ascii="SimSun" w:eastAsia="SimSun" w:hAnsi="SimSun" w:cs="SimSun"/>
          <w:spacing w:val="-1"/>
          <w:sz w:val="21"/>
          <w:szCs w:val="21"/>
        </w:rPr>
        <w:t>等因素的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综合评估结果， 结合企业设备管理实际，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将不同类别设备按关键设备</w:t>
      </w:r>
      <w:r>
        <w:rPr>
          <w:rFonts w:ascii="SimSun" w:eastAsia="SimSun" w:hAnsi="SimSun" w:cs="SimSun"/>
          <w:spacing w:val="-5"/>
          <w:sz w:val="21"/>
          <w:szCs w:val="21"/>
        </w:rPr>
        <w:t>、主要设备和一般设备进行分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类分级管理，合理分配相关资源。</w:t>
      </w:r>
    </w:p>
    <w:p>
      <w:pPr>
        <w:pStyle w:val="BodyText"/>
        <w:spacing w:before="53" w:line="184" w:lineRule="auto"/>
        <w:ind w:left="1"/>
      </w:pPr>
      <w:r>
        <w:rPr>
          <w:spacing w:val="-1"/>
        </w:rPr>
        <w:t>3.1.4</w:t>
      </w:r>
    </w:p>
    <w:p>
      <w:pPr>
        <w:pStyle w:val="BodyText"/>
        <w:spacing w:before="31" w:line="219" w:lineRule="auto"/>
        <w:ind w:left="422"/>
      </w:pPr>
      <w:r>
        <w:t>设备风险管理（Equipment</w:t>
      </w:r>
      <w:r>
        <w:t xml:space="preserve"> </w:t>
      </w:r>
      <w:r>
        <w:t>Risk</w:t>
      </w:r>
      <w:r>
        <w:t xml:space="preserve"> </w:t>
      </w:r>
      <w:r>
        <w:t>Ma</w:t>
      </w:r>
      <w:r>
        <w:rPr>
          <w:spacing w:val="-1"/>
        </w:rPr>
        <w:t>nagement）</w:t>
      </w:r>
    </w:p>
    <w:p>
      <w:pPr>
        <w:spacing w:before="21" w:line="231" w:lineRule="auto"/>
        <w:ind w:left="12" w:right="78" w:firstLine="40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在设备全生命周期内，开展设备风险识别、风险评价、风险控制及风险监测</w:t>
      </w:r>
      <w:r>
        <w:rPr>
          <w:rFonts w:ascii="SimSun" w:eastAsia="SimSun" w:hAnsi="SimSun" w:cs="SimSun"/>
          <w:sz w:val="21"/>
          <w:szCs w:val="21"/>
        </w:rPr>
        <w:t xml:space="preserve">的管理活动，将风 </w:t>
      </w:r>
      <w:r>
        <w:rPr>
          <w:rFonts w:ascii="SimSun" w:eastAsia="SimSun" w:hAnsi="SimSun" w:cs="SimSun"/>
          <w:spacing w:val="-2"/>
          <w:sz w:val="21"/>
          <w:szCs w:val="21"/>
        </w:rPr>
        <w:t>险控制在可接受的范围内。</w:t>
      </w:r>
    </w:p>
    <w:p>
      <w:pPr>
        <w:pStyle w:val="BodyText"/>
        <w:spacing w:before="54" w:line="184" w:lineRule="auto"/>
        <w:ind w:left="1"/>
      </w:pPr>
      <w:r>
        <w:rPr>
          <w:spacing w:val="-1"/>
        </w:rPr>
        <w:t>3.1.5</w:t>
      </w:r>
    </w:p>
    <w:p>
      <w:pPr>
        <w:pStyle w:val="BodyText"/>
        <w:spacing w:before="31" w:line="219" w:lineRule="auto"/>
        <w:ind w:left="421"/>
      </w:pPr>
      <w:r>
        <w:t>过程质量管理（Process</w:t>
      </w:r>
      <w:r>
        <w:t xml:space="preserve"> </w:t>
      </w:r>
      <w:r>
        <w:t>Quality</w:t>
      </w:r>
      <w:r>
        <w:t xml:space="preserve"> </w:t>
      </w:r>
      <w:r>
        <w:t>Mana</w:t>
      </w:r>
      <w:r>
        <w:rPr>
          <w:spacing w:val="-1"/>
        </w:rPr>
        <w:t>gement）</w:t>
      </w:r>
    </w:p>
    <w:p>
      <w:pPr>
        <w:pStyle w:val="BodyText"/>
        <w:spacing w:before="21" w:line="227" w:lineRule="auto"/>
        <w:ind w:left="1" w:firstLine="419"/>
      </w:pPr>
      <w:r>
        <w:rPr>
          <w:rFonts w:ascii="SimSun" w:eastAsia="SimSun" w:hAnsi="SimSun" w:cs="SimSun"/>
          <w:spacing w:val="-5"/>
        </w:rPr>
        <w:t>在设备全生命周期中采取一系列有计划、有组织的管理活动， 以确保过程和结果满足质量要求。</w:t>
      </w:r>
      <w:r>
        <w:rPr>
          <w:rFonts w:ascii="SimSun" w:eastAsia="SimSun" w:hAnsi="SimSun" w:cs="SimSun"/>
          <w:spacing w:val="11"/>
        </w:rPr>
        <w:t xml:space="preserve"> </w:t>
      </w:r>
      <w:r>
        <w:rPr>
          <w:spacing w:val="-1"/>
        </w:rPr>
        <w:t>3.1.6</w:t>
      </w:r>
    </w:p>
    <w:p>
      <w:pPr>
        <w:pStyle w:val="BodyText"/>
        <w:spacing w:before="29" w:line="219" w:lineRule="auto"/>
        <w:ind w:left="418"/>
      </w:pPr>
      <w:r>
        <w:t>检验、检测和预防性维修（Inspection,</w:t>
      </w:r>
      <w:r>
        <w:t xml:space="preserve"> </w:t>
      </w:r>
      <w:r>
        <w:t>Testing</w:t>
      </w:r>
      <w:r>
        <w:t xml:space="preserve"> </w:t>
      </w:r>
      <w:r>
        <w:t>and</w:t>
      </w:r>
      <w:r>
        <w:t xml:space="preserve"> </w:t>
      </w:r>
      <w:r>
        <w:t>Preventive</w:t>
      </w:r>
      <w:r>
        <w:t xml:space="preserve"> </w:t>
      </w:r>
      <w:r>
        <w:t>Mainte</w:t>
      </w:r>
      <w:r>
        <w:rPr>
          <w:spacing w:val="-1"/>
        </w:rPr>
        <w:t>nance）</w:t>
      </w:r>
    </w:p>
    <w:p>
      <w:pPr>
        <w:pStyle w:val="BodyText"/>
        <w:spacing w:before="24" w:line="226" w:lineRule="auto"/>
        <w:ind w:left="1" w:right="145" w:firstLine="422"/>
      </w:pPr>
      <w:r>
        <w:rPr>
          <w:rFonts w:ascii="SimSun" w:eastAsia="SimSun" w:hAnsi="SimSun" w:cs="SimSun"/>
          <w:spacing w:val="-3"/>
        </w:rPr>
        <w:t>为保证设备持续符合其规定的功能状态，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rFonts w:ascii="SimSun" w:eastAsia="SimSun" w:hAnsi="SimSun" w:cs="SimSun"/>
          <w:spacing w:val="-3"/>
        </w:rPr>
        <w:t>采取的系统性检查、检测和主动性维修、维护活动。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3.1.7</w:t>
      </w:r>
    </w:p>
    <w:p>
      <w:pPr>
        <w:spacing w:line="226" w:lineRule="auto"/>
        <w:sectPr>
          <w:headerReference w:type="default" r:id="rId6"/>
          <w:footerReference w:type="default" r:id="rId7"/>
          <w:type w:val="nextPage"/>
          <w:pgSz w:w="11907" w:h="16841"/>
          <w:pgMar w:top="1348" w:right="1336" w:bottom="1259" w:left="1425" w:header="1133" w:footer="1098" w:gutter="0"/>
          <w:pgNumType w:start="2"/>
          <w:cols w:space="708"/>
          <w:titlePg w:val="0"/>
        </w:sectPr>
      </w:pPr>
    </w:p>
    <w:p>
      <w:pPr>
        <w:pStyle w:val="BodyText"/>
        <w:spacing w:before="59" w:line="219" w:lineRule="auto"/>
        <w:ind w:left="420"/>
      </w:pPr>
      <w:r>
        <w:t>设备运行环境管理（Equipment</w:t>
      </w:r>
      <w:r>
        <w:t xml:space="preserve"> </w:t>
      </w:r>
      <w:r>
        <w:t>Operating</w:t>
      </w:r>
      <w:r>
        <w:t xml:space="preserve"> </w:t>
      </w:r>
      <w:r>
        <w:t>Environment</w:t>
      </w:r>
      <w:r>
        <w:t xml:space="preserve"> </w:t>
      </w:r>
      <w:r>
        <w:t>Man</w:t>
      </w:r>
      <w:r>
        <w:rPr>
          <w:spacing w:val="-1"/>
        </w:rPr>
        <w:t>agement）</w:t>
      </w:r>
    </w:p>
    <w:p>
      <w:pPr>
        <w:spacing w:before="24" w:line="230" w:lineRule="auto"/>
        <w:ind w:left="2" w:right="91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在保证设备物理完整的同时，对设备操作条件、运行工况、性能状态进行监</w:t>
      </w:r>
      <w:r>
        <w:rPr>
          <w:rFonts w:ascii="SimSun" w:eastAsia="SimSun" w:hAnsi="SimSun" w:cs="SimSun"/>
          <w:sz w:val="21"/>
          <w:szCs w:val="21"/>
        </w:rPr>
        <w:t xml:space="preserve">控和管理，保障设 </w:t>
      </w:r>
      <w:r>
        <w:rPr>
          <w:rFonts w:ascii="SimSun" w:eastAsia="SimSun" w:hAnsi="SimSun" w:cs="SimSun"/>
          <w:spacing w:val="-2"/>
          <w:sz w:val="21"/>
          <w:szCs w:val="21"/>
        </w:rPr>
        <w:t>备处于安全可靠的运行环境。</w:t>
      </w:r>
    </w:p>
    <w:p>
      <w:pPr>
        <w:pStyle w:val="BodyText"/>
        <w:spacing w:before="54" w:line="184" w:lineRule="auto"/>
      </w:pPr>
      <w:r>
        <w:rPr>
          <w:spacing w:val="-1"/>
        </w:rPr>
        <w:t>3.1.8</w:t>
      </w:r>
    </w:p>
    <w:p>
      <w:pPr>
        <w:pStyle w:val="BodyText"/>
        <w:spacing w:before="28" w:line="219" w:lineRule="auto"/>
        <w:ind w:left="421"/>
      </w:pPr>
      <w:r>
        <w:t>设备缺陷管理（Equipment</w:t>
      </w:r>
      <w:r>
        <w:t xml:space="preserve"> </w:t>
      </w:r>
      <w:r>
        <w:t>Deficiency</w:t>
      </w:r>
      <w:r>
        <w:t xml:space="preserve"> </w:t>
      </w:r>
      <w:r>
        <w:t>Man</w:t>
      </w:r>
      <w:r>
        <w:rPr>
          <w:spacing w:val="-1"/>
        </w:rPr>
        <w:t>agement）</w:t>
      </w:r>
    </w:p>
    <w:p>
      <w:pPr>
        <w:spacing w:before="25" w:line="229" w:lineRule="auto"/>
        <w:ind w:left="13" w:right="91" w:firstLine="40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在设备全生命周期内，开展设备缺陷识别、评价、响应、传达、消除的管理</w:t>
      </w:r>
      <w:r>
        <w:rPr>
          <w:rFonts w:ascii="SimSun" w:eastAsia="SimSun" w:hAnsi="SimSun" w:cs="SimSun"/>
          <w:sz w:val="21"/>
          <w:szCs w:val="21"/>
        </w:rPr>
        <w:t xml:space="preserve">活动，实现设备缺 </w:t>
      </w:r>
      <w:r>
        <w:rPr>
          <w:rFonts w:ascii="SimSun" w:eastAsia="SimSun" w:hAnsi="SimSun" w:cs="SimSun"/>
          <w:spacing w:val="-5"/>
          <w:sz w:val="21"/>
          <w:szCs w:val="21"/>
        </w:rPr>
        <w:t>陷的闭环管理。</w:t>
      </w:r>
    </w:p>
    <w:p>
      <w:pPr>
        <w:pStyle w:val="BodyText"/>
        <w:spacing w:before="56" w:line="184" w:lineRule="auto"/>
      </w:pPr>
      <w:r>
        <w:rPr>
          <w:spacing w:val="-1"/>
        </w:rPr>
        <w:t>3.1.9</w:t>
      </w:r>
    </w:p>
    <w:p>
      <w:pPr>
        <w:pStyle w:val="BodyText"/>
        <w:spacing w:before="28" w:line="219" w:lineRule="auto"/>
        <w:ind w:left="421"/>
      </w:pPr>
      <w:r>
        <w:t>设备变更管理（Equipment</w:t>
      </w:r>
      <w:r>
        <w:t xml:space="preserve"> </w:t>
      </w:r>
      <w:r>
        <w:t>Change</w:t>
      </w:r>
      <w:r>
        <w:t xml:space="preserve"> </w:t>
      </w:r>
      <w:r>
        <w:t>Man</w:t>
      </w:r>
      <w:r>
        <w:rPr>
          <w:spacing w:val="-1"/>
        </w:rPr>
        <w:t>agement）</w:t>
      </w:r>
    </w:p>
    <w:p>
      <w:pPr>
        <w:pStyle w:val="BodyText"/>
        <w:spacing w:before="22" w:line="227" w:lineRule="auto"/>
        <w:ind w:right="1629" w:firstLine="420"/>
      </w:pPr>
      <w:r>
        <w:rPr>
          <w:rFonts w:ascii="SimSun" w:eastAsia="SimSun" w:hAnsi="SimSun" w:cs="SimSun"/>
          <w:spacing w:val="-1"/>
        </w:rPr>
        <w:t>确保设备变更能够被正确申请、评估、审批、执行、验收与告知的管理活</w:t>
      </w:r>
      <w:r>
        <w:rPr>
          <w:rFonts w:ascii="SimSun" w:eastAsia="SimSun" w:hAnsi="SimSun" w:cs="SimSun"/>
          <w:spacing w:val="-2"/>
        </w:rPr>
        <w:t>动。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3.1.10</w:t>
      </w:r>
    </w:p>
    <w:p>
      <w:pPr>
        <w:pStyle w:val="BodyText"/>
        <w:spacing w:before="29" w:line="219" w:lineRule="auto"/>
        <w:ind w:left="420"/>
      </w:pPr>
      <w:r>
        <w:t>设备应急管理（Equipment</w:t>
      </w:r>
      <w:r>
        <w:t xml:space="preserve"> </w:t>
      </w:r>
      <w:r>
        <w:t>Emergency</w:t>
      </w:r>
      <w:r>
        <w:t xml:space="preserve"> </w:t>
      </w:r>
      <w:r>
        <w:t>Man</w:t>
      </w:r>
      <w:r>
        <w:rPr>
          <w:spacing w:val="-1"/>
        </w:rPr>
        <w:t>agement）</w:t>
      </w:r>
    </w:p>
    <w:p>
      <w:pPr>
        <w:spacing w:before="24" w:line="230" w:lineRule="auto"/>
        <w:ind w:left="2" w:right="9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设备事故事件的事前预防、事发响应和处置以及应急恢复过程中，</w:t>
      </w:r>
      <w:r>
        <w:rPr>
          <w:rFonts w:ascii="SimSun" w:eastAsia="SimSun" w:hAnsi="SimSun" w:cs="SimSun"/>
          <w:sz w:val="21"/>
          <w:szCs w:val="21"/>
        </w:rPr>
        <w:t xml:space="preserve">采取的一系列必要措施和管 </w:t>
      </w:r>
      <w:r>
        <w:rPr>
          <w:rFonts w:ascii="SimSun" w:eastAsia="SimSun" w:hAnsi="SimSun" w:cs="SimSun"/>
          <w:spacing w:val="-2"/>
          <w:sz w:val="21"/>
          <w:szCs w:val="21"/>
        </w:rPr>
        <w:t>理手段。</w:t>
      </w:r>
    </w:p>
    <w:p>
      <w:pPr>
        <w:pStyle w:val="BodyText"/>
        <w:spacing w:before="55" w:line="184" w:lineRule="auto"/>
      </w:pPr>
      <w:r>
        <w:rPr>
          <w:spacing w:val="-1"/>
        </w:rPr>
        <w:t>3.1.11</w:t>
      </w:r>
    </w:p>
    <w:p>
      <w:pPr>
        <w:pStyle w:val="BodyText"/>
        <w:spacing w:before="27" w:line="231" w:lineRule="auto"/>
        <w:ind w:left="419" w:right="1728" w:firstLine="1"/>
        <w:rPr>
          <w:rFonts w:ascii="SimSun" w:eastAsia="SimSun" w:hAnsi="SimSun" w:cs="SimSun"/>
        </w:rPr>
      </w:pPr>
      <w:r>
        <w:rPr>
          <w:spacing w:val="-1"/>
        </w:rPr>
        <w:t>设备完整性管理绩效（Performance</w:t>
      </w:r>
      <w:r>
        <w:rPr>
          <w:spacing w:val="-1"/>
        </w:rPr>
        <w:t xml:space="preserve"> </w:t>
      </w:r>
      <w:r>
        <w:rPr>
          <w:spacing w:val="-1"/>
        </w:rPr>
        <w:t>of</w:t>
      </w:r>
      <w:r>
        <w:rPr>
          <w:spacing w:val="-1"/>
        </w:rPr>
        <w:t xml:space="preserve"> </w:t>
      </w:r>
      <w:r>
        <w:rPr>
          <w:spacing w:val="-1"/>
        </w:rPr>
        <w:t>Equipment</w:t>
      </w:r>
      <w:r>
        <w:rPr>
          <w:spacing w:val="40"/>
        </w:rPr>
        <w:t xml:space="preserve"> </w:t>
      </w:r>
      <w:r>
        <w:rPr>
          <w:spacing w:val="-1"/>
        </w:rPr>
        <w:t>Integ</w:t>
      </w:r>
      <w:r>
        <w:rPr>
          <w:spacing w:val="-2"/>
        </w:rPr>
        <w:t>rity</w:t>
      </w:r>
      <w:r>
        <w:rPr>
          <w:spacing w:val="-2"/>
        </w:rPr>
        <w:t xml:space="preserve"> </w:t>
      </w:r>
      <w:r>
        <w:rPr>
          <w:spacing w:val="-2"/>
        </w:rPr>
        <w:t>Management）</w:t>
      </w:r>
      <w:r>
        <w:t xml:space="preserve"> </w:t>
      </w:r>
      <w:r>
        <w:rPr>
          <w:rFonts w:ascii="SimSun" w:eastAsia="SimSun" w:hAnsi="SimSun" w:cs="SimSun"/>
          <w:spacing w:val="-1"/>
        </w:rPr>
        <w:t>对设备完整性管理活动的可测量的管理结果。</w:t>
      </w:r>
    </w:p>
    <w:p>
      <w:pPr>
        <w:pStyle w:val="BodyText"/>
        <w:spacing w:before="140" w:line="222" w:lineRule="auto"/>
      </w:pPr>
      <w:r>
        <w:rPr>
          <w:spacing w:val="-1"/>
        </w:rPr>
        <w:t>3.2</w:t>
      </w:r>
      <w:r>
        <w:rPr>
          <w:spacing w:val="-1"/>
        </w:rPr>
        <w:t xml:space="preserve"> </w:t>
      </w:r>
      <w:r>
        <w:rPr>
          <w:spacing w:val="-1"/>
        </w:rPr>
        <w:t>缩略语</w:t>
      </w:r>
    </w:p>
    <w:p>
      <w:pPr>
        <w:spacing w:before="225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下列缩略语适用于本文件。</w:t>
      </w:r>
    </w:p>
    <w:p>
      <w:pPr>
        <w:spacing w:before="106" w:line="216" w:lineRule="auto"/>
        <w:ind w:left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FMEA：失效模式及影响分析（Failure Modes and Effects Analy</w:t>
      </w:r>
      <w:r>
        <w:rPr>
          <w:rFonts w:ascii="SimSun" w:eastAsia="SimSun" w:hAnsi="SimSun" w:cs="SimSun"/>
          <w:spacing w:val="-1"/>
          <w:sz w:val="21"/>
          <w:szCs w:val="21"/>
        </w:rPr>
        <w:t>sis）</w:t>
      </w:r>
    </w:p>
    <w:p>
      <w:pPr>
        <w:spacing w:before="112" w:line="265" w:lineRule="auto"/>
        <w:ind w:left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FMECA：失效模式、影响和危害性分析（Fai</w:t>
      </w:r>
      <w:r>
        <w:rPr>
          <w:rFonts w:ascii="SimSun" w:eastAsia="SimSun" w:hAnsi="SimSun" w:cs="SimSun"/>
          <w:spacing w:val="-1"/>
          <w:sz w:val="21"/>
          <w:szCs w:val="21"/>
        </w:rPr>
        <w:t>lure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Modes,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Effects,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and</w:t>
      </w:r>
      <w:r>
        <w:rPr>
          <w:rFonts w:ascii="SimSun" w:eastAsia="SimSun" w:hAnsi="SimSun" w:cs="SimSu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Criticality</w:t>
      </w:r>
      <w:r>
        <w:rPr>
          <w:rFonts w:ascii="SimSun" w:eastAsia="SimSun" w:hAnsi="SimSun" w:cs="SimSun"/>
          <w:spacing w:val="-3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Analysis）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FTA：故障树分析（Fault Tree Analy</w:t>
      </w:r>
      <w:r>
        <w:rPr>
          <w:rFonts w:ascii="SimSun" w:eastAsia="SimSun" w:hAnsi="SimSun" w:cs="SimSun"/>
          <w:spacing w:val="-1"/>
          <w:sz w:val="21"/>
          <w:szCs w:val="21"/>
        </w:rPr>
        <w:t>sis）</w:t>
      </w:r>
    </w:p>
    <w:p>
      <w:pPr>
        <w:spacing w:before="111" w:line="216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HAZOP：危险与可操作性分析（Hazard and Operability Stu</w:t>
      </w:r>
      <w:r>
        <w:rPr>
          <w:rFonts w:ascii="SimSun" w:eastAsia="SimSun" w:hAnsi="SimSun" w:cs="SimSun"/>
          <w:spacing w:val="-1"/>
          <w:sz w:val="21"/>
          <w:szCs w:val="21"/>
        </w:rPr>
        <w:t>dy）</w:t>
      </w:r>
    </w:p>
    <w:p>
      <w:pPr>
        <w:spacing w:before="113" w:line="264" w:lineRule="auto"/>
        <w:ind w:left="417" w:right="563" w:firstLine="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ITPM：检验、检测和预防性工作（Inspection，Tes</w:t>
      </w:r>
      <w:r>
        <w:rPr>
          <w:rFonts w:ascii="SimSun" w:eastAsia="SimSun" w:hAnsi="SimSun" w:cs="SimSun"/>
          <w:spacing w:val="-1"/>
          <w:sz w:val="21"/>
          <w:szCs w:val="21"/>
        </w:rPr>
        <w:t>ting and Preventive Maintenance）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KPI：关键绩效指标（Key Performance Indica</w:t>
      </w:r>
      <w:r>
        <w:rPr>
          <w:rFonts w:ascii="SimSun" w:eastAsia="SimSun" w:hAnsi="SimSun" w:cs="SimSun"/>
          <w:spacing w:val="-1"/>
          <w:sz w:val="21"/>
          <w:szCs w:val="21"/>
        </w:rPr>
        <w:t>tor）</w:t>
      </w:r>
    </w:p>
    <w:p>
      <w:pPr>
        <w:spacing w:before="112" w:line="357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1"/>
          <w:sz w:val="21"/>
          <w:szCs w:val="21"/>
        </w:rPr>
        <w:t>LOPA：保护层分析（Layer of Protection An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alysis）</w:t>
      </w:r>
    </w:p>
    <w:p>
      <w:pPr>
        <w:spacing w:before="1" w:line="220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PDCA：策划-实施-检查-处置（Plan-Do-Check-</w:t>
      </w:r>
      <w:r>
        <w:rPr>
          <w:rFonts w:ascii="SimSun" w:eastAsia="SimSun" w:hAnsi="SimSun" w:cs="SimSun"/>
          <w:spacing w:val="-1"/>
          <w:sz w:val="21"/>
          <w:szCs w:val="21"/>
        </w:rPr>
        <w:t>Act）</w:t>
      </w:r>
    </w:p>
    <w:p>
      <w:pPr>
        <w:spacing w:before="107" w:line="216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PHA：工艺危害分析（Process Hazard Anal</w:t>
      </w:r>
      <w:r>
        <w:rPr>
          <w:rFonts w:ascii="SimSun" w:eastAsia="SimSun" w:hAnsi="SimSun" w:cs="SimSun"/>
          <w:spacing w:val="-1"/>
          <w:sz w:val="21"/>
          <w:szCs w:val="21"/>
        </w:rPr>
        <w:t>ysis）</w:t>
      </w:r>
    </w:p>
    <w:p>
      <w:pPr>
        <w:spacing w:before="109" w:line="358" w:lineRule="exact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1"/>
          <w:sz w:val="21"/>
          <w:szCs w:val="21"/>
        </w:rPr>
        <w:t>PIM：管道完整性管理 （Pipeline Integrity Managem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ent）</w:t>
      </w:r>
    </w:p>
    <w:p>
      <w:pPr>
        <w:spacing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QRA：定量风险评价（Quantitative Risk Ass</w:t>
      </w:r>
      <w:r>
        <w:rPr>
          <w:rFonts w:ascii="SimSun" w:eastAsia="SimSun" w:hAnsi="SimSun" w:cs="SimSun"/>
          <w:spacing w:val="-1"/>
          <w:sz w:val="21"/>
          <w:szCs w:val="21"/>
        </w:rPr>
        <w:t>essment）</w:t>
      </w:r>
    </w:p>
    <w:p>
      <w:pPr>
        <w:spacing w:before="108" w:line="265" w:lineRule="auto"/>
        <w:ind w:left="419" w:right="10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RAM：可靠性、可用性、可维护性（Reliability Availab</w:t>
      </w:r>
      <w:r>
        <w:rPr>
          <w:rFonts w:ascii="SimSun" w:eastAsia="SimSun" w:hAnsi="SimSun" w:cs="SimSun"/>
          <w:spacing w:val="-1"/>
          <w:sz w:val="21"/>
          <w:szCs w:val="21"/>
        </w:rPr>
        <w:t>ility Maintainability）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RBI：基于风险的检验（Risk-based Insp</w:t>
      </w:r>
      <w:r>
        <w:rPr>
          <w:rFonts w:ascii="SimSun" w:eastAsia="SimSun" w:hAnsi="SimSun" w:cs="SimSun"/>
          <w:spacing w:val="-1"/>
          <w:sz w:val="21"/>
          <w:szCs w:val="21"/>
        </w:rPr>
        <w:t>ection）</w:t>
      </w:r>
    </w:p>
    <w:p>
      <w:pPr>
        <w:spacing w:before="112" w:line="216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RCA：根原因分析（Root Cause Ana</w:t>
      </w:r>
      <w:r>
        <w:rPr>
          <w:rFonts w:ascii="SimSun" w:eastAsia="SimSun" w:hAnsi="SimSun" w:cs="SimSun"/>
          <w:spacing w:val="-1"/>
          <w:sz w:val="21"/>
          <w:szCs w:val="21"/>
        </w:rPr>
        <w:t>lysis）</w:t>
      </w:r>
    </w:p>
    <w:p>
      <w:pPr>
        <w:spacing w:before="111" w:line="358" w:lineRule="exact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1"/>
          <w:sz w:val="21"/>
          <w:szCs w:val="21"/>
        </w:rPr>
        <w:t>RCM：以可靠性为中心的维修（Reliability-centered Mainte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nance）</w:t>
      </w:r>
    </w:p>
    <w:p>
      <w:pPr>
        <w:spacing w:line="216" w:lineRule="auto"/>
        <w:ind w:left="421"/>
        <w:rPr>
          <w:rFonts w:ascii="SimSun" w:eastAsia="SimSun" w:hAnsi="SimSun" w:cs="SimSun"/>
          <w:sz w:val="21"/>
          <w:szCs w:val="21"/>
        </w:rPr>
        <w:sectPr>
          <w:headerReference w:type="default" r:id="rId8"/>
          <w:footerReference w:type="default" r:id="rId9"/>
          <w:pgSz w:w="11907" w:h="16841"/>
          <w:pgMar w:top="1348" w:right="1324" w:bottom="1374" w:left="1426" w:header="1133" w:footer="1213" w:gutter="0"/>
          <w:pgNumType w:start="3"/>
          <w:cols w:space="708"/>
        </w:sectPr>
      </w:pPr>
      <w:r>
        <w:rPr>
          <w:rFonts w:ascii="SimSun" w:eastAsia="SimSun" w:hAnsi="SimSun" w:cs="SimSun"/>
          <w:sz w:val="21"/>
          <w:szCs w:val="21"/>
        </w:rPr>
        <w:t xml:space="preserve">SIF：安全仪表功能（Safety Instrumented </w:t>
      </w:r>
      <w:r>
        <w:rPr>
          <w:rFonts w:ascii="SimSun" w:eastAsia="SimSun" w:hAnsi="SimSun" w:cs="SimSun"/>
          <w:spacing w:val="-1"/>
          <w:sz w:val="21"/>
          <w:szCs w:val="21"/>
        </w:rPr>
        <w:t>Functions）</w:t>
      </w:r>
    </w:p>
    <w:p>
      <w:pPr>
        <w:spacing w:before="111" w:line="215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SIL：安全完整性等级（Safety Integri</w:t>
      </w:r>
      <w:r>
        <w:rPr>
          <w:rFonts w:ascii="SimSun" w:eastAsia="SimSun" w:hAnsi="SimSun" w:cs="SimSun"/>
          <w:spacing w:val="-1"/>
          <w:sz w:val="21"/>
          <w:szCs w:val="21"/>
        </w:rPr>
        <w:t>ty Level）</w:t>
      </w:r>
    </w:p>
    <w:p>
      <w:pPr>
        <w:spacing w:before="112" w:line="216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 xml:space="preserve">SIS：安全仪表系统（Safety Instrumented </w:t>
      </w:r>
      <w:r>
        <w:rPr>
          <w:rFonts w:ascii="SimSun" w:eastAsia="SimSun" w:hAnsi="SimSun" w:cs="SimSun"/>
          <w:spacing w:val="-1"/>
          <w:sz w:val="21"/>
          <w:szCs w:val="21"/>
        </w:rPr>
        <w:t>System）</w:t>
      </w:r>
    </w:p>
    <w:p>
      <w:pPr>
        <w:spacing w:before="111" w:line="358" w:lineRule="exact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11"/>
          <w:sz w:val="21"/>
          <w:szCs w:val="21"/>
        </w:rPr>
        <w:t>HSE：健康、安全和环境（Health、Safety and Environm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>ent）</w:t>
      </w:r>
    </w:p>
    <w:p>
      <w:pPr>
        <w:spacing w:before="1" w:line="214" w:lineRule="auto"/>
        <w:ind w:left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IOW：完整性操作窗口（Integrity Operation Window）</w:t>
      </w:r>
    </w:p>
    <w:p>
      <w:pPr>
        <w:spacing w:before="113" w:line="219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FFS：合于使用评价（Fitness for Ser</w:t>
      </w:r>
      <w:r>
        <w:rPr>
          <w:rFonts w:ascii="SimSun" w:eastAsia="SimSun" w:hAnsi="SimSun" w:cs="SimSun"/>
          <w:spacing w:val="-1"/>
          <w:sz w:val="21"/>
          <w:szCs w:val="21"/>
        </w:rPr>
        <w:t>vice）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0"/>
          <w:footerReference w:type="default" r:id="rId11"/>
          <w:type w:val="nextPage"/>
          <w:pgSz w:w="11907" w:h="16841"/>
          <w:pgMar w:top="1348" w:right="1324" w:bottom="1374" w:left="1426" w:header="1133" w:footer="1213" w:gutter="0"/>
          <w:pgNumType w:start="4"/>
          <w:cols w:space="708"/>
          <w:titlePg w:val="0"/>
        </w:sectPr>
      </w:pPr>
    </w:p>
    <w:p>
      <w:pPr>
        <w:pStyle w:val="BodyText"/>
        <w:spacing w:before="62" w:line="222" w:lineRule="auto"/>
        <w:rPr>
          <w:sz w:val="24"/>
          <w:szCs w:val="24"/>
        </w:rPr>
      </w:pPr>
      <w:r>
        <w:rPr>
          <w:spacing w:val="-1"/>
          <w:sz w:val="24"/>
          <w:szCs w:val="24"/>
        </w:rPr>
        <w:t>4</w:t>
      </w:r>
      <w:r>
        <w:rPr>
          <w:spacing w:val="-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组织环境</w:t>
      </w:r>
    </w:p>
    <w:p>
      <w:pPr>
        <w:pStyle w:val="BodyText"/>
        <w:spacing w:before="259" w:line="223" w:lineRule="auto"/>
      </w:pPr>
      <w:r>
        <w:t>4.1</w:t>
      </w:r>
      <w:r>
        <w:t xml:space="preserve"> </w:t>
      </w:r>
      <w:r>
        <w:t>体系运行环境</w:t>
      </w:r>
    </w:p>
    <w:p>
      <w:pPr>
        <w:spacing w:before="136" w:line="231" w:lineRule="auto"/>
        <w:ind w:left="8" w:right="3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企业应确定与其设备管理目标有关以及对实现设备完整性管理体系</w:t>
      </w:r>
      <w:r>
        <w:rPr>
          <w:rFonts w:ascii="SimSun" w:eastAsia="SimSun" w:hAnsi="SimSun" w:cs="SimSun"/>
          <w:sz w:val="21"/>
          <w:szCs w:val="21"/>
        </w:rPr>
        <w:t xml:space="preserve">预期结果的能力有影响的外 </w:t>
      </w:r>
      <w:r>
        <w:rPr>
          <w:rFonts w:ascii="SimSun" w:eastAsia="SimSun" w:hAnsi="SimSun" w:cs="SimSun"/>
          <w:spacing w:val="-3"/>
          <w:sz w:val="21"/>
          <w:szCs w:val="21"/>
        </w:rPr>
        <w:t>部和内部因素，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包括受企业影响或能影响企业设备管理</w:t>
      </w:r>
      <w:r>
        <w:rPr>
          <w:rFonts w:ascii="SimSun" w:eastAsia="SimSun" w:hAnsi="SimSun" w:cs="SimSun"/>
          <w:spacing w:val="-4"/>
          <w:sz w:val="21"/>
          <w:szCs w:val="21"/>
        </w:rPr>
        <w:t>的因素。</w:t>
      </w:r>
    </w:p>
    <w:p>
      <w:pPr>
        <w:pStyle w:val="BodyText"/>
        <w:spacing w:before="140" w:line="222" w:lineRule="auto"/>
      </w:pPr>
      <w:r>
        <w:t>4.2</w:t>
      </w:r>
      <w:r>
        <w:t xml:space="preserve"> </w:t>
      </w:r>
      <w:r>
        <w:t>相关方需求与期望</w:t>
      </w:r>
    </w:p>
    <w:p>
      <w:pPr>
        <w:spacing w:before="141"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企业应确定：</w:t>
      </w:r>
    </w:p>
    <w:p>
      <w:pPr>
        <w:spacing w:before="19" w:line="221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a）与设备完整性管理体系有关的相关方；</w:t>
      </w:r>
    </w:p>
    <w:p>
      <w:pPr>
        <w:spacing w:before="23" w:line="238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b）相关方对设备完整性管理体系的需求与</w:t>
      </w:r>
      <w:r>
        <w:rPr>
          <w:rFonts w:ascii="SimSun" w:eastAsia="SimSun" w:hAnsi="SimSun" w:cs="SimSun"/>
          <w:spacing w:val="-1"/>
          <w:sz w:val="21"/>
          <w:szCs w:val="21"/>
        </w:rPr>
        <w:t>期望；</w:t>
      </w:r>
    </w:p>
    <w:p>
      <w:pPr>
        <w:spacing w:before="1" w:line="220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c）与相关方保持有效沟通的方式；</w:t>
      </w:r>
    </w:p>
    <w:p>
      <w:pPr>
        <w:spacing w:before="22" w:line="221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d）设备完整性管理方面的决策准则；</w:t>
      </w:r>
    </w:p>
    <w:p>
      <w:pPr>
        <w:spacing w:before="20" w:line="221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e）与设备完整性管理体系有关的相关方的文件和记录要求。</w:t>
      </w:r>
    </w:p>
    <w:p>
      <w:pPr>
        <w:pStyle w:val="BodyText"/>
        <w:spacing w:before="143" w:line="224" w:lineRule="auto"/>
      </w:pPr>
      <w:r>
        <w:t>4.3</w:t>
      </w:r>
      <w:r>
        <w:t xml:space="preserve"> </w:t>
      </w:r>
      <w:r>
        <w:t>体系管理范围</w:t>
      </w:r>
    </w:p>
    <w:p>
      <w:pPr>
        <w:spacing w:before="136" w:line="230" w:lineRule="auto"/>
        <w:ind w:left="15" w:right="3" w:firstLine="4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企业应确定设备完整性管理体系的边界和适用性，</w:t>
      </w:r>
      <w:r>
        <w:rPr>
          <w:rFonts w:ascii="SimSun" w:eastAsia="SimSun" w:hAnsi="SimSun" w:cs="SimSun"/>
          <w:spacing w:val="8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明确纳入管理的设备及体系范围。确定范围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时应考虑：</w:t>
      </w:r>
    </w:p>
    <w:p>
      <w:pPr>
        <w:spacing w:before="21" w:line="221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a）内部和外部因素（见</w:t>
      </w:r>
      <w:r>
        <w:rPr>
          <w:rFonts w:ascii="SimSun" w:eastAsia="SimSun" w:hAnsi="SimSun" w:cs="SimSun"/>
          <w:spacing w:val="-3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4.1</w:t>
      </w:r>
      <w:r>
        <w:rPr>
          <w:rFonts w:ascii="SimSun" w:eastAsia="SimSun" w:hAnsi="SimSun" w:cs="SimSun"/>
          <w:spacing w:val="-11"/>
          <w:sz w:val="21"/>
          <w:szCs w:val="21"/>
        </w:rPr>
        <w:t>）；</w:t>
      </w:r>
    </w:p>
    <w:p>
      <w:pPr>
        <w:spacing w:before="23" w:line="238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b）相关方的需求与期望（见</w:t>
      </w:r>
      <w:r>
        <w:rPr>
          <w:rFonts w:ascii="SimSun" w:eastAsia="SimSun" w:hAnsi="SimSun" w:cs="SimSun"/>
          <w:spacing w:val="-4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4.2</w:t>
      </w:r>
      <w:r>
        <w:rPr>
          <w:rFonts w:ascii="SimSun" w:eastAsia="SimSun" w:hAnsi="SimSun" w:cs="SimSun"/>
          <w:spacing w:val="-10"/>
          <w:sz w:val="21"/>
          <w:szCs w:val="21"/>
        </w:rPr>
        <w:t>）；</w:t>
      </w:r>
    </w:p>
    <w:p>
      <w:pPr>
        <w:spacing w:before="1" w:line="220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c）与企业的管理方针和目标相协调；</w:t>
      </w:r>
    </w:p>
    <w:p>
      <w:pPr>
        <w:spacing w:before="20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d）与企业使用的其他管理体系的相互作用；</w:t>
      </w:r>
    </w:p>
    <w:p>
      <w:pPr>
        <w:spacing w:before="1" w:line="220" w:lineRule="auto"/>
        <w:ind w:left="4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e）该范围应能以文件化信息的形式获取。</w:t>
      </w:r>
    </w:p>
    <w:p>
      <w:pPr>
        <w:pStyle w:val="BodyText"/>
        <w:spacing w:before="140" w:line="225" w:lineRule="auto"/>
      </w:pPr>
      <w:r>
        <w:t>4.4</w:t>
      </w:r>
      <w:r>
        <w:t xml:space="preserve"> </w:t>
      </w:r>
      <w:r>
        <w:t>体系建立与融合</w:t>
      </w:r>
    </w:p>
    <w:p>
      <w:pPr>
        <w:spacing w:before="138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a）企业应按照本文件的要求建立、实施、保持和持续改进设备完整性管理体系。</w:t>
      </w:r>
    </w:p>
    <w:p>
      <w:pPr>
        <w:spacing w:before="20" w:line="231" w:lineRule="auto"/>
        <w:ind w:left="7" w:firstLine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b）企业应根据管理需要，通过整合的方式将</w:t>
      </w:r>
      <w:r>
        <w:rPr>
          <w:rFonts w:ascii="SimSun" w:eastAsia="SimSun" w:hAnsi="SimSun" w:cs="SimSun"/>
          <w:color w:val="C0C0C0"/>
          <w:spacing w:val="-5"/>
          <w:position w:val="5"/>
          <w:sz w:val="2"/>
          <w:szCs w:val="2"/>
        </w:rPr>
        <w:t>内部资料尚未</w:t>
      </w:r>
      <w:r>
        <w:rPr>
          <w:rFonts w:ascii="SimSun" w:eastAsia="SimSun" w:hAnsi="SimSun" w:cs="SimSun"/>
          <w:spacing w:val="-5"/>
          <w:sz w:val="21"/>
          <w:szCs w:val="21"/>
        </w:rPr>
        <w:t>设</w:t>
      </w:r>
      <w:r>
        <w:rPr>
          <w:rFonts w:ascii="SimSun" w:eastAsia="SimSun" w:hAnsi="SimSun" w:cs="SimSun"/>
          <w:color w:val="C0C0C0"/>
          <w:spacing w:val="-1"/>
          <w:w w:val="1"/>
          <w:sz w:val="21"/>
          <w:szCs w:val="21"/>
        </w:rPr>
        <w:t>公开注意保密</w:t>
      </w:r>
      <w:r>
        <w:rPr>
          <w:rFonts w:ascii="SimSun" w:eastAsia="SimSun" w:hAnsi="SimSun" w:cs="SimSun"/>
          <w:sz w:val="21"/>
          <w:szCs w:val="21"/>
        </w:rPr>
        <w:t>备完整性管理体系与</w:t>
      </w:r>
      <w:r>
        <w:rPr>
          <w:rFonts w:ascii="SimSun" w:eastAsia="SimSun" w:hAnsi="SimSun" w:cs="SimSun"/>
          <w:spacing w:val="-29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HSE、PIM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等管理</w:t>
      </w:r>
      <w:r>
        <w:rPr>
          <w:rFonts w:ascii="SimSun" w:eastAsia="SimSun" w:hAnsi="SimSun" w:cs="SimSun"/>
          <w:spacing w:val="-1"/>
          <w:sz w:val="21"/>
          <w:szCs w:val="21"/>
        </w:rPr>
        <w:t>体系相融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合，参见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GB/T 28001、GB 32167，确保设备完整性管理要素内容清晰、职责明确。</w:t>
      </w:r>
    </w:p>
    <w:p>
      <w:pPr>
        <w:pStyle w:val="BodyText"/>
        <w:spacing w:before="264" w:line="222" w:lineRule="auto"/>
        <w:ind w:left="1"/>
        <w:rPr>
          <w:sz w:val="24"/>
          <w:szCs w:val="24"/>
        </w:rPr>
      </w:pPr>
      <w:r>
        <w:rPr>
          <w:spacing w:val="-1"/>
          <w:sz w:val="24"/>
          <w:szCs w:val="24"/>
        </w:rPr>
        <w:t>5</w:t>
      </w:r>
      <w:r>
        <w:rPr>
          <w:spacing w:val="-1"/>
          <w:sz w:val="24"/>
          <w:szCs w:val="24"/>
        </w:rPr>
        <w:t xml:space="preserve">  </w:t>
      </w:r>
      <w:r>
        <w:rPr>
          <w:spacing w:val="-1"/>
          <w:sz w:val="24"/>
          <w:szCs w:val="24"/>
        </w:rPr>
        <w:t>领导作用</w:t>
      </w:r>
    </w:p>
    <w:p>
      <w:pPr>
        <w:pStyle w:val="BodyText"/>
        <w:spacing w:before="260" w:line="223" w:lineRule="auto"/>
      </w:pPr>
      <w:r>
        <w:t>5.1</w:t>
      </w:r>
      <w:r>
        <w:t xml:space="preserve"> </w:t>
      </w:r>
      <w:r>
        <w:t>领导作用和承诺</w:t>
      </w:r>
    </w:p>
    <w:p>
      <w:pPr>
        <w:spacing w:before="141" w:line="229" w:lineRule="auto"/>
        <w:ind w:left="6" w:right="3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企业最高管理者应对设备完整性管理体系的有效性负责， 在以下方面提供支持，并体现设备完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整性管理体系的领导作用和承诺：</w:t>
      </w:r>
    </w:p>
    <w:p>
      <w:pPr>
        <w:spacing w:before="21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a）确保建立设备完整性管理的方针、目标，并与企业的管理</w:t>
      </w:r>
      <w:r>
        <w:rPr>
          <w:rFonts w:ascii="SimSun" w:eastAsia="SimSun" w:hAnsi="SimSun" w:cs="SimSun"/>
          <w:spacing w:val="-1"/>
          <w:sz w:val="21"/>
          <w:szCs w:val="21"/>
        </w:rPr>
        <w:t>目标相一致；</w:t>
      </w:r>
    </w:p>
    <w:p>
      <w:pPr>
        <w:spacing w:before="1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b）确保将设备完整性管理体系的要求融入企业的业务过</w:t>
      </w:r>
      <w:r>
        <w:rPr>
          <w:rFonts w:ascii="SimSun" w:eastAsia="SimSun" w:hAnsi="SimSun" w:cs="SimSun"/>
          <w:spacing w:val="-1"/>
          <w:sz w:val="21"/>
          <w:szCs w:val="21"/>
        </w:rPr>
        <w:t>程；</w:t>
      </w:r>
    </w:p>
    <w:p>
      <w:pPr>
        <w:spacing w:before="20"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c）确保设备完整性管理体系建立、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实施、保持和改进所需的资源；</w:t>
      </w:r>
    </w:p>
    <w:p>
      <w:pPr>
        <w:spacing w:before="23" w:line="238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d）就设备完整性管理的重要性和符合性进行沟通；</w:t>
      </w:r>
    </w:p>
    <w:p>
      <w:pPr>
        <w:spacing w:before="1" w:line="219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e）促进企业内部各职能部门间的协作；</w:t>
      </w:r>
    </w:p>
    <w:p>
      <w:pPr>
        <w:spacing w:before="24" w:line="238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f）确保设备完整性管理体系实现其预期目标；</w:t>
      </w:r>
    </w:p>
    <w:p>
      <w:pPr>
        <w:spacing w:line="214" w:lineRule="auto"/>
        <w:ind w:left="429"/>
        <w:rPr>
          <w:rFonts w:ascii="SimSun" w:eastAsia="SimSun" w:hAnsi="SimSun" w:cs="SimSun"/>
          <w:sz w:val="21"/>
          <w:szCs w:val="21"/>
        </w:rPr>
        <w:sectPr>
          <w:headerReference w:type="default" r:id="rId12"/>
          <w:footerReference w:type="default" r:id="rId13"/>
          <w:pgSz w:w="11907" w:h="16841"/>
          <w:pgMar w:top="1348" w:right="1412" w:bottom="1259" w:left="1420" w:header="1133" w:footer="1098" w:gutter="0"/>
          <w:pgNumType w:start="5"/>
          <w:cols w:space="708"/>
        </w:sectPr>
      </w:pPr>
      <w:r>
        <w:rPr>
          <w:rFonts w:ascii="SimSun" w:eastAsia="SimSun" w:hAnsi="SimSun" w:cs="SimSun"/>
          <w:spacing w:val="-4"/>
          <w:sz w:val="21"/>
          <w:szCs w:val="21"/>
        </w:rPr>
        <w:t>g）促进持续改进；</w:t>
      </w:r>
    </w:p>
    <w:p>
      <w:pPr>
        <w:spacing w:before="29" w:line="221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h）支持其他相关管理者在其职责范围内发挥领导作用。</w:t>
      </w:r>
    </w:p>
    <w:p>
      <w:pPr>
        <w:spacing w:before="20" w:line="231" w:lineRule="auto"/>
        <w:ind w:left="6" w:right="3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企业各级领导者应组织或参与相关设备管理活动，</w:t>
      </w:r>
      <w:r>
        <w:rPr>
          <w:rFonts w:ascii="SimSun" w:eastAsia="SimSun" w:hAnsi="SimSun" w:cs="SimSun"/>
          <w:spacing w:val="5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指导并支持员工按设备</w:t>
      </w:r>
      <w:r>
        <w:rPr>
          <w:rFonts w:ascii="SimSun" w:eastAsia="SimSun" w:hAnsi="SimSun" w:cs="SimSun"/>
          <w:spacing w:val="-4"/>
          <w:sz w:val="21"/>
          <w:szCs w:val="21"/>
        </w:rPr>
        <w:t>完整性管理体系要求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开展工作，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确保体系有效运行。</w:t>
      </w:r>
    </w:p>
    <w:p>
      <w:pPr>
        <w:pStyle w:val="BodyText"/>
        <w:spacing w:before="139" w:line="222" w:lineRule="auto"/>
      </w:pPr>
      <w:r>
        <w:rPr>
          <w:spacing w:val="-2"/>
        </w:rPr>
        <w:t>5.2</w:t>
      </w:r>
      <w:r>
        <w:rPr>
          <w:spacing w:val="12"/>
        </w:rPr>
        <w:t xml:space="preserve"> </w:t>
      </w:r>
      <w:r>
        <w:rPr>
          <w:spacing w:val="-2"/>
        </w:rPr>
        <w:t>管理方针</w:t>
      </w:r>
    </w:p>
    <w:p>
      <w:pPr>
        <w:spacing w:before="143" w:line="229" w:lineRule="auto"/>
        <w:ind w:left="426" w:right="508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企业应建立设备完整性管理方针，为企业设备管理</w:t>
      </w:r>
      <w:r>
        <w:rPr>
          <w:rFonts w:ascii="SimSun" w:eastAsia="SimSun" w:hAnsi="SimSun" w:cs="SimSun"/>
          <w:spacing w:val="-2"/>
          <w:sz w:val="21"/>
          <w:szCs w:val="21"/>
        </w:rPr>
        <w:t>指定方向、提供目标，该管理方针应：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a）与企业的总体方针政策保持一致；</w:t>
      </w:r>
    </w:p>
    <w:p>
      <w:pPr>
        <w:spacing w:before="23" w:line="238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b）与企业设备和业务的性质、规模相适宜；</w:t>
      </w:r>
    </w:p>
    <w:p>
      <w:pPr>
        <w:spacing w:before="1" w:line="220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c）遵守适用法律、法规和行业标准规范；</w:t>
      </w:r>
    </w:p>
    <w:p>
      <w:pPr>
        <w:spacing w:before="22" w:line="221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d）确保全员参与、履行职责；</w:t>
      </w:r>
    </w:p>
    <w:p>
      <w:pPr>
        <w:spacing w:before="19" w:line="221" w:lineRule="auto"/>
        <w:ind w:left="43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e）促进科技创新，推进技术迭代与更新；</w:t>
      </w:r>
    </w:p>
    <w:p>
      <w:pPr>
        <w:spacing w:line="221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4"/>
          <w:footerReference w:type="default" r:id="rId15"/>
          <w:type w:val="nextPage"/>
          <w:pgSz w:w="11907" w:h="16841"/>
          <w:pgMar w:top="1348" w:right="1412" w:bottom="1259" w:left="1420" w:header="1133" w:footer="1098" w:gutter="0"/>
          <w:pgNumType w:start="6"/>
          <w:cols w:space="708"/>
          <w:titlePg w:val="0"/>
        </w:sect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40" w:line="189" w:lineRule="auto"/>
        <w:ind w:left="21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4"/>
          <w:szCs w:val="14"/>
        </w:rPr>
        <w:t>GB/T</w:t>
      </w:r>
      <w:r>
        <w:rPr>
          <w:rFonts w:ascii="Times New Roman" w:eastAsia="Times New Roman" w:hAnsi="Times New Roman" w:cs="Times New Roman"/>
          <w:b/>
          <w:bCs/>
          <w:spacing w:val="3"/>
          <w:sz w:val="14"/>
          <w:szCs w:val="14"/>
        </w:rPr>
        <w:t xml:space="preserve">           </w:t>
      </w:r>
      <w:r>
        <w:rPr>
          <w:rFonts w:ascii="Times New Roman" w:eastAsia="Times New Roman" w:hAnsi="Times New Roman" w:cs="Times New Roman"/>
          <w:b/>
          <w:bCs/>
          <w:spacing w:val="-1"/>
          <w:sz w:val="14"/>
          <w:szCs w:val="14"/>
        </w:rPr>
        <w:t>XXXXX—2024</w:t>
      </w:r>
    </w:p>
    <w:p>
      <w:pPr>
        <w:spacing w:before="7" w:line="212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f)   </w:t>
      </w:r>
      <w:r>
        <w:rPr>
          <w:rFonts w:ascii="SimSun" w:eastAsia="SimSun" w:hAnsi="SimSun" w:cs="SimSun"/>
          <w:spacing w:val="6"/>
          <w:sz w:val="20"/>
          <w:szCs w:val="20"/>
        </w:rPr>
        <w:t>体现设备完整性管理体系的持续改进。</w:t>
      </w:r>
    </w:p>
    <w:p>
      <w:pPr>
        <w:spacing w:before="103" w:line="219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设备完整性管理方针应以文件化记录，并定期评审，确</w:t>
      </w:r>
      <w:r>
        <w:rPr>
          <w:rFonts w:ascii="SimSun" w:eastAsia="SimSun" w:hAnsi="SimSun" w:cs="SimSun"/>
          <w:spacing w:val="7"/>
          <w:sz w:val="20"/>
          <w:szCs w:val="20"/>
        </w:rPr>
        <w:t>保方针与企业的设备完整性发展相适宜。</w:t>
      </w:r>
    </w:p>
    <w:p>
      <w:pPr>
        <w:pStyle w:val="BodyText"/>
        <w:spacing w:before="137" w:line="221" w:lineRule="auto"/>
        <w:ind w:left="2"/>
        <w:outlineLvl w:val="0"/>
        <w:rPr>
          <w:sz w:val="20"/>
          <w:szCs w:val="20"/>
        </w:rPr>
      </w:pPr>
      <w:r>
        <w:rPr>
          <w:b/>
          <w:bCs/>
          <w:spacing w:val="5"/>
          <w:sz w:val="20"/>
          <w:szCs w:val="20"/>
        </w:rPr>
        <w:t>5.3</w:t>
      </w:r>
      <w:r>
        <w:rPr>
          <w:spacing w:val="5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组织机构、职责和权限</w:t>
      </w:r>
    </w:p>
    <w:p>
      <w:pPr>
        <w:spacing w:before="144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企业应建立相应的设备完整性管理组织机构，并对其职责和权限做出明确规定，参见附录</w:t>
      </w:r>
      <w:r>
        <w:rPr>
          <w:rFonts w:ascii="SimSun" w:eastAsia="SimSun" w:hAnsi="SimSun" w:cs="SimSun"/>
          <w:spacing w:val="-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B</w:t>
      </w:r>
      <w:r>
        <w:rPr>
          <w:rFonts w:ascii="SimSun" w:eastAsia="SimSun" w:hAnsi="SimSun" w:cs="SimSun"/>
          <w:spacing w:val="9"/>
          <w:sz w:val="20"/>
          <w:szCs w:val="20"/>
        </w:rPr>
        <w:t>。</w:t>
      </w:r>
    </w:p>
    <w:p>
      <w:pPr>
        <w:spacing w:before="43" w:line="245" w:lineRule="auto"/>
        <w:ind w:right="71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3"/>
          <w:sz w:val="20"/>
          <w:szCs w:val="20"/>
        </w:rPr>
        <w:t>企业应确定与设备完整性管理相关部门的职能(至少包括企管、财务资产、人力资源、生产技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5"/>
          <w:sz w:val="20"/>
          <w:szCs w:val="20"/>
        </w:rPr>
        <w:t>术、设备工程、安全环保、物资采购、信息管理等相关管理部门);企业应根据</w:t>
      </w:r>
      <w:r>
        <w:rPr>
          <w:rFonts w:ascii="SimSun" w:eastAsia="SimSun" w:hAnsi="SimSun" w:cs="SimSun"/>
          <w:spacing w:val="14"/>
          <w:sz w:val="20"/>
          <w:szCs w:val="20"/>
        </w:rPr>
        <w:t>设备完整性管理体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系要求确定从事管理、技术和操作人员的职责和权</w:t>
      </w:r>
      <w:r>
        <w:rPr>
          <w:rFonts w:ascii="SimSun" w:eastAsia="SimSun" w:hAnsi="SimSun" w:cs="SimSun"/>
          <w:spacing w:val="8"/>
          <w:sz w:val="20"/>
          <w:szCs w:val="20"/>
        </w:rPr>
        <w:t>限，形成文件并传达给相关人员。</w:t>
      </w:r>
    </w:p>
    <w:p>
      <w:pPr>
        <w:pStyle w:val="BodyText"/>
        <w:spacing w:before="231" w:line="222" w:lineRule="auto"/>
        <w:ind w:left="3"/>
        <w:rPr>
          <w:sz w:val="25"/>
          <w:szCs w:val="25"/>
        </w:rPr>
      </w:pPr>
      <w:r>
        <w:rPr>
          <w:b/>
          <w:bCs/>
          <w:spacing w:val="-9"/>
          <w:sz w:val="25"/>
          <w:szCs w:val="25"/>
        </w:rPr>
        <w:t>6</w:t>
      </w:r>
      <w:r>
        <w:rPr>
          <w:spacing w:val="99"/>
          <w:sz w:val="25"/>
          <w:szCs w:val="25"/>
        </w:rPr>
        <w:t xml:space="preserve"> </w:t>
      </w:r>
      <w:r>
        <w:rPr>
          <w:b/>
          <w:bCs/>
          <w:spacing w:val="-9"/>
          <w:sz w:val="25"/>
          <w:szCs w:val="25"/>
        </w:rPr>
        <w:t>策</w:t>
      </w:r>
      <w:r>
        <w:rPr>
          <w:b/>
          <w:bCs/>
          <w:color w:val="F58A00"/>
          <w:spacing w:val="-9"/>
          <w:sz w:val="25"/>
          <w:szCs w:val="25"/>
        </w:rPr>
        <w:t>划</w:t>
      </w:r>
    </w:p>
    <w:p>
      <w:pPr>
        <w:pStyle w:val="BodyText"/>
        <w:spacing w:before="290" w:line="222" w:lineRule="auto"/>
        <w:ind w:left="2"/>
        <w:outlineLvl w:val="0"/>
        <w:rPr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>6.1</w:t>
      </w:r>
      <w:r>
        <w:rPr>
          <w:spacing w:val="32"/>
          <w:sz w:val="20"/>
          <w:szCs w:val="20"/>
        </w:rPr>
        <w:t xml:space="preserve"> </w:t>
      </w:r>
      <w:r>
        <w:rPr>
          <w:b/>
          <w:bCs/>
          <w:spacing w:val="3"/>
          <w:sz w:val="20"/>
          <w:szCs w:val="20"/>
        </w:rPr>
        <w:t>法律法规和其它要求</w:t>
      </w:r>
    </w:p>
    <w:p>
      <w:pPr>
        <w:spacing w:before="131"/>
        <w:ind w:right="69" w:firstLine="40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企业应建立相应程序，以识别和获取适用于本企业设备完整性管理的法律法规和其他要求</w:t>
      </w:r>
      <w:r>
        <w:rPr>
          <w:rFonts w:ascii="SimSun" w:eastAsia="SimSun" w:hAnsi="SimSun" w:cs="SimSun"/>
          <w:spacing w:val="10"/>
          <w:sz w:val="20"/>
          <w:szCs w:val="20"/>
        </w:rPr>
        <w:t>，及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时更新，向管理、技术、操作人员和其他相关方传达，并定期</w:t>
      </w:r>
      <w:r>
        <w:rPr>
          <w:rFonts w:ascii="SimSun" w:eastAsia="SimSun" w:hAnsi="SimSun" w:cs="SimSun"/>
          <w:spacing w:val="10"/>
          <w:sz w:val="20"/>
          <w:szCs w:val="20"/>
        </w:rPr>
        <w:t>评价对适用法律法规和其他要求的遵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守情况。</w:t>
      </w:r>
    </w:p>
    <w:p>
      <w:pPr>
        <w:pStyle w:val="BodyText"/>
        <w:spacing w:before="156" w:line="221" w:lineRule="auto"/>
        <w:ind w:left="2"/>
        <w:outlineLvl w:val="0"/>
        <w:rPr>
          <w:sz w:val="20"/>
          <w:szCs w:val="20"/>
        </w:rPr>
      </w:pPr>
      <w:r>
        <w:rPr>
          <w:b/>
          <w:bCs/>
          <w:spacing w:val="4"/>
          <w:sz w:val="20"/>
          <w:szCs w:val="20"/>
        </w:rPr>
        <w:t>6.2</w:t>
      </w:r>
      <w:r>
        <w:rPr>
          <w:spacing w:val="26"/>
          <w:sz w:val="20"/>
          <w:szCs w:val="20"/>
        </w:rPr>
        <w:t xml:space="preserve"> </w:t>
      </w:r>
      <w:r>
        <w:rPr>
          <w:b/>
          <w:bCs/>
          <w:spacing w:val="4"/>
          <w:sz w:val="20"/>
          <w:szCs w:val="20"/>
        </w:rPr>
        <w:t>设备完整性管理体系策划</w:t>
      </w:r>
    </w:p>
    <w:p>
      <w:pPr>
        <w:spacing w:before="121" w:line="248" w:lineRule="auto"/>
        <w:ind w:right="29" w:firstLine="40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设备完整性管理体系遵循</w:t>
      </w:r>
      <w:r>
        <w:rPr>
          <w:rFonts w:ascii="SimSun" w:eastAsia="SimSun" w:hAnsi="SimSun" w:cs="SimSun"/>
          <w:spacing w:val="-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ISO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管理体系标准结构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MSS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>),</w:t>
      </w:r>
      <w:r>
        <w:rPr>
          <w:rFonts w:ascii="Times New Roman" w:eastAsia="Times New Roman" w:hAnsi="Times New Roman" w:cs="Times New Roman"/>
          <w:spacing w:val="17"/>
          <w:w w:val="10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承接一级要素和二级要素的总体设置，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参见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</w:t>
      </w:r>
      <w:r>
        <w:rPr>
          <w:rFonts w:ascii="SimSun" w:eastAsia="SimSun" w:hAnsi="SimSun" w:cs="SimSun"/>
          <w:spacing w:val="8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19001、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</w:t>
      </w:r>
      <w:r>
        <w:rPr>
          <w:rFonts w:ascii="SimSun" w:eastAsia="SimSun" w:hAnsi="SimSun" w:cs="SimSun"/>
          <w:spacing w:val="7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24001、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</w:t>
      </w:r>
      <w:r>
        <w:rPr>
          <w:rFonts w:ascii="SimSun" w:eastAsia="SimSun" w:hAnsi="SimSun" w:cs="SimSun"/>
          <w:spacing w:val="7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28001、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</w:t>
      </w:r>
      <w:r>
        <w:rPr>
          <w:rFonts w:ascii="SimSun" w:eastAsia="SimSun" w:hAnsi="SimSun" w:cs="SimSun"/>
          <w:spacing w:val="7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3317</w:t>
      </w:r>
      <w:r>
        <w:rPr>
          <w:rFonts w:ascii="SimSun" w:eastAsia="SimSun" w:hAnsi="SimSun" w:cs="SimSun"/>
          <w:spacing w:val="1"/>
          <w:sz w:val="20"/>
          <w:szCs w:val="20"/>
        </w:rPr>
        <w:t>3/</w:t>
      </w:r>
      <w:r>
        <w:rPr>
          <w:rFonts w:ascii="SimSun" w:eastAsia="SimSun" w:hAnsi="SimSun" w:cs="SimSun"/>
          <w:sz w:val="20"/>
          <w:szCs w:val="20"/>
        </w:rPr>
        <w:t>ISO</w:t>
      </w:r>
      <w:r>
        <w:rPr>
          <w:rFonts w:ascii="SimSun" w:eastAsia="SimSun" w:hAnsi="SimSun" w:cs="SimSun"/>
          <w:spacing w:val="7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55001。为体现设备完整性管理的特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点，在一级要素“8 运行”中设置了设备选择与分类分级管理、设备风险管理、过程质量管理、检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验、检测和预防性维修、设备运行环境管理、设备缺陷管理、设备变更</w:t>
      </w:r>
      <w:r>
        <w:rPr>
          <w:rFonts w:ascii="SimSun" w:eastAsia="SimSun" w:hAnsi="SimSun" w:cs="SimSun"/>
          <w:spacing w:val="10"/>
          <w:sz w:val="20"/>
          <w:szCs w:val="20"/>
        </w:rPr>
        <w:t>管理、设备应急管理、专项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管理等特色的二级要素。管理要素之间相互关联、相互渗透，以确保体</w:t>
      </w:r>
      <w:r>
        <w:rPr>
          <w:rFonts w:ascii="SimSun" w:eastAsia="SimSun" w:hAnsi="SimSun" w:cs="SimSun"/>
          <w:spacing w:val="10"/>
          <w:sz w:val="20"/>
          <w:szCs w:val="20"/>
        </w:rPr>
        <w:t>系的系统性、统一性和规范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性。体系运行遵循</w:t>
      </w:r>
      <w:r>
        <w:rPr>
          <w:rFonts w:ascii="SimSun" w:eastAsia="SimSun" w:hAnsi="SimSun" w:cs="SimSun"/>
          <w:spacing w:val="-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PDCA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循环，如图1所示。</w:t>
      </w:r>
    </w:p>
    <w:p>
      <w:pPr>
        <w:spacing w:line="200" w:lineRule="exact"/>
      </w:pPr>
    </w:p>
    <w:p>
      <w:pPr>
        <w:spacing w:line="200" w:lineRule="exact"/>
        <w:sectPr>
          <w:headerReference w:type="default" r:id="rId16"/>
          <w:footerReference w:type="default" r:id="rId17"/>
          <w:pgSz w:w="11910" w:h="16840"/>
          <w:pgMar w:top="400" w:right="1370" w:bottom="1348" w:left="1410" w:header="0" w:footer="1209" w:gutter="0"/>
          <w:pgNumType w:start="7"/>
          <w:cols w:num="1" w:space="708" w:equalWidth="0">
            <w:col w:w="9130" w:space="0"/>
          </w:cols>
        </w:sectPr>
      </w:pPr>
    </w:p>
    <w:p>
      <w:pPr>
        <w:spacing w:before="150" w:line="220" w:lineRule="auto"/>
        <w:ind w:left="612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158744</wp:posOffset>
            </wp:positionH>
            <wp:positionV relativeFrom="paragraph">
              <wp:posOffset>-66751</wp:posOffset>
            </wp:positionV>
            <wp:extent cx="5416512" cy="438151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16512" cy="4381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color w:val="FF0000"/>
          <w:spacing w:val="-6"/>
          <w:sz w:val="20"/>
          <w:szCs w:val="20"/>
        </w:rPr>
        <w:t>4</w:t>
      </w:r>
      <w:r>
        <w:rPr>
          <w:rFonts w:ascii="SimSun" w:eastAsia="SimSun" w:hAnsi="SimSun" w:cs="SimSun"/>
          <w:color w:val="FF0000"/>
          <w:spacing w:val="2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6"/>
          <w:sz w:val="20"/>
          <w:szCs w:val="20"/>
        </w:rPr>
        <w:t>组织环境</w:t>
      </w:r>
    </w:p>
    <w:p>
      <w:pPr>
        <w:spacing w:before="52" w:line="220" w:lineRule="auto"/>
        <w:ind w:left="6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60"/>
          <w:spacing w:val="-28"/>
          <w:sz w:val="20"/>
          <w:szCs w:val="20"/>
        </w:rPr>
        <w:t>·体系运行环境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219" w:lineRule="auto"/>
        <w:ind w:left="6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10"/>
          <w:sz w:val="20"/>
          <w:szCs w:val="20"/>
        </w:rPr>
        <w:t>10</w:t>
      </w:r>
      <w:r>
        <w:rPr>
          <w:rFonts w:ascii="SimSun" w:eastAsia="SimSun" w:hAnsi="SimSun" w:cs="SimSun"/>
          <w:color w:val="FF0000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10"/>
          <w:sz w:val="20"/>
          <w:szCs w:val="20"/>
        </w:rPr>
        <w:t>改进</w:t>
      </w:r>
    </w:p>
    <w:p>
      <w:pPr>
        <w:spacing w:before="4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28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不符合和纠正预防措施</w:t>
      </w:r>
    </w:p>
    <w:p>
      <w:pPr>
        <w:spacing w:before="33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8"/>
          <w:sz w:val="20"/>
          <w:szCs w:val="20"/>
        </w:rPr>
        <w:t>·持续改进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9" w:line="220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10"/>
          <w:sz w:val="20"/>
          <w:szCs w:val="20"/>
        </w:rPr>
        <w:t>4</w:t>
      </w:r>
      <w:r>
        <w:rPr>
          <w:rFonts w:ascii="SimSun" w:eastAsia="SimSun" w:hAnsi="SimSun" w:cs="SimSun"/>
          <w:color w:val="FF0000"/>
          <w:spacing w:val="30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10"/>
          <w:sz w:val="20"/>
          <w:szCs w:val="20"/>
        </w:rPr>
        <w:t>组织环境</w:t>
      </w:r>
    </w:p>
    <w:p>
      <w:pPr>
        <w:spacing w:before="32" w:line="220" w:lineRule="auto"/>
        <w:ind w:left="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60"/>
          <w:spacing w:val="-25"/>
          <w:sz w:val="20"/>
          <w:szCs w:val="20"/>
        </w:rPr>
        <w:t>·相关方需求与期望</w:t>
      </w:r>
    </w:p>
    <w:p>
      <w:pPr>
        <w:spacing w:line="220" w:lineRule="auto"/>
        <w:rPr>
          <w:rFonts w:ascii="SimSun" w:eastAsia="SimSun" w:hAnsi="SimSun" w:cs="SimSun"/>
          <w:sz w:val="20"/>
          <w:szCs w:val="20"/>
        </w:rPr>
        <w:sectPr>
          <w:headerReference w:type="default" r:id="rId19"/>
          <w:footerReference w:type="default" r:id="rId20"/>
          <w:type w:val="continuous"/>
          <w:pgSz w:w="11910" w:h="16840"/>
          <w:pgMar w:top="400" w:right="1370" w:bottom="1348" w:left="1410" w:header="0" w:footer="1209" w:gutter="0"/>
          <w:pgNumType w:start="8"/>
          <w:cols w:num="3" w:space="708" w:equalWidth="0">
            <w:col w:w="3380" w:space="100"/>
            <w:col w:w="3153" w:space="100"/>
            <w:col w:w="2398" w:space="0"/>
          </w:cols>
        </w:sectPr>
      </w:pPr>
    </w:p>
    <w:p>
      <w:pPr>
        <w:spacing w:before="38"/>
      </w:pPr>
    </w:p>
    <w:p>
      <w:pPr>
        <w:spacing w:before="38"/>
      </w:pPr>
    </w:p>
    <w:p>
      <w:pPr>
        <w:spacing w:before="37"/>
      </w:pPr>
    </w:p>
    <w:p>
      <w:pPr>
        <w:sectPr>
          <w:headerReference w:type="default" r:id="rId21"/>
          <w:footerReference w:type="default" r:id="rId22"/>
          <w:type w:val="continuous"/>
          <w:pgSz w:w="11910" w:h="16840"/>
          <w:pgMar w:top="400" w:right="1370" w:bottom="1348" w:left="1410" w:header="0" w:footer="1209" w:gutter="0"/>
          <w:pgNumType w:start="9"/>
          <w:cols w:num="1" w:space="708" w:equalWidth="0">
            <w:col w:w="9130" w:space="0"/>
          </w:cols>
        </w:sectPr>
      </w:pPr>
    </w:p>
    <w:p>
      <w:pPr>
        <w:spacing w:before="101" w:line="218" w:lineRule="auto"/>
        <w:ind w:left="96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6"/>
          <w:sz w:val="20"/>
          <w:szCs w:val="20"/>
        </w:rPr>
        <w:t>9</w:t>
      </w:r>
      <w:r>
        <w:rPr>
          <w:rFonts w:ascii="SimSun" w:eastAsia="SimSun" w:hAnsi="SimSun" w:cs="SimSun"/>
          <w:color w:val="FF0000"/>
          <w:spacing w:val="20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6"/>
          <w:sz w:val="20"/>
          <w:szCs w:val="20"/>
        </w:rPr>
        <w:t>绩效评价</w:t>
      </w:r>
    </w:p>
    <w:p>
      <w:pPr>
        <w:spacing w:before="54" w:line="242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28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监视、测量、分析和评价</w:t>
      </w:r>
    </w:p>
    <w:p>
      <w:pPr>
        <w:spacing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28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审核评审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2" w:line="220" w:lineRule="auto"/>
        <w:ind w:left="38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1"/>
          <w:sz w:val="20"/>
          <w:szCs w:val="20"/>
        </w:rPr>
        <w:t>5</w:t>
      </w:r>
      <w:r>
        <w:rPr>
          <w:rFonts w:ascii="SimSun" w:eastAsia="SimSun" w:hAnsi="SimSun" w:cs="SimSun"/>
          <w:color w:val="FF0000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1"/>
          <w:sz w:val="20"/>
          <w:szCs w:val="20"/>
        </w:rPr>
        <w:t>领导作用</w:t>
      </w:r>
    </w:p>
    <w:p>
      <w:pPr>
        <w:spacing w:before="81" w:line="270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28"/>
          <w:position w:val="4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5F"/>
          <w:spacing w:val="-28"/>
          <w:position w:val="4"/>
          <w:sz w:val="20"/>
          <w:szCs w:val="20"/>
        </w:rPr>
        <w:t>领导作用和承诺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2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-60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2"/>
          <w:sz w:val="20"/>
          <w:szCs w:val="20"/>
        </w:rPr>
        <w:t>管理方针</w:t>
      </w:r>
    </w:p>
    <w:p>
      <w:pPr>
        <w:spacing w:before="4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28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组织机构、职责和权限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22" w:lineRule="auto"/>
        <w:ind w:left="712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b/>
          <w:bCs/>
          <w:color w:val="FF0000"/>
          <w:spacing w:val="-7"/>
          <w:sz w:val="20"/>
          <w:szCs w:val="20"/>
        </w:rPr>
        <w:t>6</w:t>
      </w:r>
      <w:r>
        <w:rPr>
          <w:rFonts w:ascii="FangSong" w:eastAsia="FangSong" w:hAnsi="FangSong" w:cs="FangSong"/>
          <w:color w:val="FF0000"/>
          <w:spacing w:val="-7"/>
          <w:sz w:val="20"/>
          <w:szCs w:val="20"/>
        </w:rPr>
        <w:t xml:space="preserve"> </w:t>
      </w:r>
      <w:r>
        <w:rPr>
          <w:rFonts w:ascii="FangSong" w:eastAsia="FangSong" w:hAnsi="FangSong" w:cs="FangSong"/>
          <w:b/>
          <w:bCs/>
          <w:color w:val="FF0000"/>
          <w:spacing w:val="-7"/>
          <w:sz w:val="20"/>
          <w:szCs w:val="20"/>
        </w:rPr>
        <w:t>策划</w:t>
      </w:r>
    </w:p>
    <w:p>
      <w:pPr>
        <w:spacing w:before="71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60"/>
          <w:spacing w:val="-28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60"/>
          <w:spacing w:val="-28"/>
          <w:sz w:val="20"/>
          <w:szCs w:val="20"/>
        </w:rPr>
        <w:t>法律法规和其他要求</w:t>
      </w:r>
    </w:p>
    <w:p>
      <w:pPr>
        <w:spacing w:before="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60"/>
          <w:spacing w:val="-29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60"/>
          <w:spacing w:val="-29"/>
          <w:sz w:val="20"/>
          <w:szCs w:val="20"/>
        </w:rPr>
        <w:t>设备完整性管理体系策划</w:t>
      </w:r>
    </w:p>
    <w:p>
      <w:pPr>
        <w:spacing w:before="5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60"/>
          <w:spacing w:val="-26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60"/>
          <w:spacing w:val="-26"/>
          <w:sz w:val="20"/>
          <w:szCs w:val="20"/>
        </w:rPr>
        <w:t>管理目标</w:t>
      </w:r>
    </w:p>
    <w:p>
      <w:pPr>
        <w:spacing w:before="3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60"/>
          <w:spacing w:val="-26"/>
          <w:sz w:val="20"/>
          <w:szCs w:val="20"/>
        </w:rPr>
        <w:t>·风险管理策划</w:t>
      </w:r>
    </w:p>
    <w:p>
      <w:pPr>
        <w:spacing w:line="184" w:lineRule="auto"/>
        <w:rPr>
          <w:rFonts w:ascii="SimSun" w:eastAsia="SimSun" w:hAnsi="SimSun" w:cs="SimSun"/>
          <w:sz w:val="20"/>
          <w:szCs w:val="20"/>
        </w:rPr>
        <w:sectPr>
          <w:headerReference w:type="default" r:id="rId23"/>
          <w:footerReference w:type="default" r:id="rId24"/>
          <w:type w:val="continuous"/>
          <w:pgSz w:w="11910" w:h="16840"/>
          <w:pgMar w:top="400" w:right="1370" w:bottom="1348" w:left="1410" w:header="0" w:footer="1209" w:gutter="0"/>
          <w:pgNumType w:start="10"/>
          <w:cols w:num="3" w:space="708" w:equalWidth="0">
            <w:col w:w="3380" w:space="100"/>
            <w:col w:w="2760" w:space="100"/>
            <w:col w:w="2790" w:space="0"/>
          </w:cols>
        </w:sectPr>
      </w:pPr>
    </w:p>
    <w:p>
      <w:pPr>
        <w:spacing w:before="79"/>
      </w:pPr>
    </w:p>
    <w:p>
      <w:pPr>
        <w:spacing w:before="79"/>
      </w:pPr>
    </w:p>
    <w:p>
      <w:pPr>
        <w:spacing w:before="78"/>
      </w:pPr>
    </w:p>
    <w:p>
      <w:pPr>
        <w:sectPr>
          <w:headerReference w:type="default" r:id="rId25"/>
          <w:footerReference w:type="default" r:id="rId26"/>
          <w:type w:val="continuous"/>
          <w:pgSz w:w="11910" w:h="16840"/>
          <w:pgMar w:top="400" w:right="1370" w:bottom="1348" w:left="1410" w:header="0" w:footer="1209" w:gutter="0"/>
          <w:pgNumType w:start="11"/>
          <w:cols w:num="1" w:space="708" w:equalWidth="0">
            <w:col w:w="9130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  <w:sectPr>
          <w:headerReference w:type="default" r:id="rId27"/>
          <w:footerReference w:type="default" r:id="rId28"/>
          <w:type w:val="continuous"/>
          <w:pgSz w:w="11910" w:h="16840"/>
          <w:pgMar w:top="400" w:right="1370" w:bottom="1348" w:left="1410" w:header="0" w:footer="1209" w:gutter="0"/>
          <w:pgNumType w:start="12"/>
          <w:cols w:num="4" w:space="708" w:equalWidth="0">
            <w:col w:w="2611" w:space="100"/>
            <w:col w:w="1420" w:space="100"/>
            <w:col w:w="2721" w:space="100"/>
            <w:col w:w="2080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20" w:lineRule="auto"/>
        <w:ind w:left="6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2"/>
          <w:sz w:val="20"/>
          <w:szCs w:val="20"/>
        </w:rPr>
        <w:t>4</w:t>
      </w:r>
      <w:r>
        <w:rPr>
          <w:rFonts w:ascii="SimSun" w:eastAsia="SimSun" w:hAnsi="SimSun" w:cs="SimSun"/>
          <w:color w:val="FF0000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2"/>
          <w:sz w:val="20"/>
          <w:szCs w:val="20"/>
        </w:rPr>
        <w:t>组织环境</w:t>
      </w:r>
    </w:p>
    <w:p>
      <w:pPr>
        <w:spacing w:before="42" w:line="221" w:lineRule="auto"/>
        <w:ind w:left="6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60"/>
          <w:spacing w:val="-24"/>
          <w:sz w:val="20"/>
          <w:szCs w:val="20"/>
        </w:rPr>
        <w:t>·体系建立与融合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8" w:line="219" w:lineRule="auto"/>
        <w:ind w:left="25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8"/>
          <w:sz w:val="20"/>
          <w:szCs w:val="20"/>
        </w:rPr>
        <w:t>7</w:t>
      </w:r>
      <w:r>
        <w:rPr>
          <w:rFonts w:ascii="SimSun" w:eastAsia="SimSun" w:hAnsi="SimSun" w:cs="SimSun"/>
          <w:color w:val="FF0000"/>
          <w:spacing w:val="22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8"/>
          <w:sz w:val="20"/>
          <w:szCs w:val="20"/>
        </w:rPr>
        <w:t>支持</w:t>
      </w:r>
    </w:p>
    <w:p>
      <w:pPr>
        <w:spacing w:before="14" w:line="269" w:lineRule="exac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2"/>
          <w:position w:val="4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5F"/>
          <w:spacing w:val="-32"/>
          <w:position w:val="4"/>
          <w:sz w:val="20"/>
          <w:szCs w:val="20"/>
        </w:rPr>
        <w:t>资源</w:t>
      </w:r>
    </w:p>
    <w:p>
      <w:pPr>
        <w:spacing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·能力</w:t>
      </w:r>
    </w:p>
    <w:p>
      <w:pPr>
        <w:spacing w:before="7" w:line="218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·意识</w:t>
      </w:r>
    </w:p>
    <w:p>
      <w:pPr>
        <w:spacing w:line="220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·沟通</w:t>
      </w:r>
    </w:p>
    <w:p>
      <w:pPr>
        <w:spacing w:before="2" w:line="220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·培训</w:t>
      </w:r>
    </w:p>
    <w:p>
      <w:pPr>
        <w:spacing w:before="40" w:line="216" w:lineRule="auto"/>
        <w:ind w:right="66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5F"/>
          <w:spacing w:val="-34"/>
          <w:sz w:val="20"/>
          <w:szCs w:val="20"/>
        </w:rPr>
        <w:t>·文件与数据管理</w:t>
      </w:r>
      <w:r>
        <w:rPr>
          <w:rFonts w:ascii="SimSun" w:eastAsia="SimSun" w:hAnsi="SimSun" w:cs="SimSun"/>
          <w:color w:val="001F5F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001F5F"/>
          <w:spacing w:val="-28"/>
          <w:sz w:val="20"/>
          <w:szCs w:val="20"/>
        </w:rPr>
        <w:t>·</w:t>
      </w:r>
      <w:r>
        <w:rPr>
          <w:rFonts w:ascii="SimSun" w:eastAsia="SimSun" w:hAnsi="SimSun" w:cs="SimSun"/>
          <w:b/>
          <w:bCs/>
          <w:color w:val="001F5F"/>
          <w:spacing w:val="-28"/>
          <w:sz w:val="20"/>
          <w:szCs w:val="20"/>
        </w:rPr>
        <w:t>信息化管理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39" w:line="220" w:lineRule="auto"/>
        <w:ind w:left="2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7"/>
          <w:sz w:val="20"/>
          <w:szCs w:val="20"/>
        </w:rPr>
        <w:t>8</w:t>
      </w:r>
      <w:r>
        <w:rPr>
          <w:rFonts w:ascii="SimSun" w:eastAsia="SimSun" w:hAnsi="SimSun" w:cs="SimSun"/>
          <w:color w:val="FF0000"/>
          <w:spacing w:val="29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7"/>
          <w:sz w:val="20"/>
          <w:szCs w:val="20"/>
        </w:rPr>
        <w:t>运行</w:t>
      </w:r>
    </w:p>
    <w:p>
      <w:pPr>
        <w:spacing w:before="21"/>
        <w:ind w:left="29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001F5F"/>
          <w:spacing w:val="-17"/>
          <w:w w:val="96"/>
          <w:sz w:val="20"/>
          <w:szCs w:val="20"/>
        </w:rPr>
        <w:t>选择与分类分级管理</w:t>
      </w:r>
    </w:p>
    <w:p>
      <w:pPr>
        <w:spacing w:line="219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2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2"/>
          <w:sz w:val="20"/>
          <w:szCs w:val="20"/>
        </w:rPr>
        <w:t>风险管理</w:t>
      </w:r>
    </w:p>
    <w:p>
      <w:pPr>
        <w:spacing w:before="3" w:line="212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27"/>
          <w:sz w:val="20"/>
          <w:szCs w:val="20"/>
        </w:rPr>
        <w:t xml:space="preserve">· </w:t>
      </w:r>
      <w:r>
        <w:rPr>
          <w:rFonts w:ascii="SimSun" w:eastAsia="SimSun" w:hAnsi="SimSun" w:cs="SimSun"/>
          <w:b/>
          <w:bCs/>
          <w:color w:val="001F5F"/>
          <w:spacing w:val="-27"/>
          <w:sz w:val="20"/>
          <w:szCs w:val="20"/>
        </w:rPr>
        <w:t>过程质量管理</w:t>
      </w:r>
    </w:p>
    <w:p>
      <w:pPr>
        <w:spacing w:line="219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1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2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1"/>
          <w:sz w:val="20"/>
          <w:szCs w:val="20"/>
        </w:rPr>
        <w:t>检验、检测和预防性维修</w:t>
      </w:r>
    </w:p>
    <w:p>
      <w:pPr>
        <w:spacing w:before="13" w:line="280" w:lineRule="exact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1"/>
          <w:position w:val="5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21"/>
          <w:position w:val="5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1"/>
          <w:position w:val="5"/>
          <w:sz w:val="20"/>
          <w:szCs w:val="20"/>
        </w:rPr>
        <w:t>运行环境管理</w:t>
      </w:r>
    </w:p>
    <w:p>
      <w:pPr>
        <w:spacing w:line="203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2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39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32"/>
          <w:sz w:val="20"/>
          <w:szCs w:val="20"/>
        </w:rPr>
        <w:t>缺陷管理</w:t>
      </w:r>
    </w:p>
    <w:p>
      <w:pPr>
        <w:spacing w:line="280" w:lineRule="exact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7"/>
          <w:position w:val="5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31"/>
          <w:position w:val="5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7"/>
          <w:position w:val="5"/>
          <w:sz w:val="20"/>
          <w:szCs w:val="20"/>
        </w:rPr>
        <w:t>变更管理</w:t>
      </w:r>
    </w:p>
    <w:p>
      <w:pPr>
        <w:spacing w:line="219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4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60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4"/>
          <w:sz w:val="20"/>
          <w:szCs w:val="20"/>
        </w:rPr>
        <w:t>外部控制</w:t>
      </w:r>
    </w:p>
    <w:p>
      <w:pPr>
        <w:spacing w:before="33" w:line="219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1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3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1"/>
          <w:sz w:val="20"/>
          <w:szCs w:val="20"/>
        </w:rPr>
        <w:t>应急管理</w:t>
      </w:r>
    </w:p>
    <w:p>
      <w:pPr>
        <w:spacing w:before="23" w:line="184" w:lineRule="auto"/>
        <w:ind w:left="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29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29"/>
          <w:sz w:val="20"/>
          <w:szCs w:val="20"/>
        </w:rPr>
        <w:t>专项管理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5" w:line="220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color w:val="FF0000"/>
          <w:spacing w:val="-6"/>
          <w:sz w:val="20"/>
          <w:szCs w:val="20"/>
        </w:rPr>
        <w:t>4</w:t>
      </w:r>
      <w:r>
        <w:rPr>
          <w:rFonts w:ascii="SimSun" w:eastAsia="SimSun" w:hAnsi="SimSun" w:cs="SimSun"/>
          <w:color w:val="FF0000"/>
          <w:spacing w:val="-2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FF0000"/>
          <w:spacing w:val="-6"/>
          <w:sz w:val="20"/>
          <w:szCs w:val="20"/>
        </w:rPr>
        <w:t>组织环境</w:t>
      </w:r>
    </w:p>
    <w:p>
      <w:pPr>
        <w:spacing w:before="5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001F5F"/>
          <w:spacing w:val="-30"/>
          <w:sz w:val="20"/>
          <w:szCs w:val="20"/>
        </w:rPr>
        <w:t>·</w:t>
      </w:r>
      <w:r>
        <w:rPr>
          <w:rFonts w:ascii="SimSun" w:eastAsia="SimSun" w:hAnsi="SimSun" w:cs="SimSun"/>
          <w:color w:val="001F5F"/>
          <w:spacing w:val="-37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color w:val="001F5F"/>
          <w:spacing w:val="-30"/>
          <w:sz w:val="20"/>
          <w:szCs w:val="20"/>
        </w:rPr>
        <w:t>体系管理范围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29"/>
          <w:footerReference w:type="default" r:id="rId30"/>
          <w:type w:val="nextPage"/>
          <w:pgSz w:w="11910" w:h="16840"/>
          <w:pgMar w:top="400" w:right="1370" w:bottom="1348" w:left="1410" w:header="0" w:footer="1209" w:gutter="0"/>
          <w:pgNumType w:start="13"/>
          <w:cols w:num="4" w:space="708" w:equalWidth="0">
            <w:col w:w="2611" w:space="100"/>
            <w:col w:w="1420" w:space="100"/>
            <w:col w:w="2721" w:space="100"/>
            <w:col w:w="2080" w:space="0"/>
          </w:cols>
          <w:titlePg w:val="0"/>
        </w:sectPr>
      </w:pPr>
    </w:p>
    <w:p>
      <w:pPr>
        <w:spacing w:before="202" w:line="184" w:lineRule="auto"/>
        <w:ind w:left="25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图</w:t>
      </w:r>
      <w:r>
        <w:rPr>
          <w:rFonts w:ascii="SimSun" w:eastAsia="SimSun" w:hAnsi="SimSun" w:cs="SimSun"/>
          <w:spacing w:val="-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0"/>
          <w:szCs w:val="20"/>
        </w:rPr>
        <w:t>1</w:t>
      </w:r>
      <w:r>
        <w:rPr>
          <w:rFonts w:ascii="SimSun" w:eastAsia="SimSun" w:hAnsi="SimSun" w:cs="SimSun"/>
          <w:spacing w:val="10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"/>
          <w:sz w:val="20"/>
          <w:szCs w:val="20"/>
        </w:rPr>
        <w:t>设备完整性管理体系结构及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PDCA</w:t>
      </w:r>
      <w:r>
        <w:rPr>
          <w:rFonts w:ascii="Times New Roman" w:eastAsia="Times New Roman" w:hAnsi="Times New Roman" w:cs="Times New Roman"/>
          <w:spacing w:val="18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8A10D"/>
          <w:spacing w:val="-1"/>
          <w:sz w:val="20"/>
          <w:szCs w:val="20"/>
        </w:rPr>
        <w:t>循环</w:t>
      </w:r>
    </w:p>
    <w:p>
      <w:pPr>
        <w:spacing w:line="184" w:lineRule="auto"/>
        <w:rPr>
          <w:rFonts w:ascii="SimSun" w:eastAsia="SimSun" w:hAnsi="SimSun" w:cs="SimSun"/>
          <w:sz w:val="20"/>
          <w:szCs w:val="20"/>
        </w:rPr>
        <w:sectPr>
          <w:headerReference w:type="default" r:id="rId31"/>
          <w:footerReference w:type="default" r:id="rId32"/>
          <w:type w:val="continuous"/>
          <w:pgSz w:w="11910" w:h="16840"/>
          <w:pgMar w:top="400" w:right="1370" w:bottom="1348" w:left="1410" w:header="0" w:footer="1209" w:gutter="0"/>
          <w:pgNumType w:start="14"/>
          <w:cols w:num="1" w:space="708" w:equalWidth="0">
            <w:col w:w="9130" w:space="0"/>
          </w:cols>
        </w:sectPr>
      </w:pPr>
    </w:p>
    <w:p>
      <w:pPr>
        <w:spacing w:before="58" w:line="231" w:lineRule="auto"/>
        <w:ind w:left="10" w:right="19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企业应根据本文件要求建立、实施、保持和持续改进设备完整性管理体系，体系构建应遵循以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下原则：</w:t>
      </w:r>
    </w:p>
    <w:p>
      <w:pPr>
        <w:spacing w:before="18" w:line="231" w:lineRule="auto"/>
        <w:ind w:left="5" w:right="8" w:firstLine="41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）体现管理要素的要求，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传承企业设备管理特色，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融入企业设备管理活动，参见附录</w:t>
      </w:r>
      <w:r>
        <w:rPr>
          <w:rFonts w:ascii="SimSun" w:eastAsia="SimSun" w:hAnsi="SimSun" w:cs="SimSun"/>
          <w:spacing w:val="-5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A</w:t>
      </w:r>
      <w:r>
        <w:rPr>
          <w:rFonts w:ascii="SimSun" w:eastAsia="SimSun" w:hAnsi="SimSun" w:cs="SimSun"/>
          <w:spacing w:val="-6"/>
          <w:sz w:val="21"/>
          <w:szCs w:val="21"/>
        </w:rPr>
        <w:t>，并具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可操作性和可执行性；</w:t>
      </w:r>
    </w:p>
    <w:p>
      <w:pPr>
        <w:spacing w:before="19" w:line="221" w:lineRule="auto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）满足法律、法规和企业设备管理相关要</w:t>
      </w:r>
      <w:r>
        <w:rPr>
          <w:rFonts w:ascii="SimSun" w:eastAsia="SimSun" w:hAnsi="SimSun" w:cs="SimSun"/>
          <w:spacing w:val="-2"/>
          <w:sz w:val="21"/>
          <w:szCs w:val="21"/>
        </w:rPr>
        <w:t>求；</w:t>
      </w:r>
    </w:p>
    <w:p>
      <w:pPr>
        <w:spacing w:before="23" w:line="238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）树立风险管理和系统化管理的思想；</w:t>
      </w:r>
    </w:p>
    <w:p>
      <w:pPr>
        <w:spacing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）与企业设备管理发展规划相匹配；</w:t>
      </w:r>
    </w:p>
    <w:p>
      <w:pPr>
        <w:spacing w:before="22" w:line="221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</w:t>
      </w:r>
      <w:r>
        <w:rPr>
          <w:rFonts w:ascii="SimSun" w:eastAsia="SimSun" w:hAnsi="SimSun" w:cs="SimSun"/>
          <w:spacing w:val="-2"/>
          <w:sz w:val="21"/>
          <w:szCs w:val="21"/>
        </w:rPr>
        <w:t>）体系建立前应开展初始状态评审。</w:t>
      </w:r>
    </w:p>
    <w:p>
      <w:pPr>
        <w:pStyle w:val="BodyText"/>
        <w:spacing w:before="141" w:line="224" w:lineRule="auto"/>
        <w:ind w:left="2"/>
      </w:pPr>
      <w:r>
        <w:rPr>
          <w:spacing w:val="-3"/>
        </w:rPr>
        <w:t>6.3</w:t>
      </w:r>
      <w:r>
        <w:rPr>
          <w:spacing w:val="15"/>
        </w:rPr>
        <w:t xml:space="preserve"> </w:t>
      </w:r>
      <w:r>
        <w:rPr>
          <w:spacing w:val="-3"/>
        </w:rPr>
        <w:t>管理目标</w:t>
      </w:r>
    </w:p>
    <w:p>
      <w:pPr>
        <w:spacing w:before="136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企业应建立和保持设备完整性管理目标，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该</w:t>
      </w:r>
      <w:r>
        <w:rPr>
          <w:rFonts w:ascii="SimSun" w:eastAsia="SimSun" w:hAnsi="SimSun" w:cs="SimSun"/>
          <w:spacing w:val="-4"/>
          <w:sz w:val="21"/>
          <w:szCs w:val="21"/>
        </w:rPr>
        <w:t>管理目标的制定应：</w:t>
      </w:r>
    </w:p>
    <w:p>
      <w:pPr>
        <w:spacing w:before="1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）与设备完整性管理方针相一致；</w:t>
      </w:r>
    </w:p>
    <w:p>
      <w:pPr>
        <w:spacing w:before="21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z w:val="21"/>
          <w:szCs w:val="21"/>
        </w:rPr>
        <w:t>）是可测量的（即定量和可实现的</w:t>
      </w:r>
      <w:r>
        <w:rPr>
          <w:rFonts w:ascii="SimSun" w:eastAsia="SimSun" w:hAnsi="SimSun" w:cs="SimSun"/>
          <w:spacing w:val="-12"/>
          <w:sz w:val="21"/>
          <w:szCs w:val="21"/>
        </w:rPr>
        <w:t>）；</w:t>
      </w:r>
    </w:p>
    <w:p>
      <w:pPr>
        <w:spacing w:line="221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）定期评审和更新；</w:t>
      </w:r>
    </w:p>
    <w:p>
      <w:pPr>
        <w:spacing w:before="20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2"/>
          <w:sz w:val="21"/>
          <w:szCs w:val="21"/>
        </w:rPr>
        <w:t>）符合法律法规、标准、规范和企业要求；</w:t>
      </w:r>
    </w:p>
    <w:p>
      <w:pPr>
        <w:spacing w:before="1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）使设备风险处于企业可接受范围内。</w:t>
      </w:r>
    </w:p>
    <w:p>
      <w:pPr>
        <w:spacing w:before="20" w:line="231" w:lineRule="auto"/>
        <w:ind w:left="6" w:right="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企业应根据管理目标制定和保持设备全生命周期的完整性管理计划</w:t>
      </w:r>
      <w:r>
        <w:rPr>
          <w:rFonts w:ascii="SimSun" w:eastAsia="SimSun" w:hAnsi="SimSun" w:cs="SimSun"/>
          <w:sz w:val="21"/>
          <w:szCs w:val="21"/>
        </w:rPr>
        <w:t xml:space="preserve">，并定期对计划执行情况进 </w:t>
      </w:r>
      <w:r>
        <w:rPr>
          <w:rFonts w:ascii="SimSun" w:eastAsia="SimSun" w:hAnsi="SimSun" w:cs="SimSun"/>
          <w:spacing w:val="-2"/>
          <w:sz w:val="21"/>
          <w:szCs w:val="21"/>
        </w:rPr>
        <w:t>行评审分析。</w:t>
      </w:r>
    </w:p>
    <w:p>
      <w:pPr>
        <w:pStyle w:val="BodyText"/>
        <w:spacing w:before="139" w:line="223" w:lineRule="auto"/>
        <w:ind w:left="2"/>
      </w:pPr>
      <w:r>
        <w:rPr>
          <w:spacing w:val="-1"/>
        </w:rPr>
        <w:t>6.4</w:t>
      </w:r>
      <w:r>
        <w:rPr>
          <w:spacing w:val="-1"/>
        </w:rPr>
        <w:t xml:space="preserve"> </w:t>
      </w:r>
      <w:r>
        <w:rPr>
          <w:spacing w:val="-1"/>
        </w:rPr>
        <w:t>风险管理策划</w:t>
      </w:r>
    </w:p>
    <w:p>
      <w:pPr>
        <w:spacing w:before="141" w:line="234" w:lineRule="auto"/>
        <w:ind w:right="14" w:firstLine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企业应遵循风险管理要求，参见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GB/T 24353，明确设备风险评价准则。依据风险评价结果，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5"/>
          <w:sz w:val="21"/>
          <w:szCs w:val="21"/>
        </w:rPr>
        <w:t>定设备风险管理策略。在设备全生命周期各阶段选用合适的风险技</w:t>
      </w:r>
      <w:r>
        <w:rPr>
          <w:rFonts w:ascii="SimSun" w:eastAsia="SimSun" w:hAnsi="SimSun" w:cs="SimSun"/>
          <w:spacing w:val="14"/>
          <w:sz w:val="21"/>
          <w:szCs w:val="21"/>
        </w:rPr>
        <w:t xml:space="preserve">术工具，如 </w:t>
      </w:r>
      <w:r>
        <w:rPr>
          <w:rFonts w:ascii="SimSun" w:eastAsia="SimSun" w:hAnsi="SimSun" w:cs="SimSun"/>
          <w:sz w:val="21"/>
          <w:szCs w:val="21"/>
        </w:rPr>
        <w:t>HAZOP</w:t>
      </w:r>
      <w:r>
        <w:rPr>
          <w:rFonts w:ascii="SimSun" w:eastAsia="SimSun" w:hAnsi="SimSun" w:cs="SimSun"/>
          <w:spacing w:val="14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>QRA</w:t>
      </w:r>
      <w:r>
        <w:rPr>
          <w:rFonts w:ascii="SimSun" w:eastAsia="SimSun" w:hAnsi="SimSun" w:cs="SimSun"/>
          <w:spacing w:val="14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FMEA/FMECA、PHA、RCM、RBI、RAM、LOPA、FTA、IOW、SIL、FFS、腐蚀适应性评价、设防值评估、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可靠性评价等， 以提高设备风险管理的科学性。</w:t>
      </w:r>
    </w:p>
    <w:p>
      <w:pPr>
        <w:pStyle w:val="BodyText"/>
        <w:spacing w:before="269" w:line="221" w:lineRule="auto"/>
        <w:ind w:left="5"/>
        <w:rPr>
          <w:rFonts w:ascii="SimSun" w:eastAsia="SimSun" w:hAnsi="SimSun" w:cs="SimSun"/>
          <w:sz w:val="2"/>
          <w:szCs w:val="2"/>
        </w:rPr>
      </w:pPr>
      <w:r>
        <w:rPr>
          <w:spacing w:val="-4"/>
          <w:sz w:val="24"/>
          <w:szCs w:val="24"/>
        </w:rPr>
        <w:t>7</w:t>
      </w:r>
      <w:r>
        <w:rPr>
          <w:spacing w:val="8"/>
          <w:sz w:val="24"/>
          <w:szCs w:val="24"/>
        </w:rPr>
        <w:t xml:space="preserve">  </w:t>
      </w:r>
      <w:r>
        <w:rPr>
          <w:spacing w:val="-4"/>
          <w:sz w:val="24"/>
          <w:szCs w:val="24"/>
        </w:rPr>
        <w:t>支持</w:t>
      </w:r>
      <w:r>
        <w:rPr>
          <w:spacing w:val="-4"/>
          <w:sz w:val="24"/>
          <w:szCs w:val="24"/>
        </w:rPr>
        <w:t xml:space="preserve">                               </w:t>
      </w:r>
      <w:r>
        <w:rPr>
          <w:rFonts w:ascii="SimSun" w:eastAsia="SimSun" w:hAnsi="SimSun" w:cs="SimSun"/>
          <w:color w:val="C0C0C0"/>
          <w:spacing w:val="-4"/>
          <w:position w:val="-3"/>
          <w:sz w:val="2"/>
          <w:szCs w:val="2"/>
        </w:rPr>
        <w:t>内部资料</w:t>
      </w:r>
      <w:r>
        <w:rPr>
          <w:rFonts w:ascii="SimSun" w:eastAsia="SimSun" w:hAnsi="SimSun" w:cs="SimSun"/>
          <w:color w:val="C0C0C0"/>
          <w:spacing w:val="5"/>
          <w:w w:val="107"/>
          <w:position w:val="-3"/>
          <w:sz w:val="2"/>
          <w:szCs w:val="2"/>
        </w:rPr>
        <w:t xml:space="preserve"> </w:t>
      </w:r>
      <w:r>
        <w:rPr>
          <w:rFonts w:ascii="SimSun" w:eastAsia="SimSun" w:hAnsi="SimSun" w:cs="SimSun"/>
          <w:color w:val="C0C0C0"/>
          <w:spacing w:val="-4"/>
          <w:position w:val="-3"/>
          <w:sz w:val="2"/>
          <w:szCs w:val="2"/>
        </w:rPr>
        <w:t>尚未公</w:t>
      </w:r>
      <w:r>
        <w:rPr>
          <w:rFonts w:ascii="SimSun" w:eastAsia="SimSun" w:hAnsi="SimSun" w:cs="SimSun"/>
          <w:color w:val="C0C0C0"/>
          <w:spacing w:val="-5"/>
          <w:position w:val="-3"/>
          <w:sz w:val="2"/>
          <w:szCs w:val="2"/>
        </w:rPr>
        <w:t>开</w:t>
      </w:r>
      <w:r>
        <w:rPr>
          <w:rFonts w:ascii="SimSun" w:eastAsia="SimSun" w:hAnsi="SimSun" w:cs="SimSun"/>
          <w:color w:val="C0C0C0"/>
          <w:position w:val="-3"/>
          <w:sz w:val="2"/>
          <w:szCs w:val="2"/>
        </w:rPr>
        <w:t xml:space="preserve"> </w:t>
      </w:r>
      <w:r>
        <w:rPr>
          <w:rFonts w:ascii="SimSun" w:eastAsia="SimSun" w:hAnsi="SimSun" w:cs="SimSun"/>
          <w:color w:val="C0C0C0"/>
          <w:spacing w:val="-5"/>
          <w:position w:val="-3"/>
          <w:sz w:val="2"/>
          <w:szCs w:val="2"/>
        </w:rPr>
        <w:t>注意保密</w:t>
      </w:r>
    </w:p>
    <w:p>
      <w:pPr>
        <w:pStyle w:val="BodyText"/>
        <w:spacing w:before="258" w:line="222" w:lineRule="auto"/>
        <w:ind w:left="4"/>
      </w:pPr>
      <w:r>
        <w:rPr>
          <w:spacing w:val="-4"/>
        </w:rPr>
        <w:t>7.1</w:t>
      </w:r>
      <w:r>
        <w:rPr>
          <w:spacing w:val="20"/>
        </w:rPr>
        <w:t xml:space="preserve"> </w:t>
      </w:r>
      <w:r>
        <w:rPr>
          <w:spacing w:val="-4"/>
        </w:rPr>
        <w:t>资源</w:t>
      </w:r>
    </w:p>
    <w:p>
      <w:pPr>
        <w:spacing w:before="143" w:line="229" w:lineRule="auto"/>
        <w:ind w:left="423" w:right="506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企业应确定和提供建立、实施、保持和持续改进设备完整性管理体系必需的资源， 包括：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）确定并配置所需的设备相关人员；</w:t>
      </w:r>
    </w:p>
    <w:p>
      <w:pPr>
        <w:spacing w:before="23" w:line="238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z w:val="21"/>
          <w:szCs w:val="21"/>
        </w:rPr>
        <w:t>）确定并建立所需的设备信息系统；</w:t>
      </w:r>
    </w:p>
    <w:p>
      <w:pPr>
        <w:spacing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）确定并配备所需的专业技术工具；</w:t>
      </w:r>
    </w:p>
    <w:p>
      <w:pPr>
        <w:spacing w:before="23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）确定并提供所需的费用；</w:t>
      </w:r>
    </w:p>
    <w:p>
      <w:pPr>
        <w:spacing w:before="21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）确定并提供所需的技术资料和知识。</w:t>
      </w:r>
    </w:p>
    <w:p>
      <w:pPr>
        <w:pStyle w:val="BodyText"/>
        <w:spacing w:before="143" w:line="223" w:lineRule="auto"/>
        <w:ind w:left="4"/>
      </w:pPr>
      <w:r>
        <w:rPr>
          <w:spacing w:val="-3"/>
        </w:rPr>
        <w:t>7.2</w:t>
      </w:r>
      <w:r>
        <w:rPr>
          <w:spacing w:val="15"/>
        </w:rPr>
        <w:t xml:space="preserve"> </w:t>
      </w:r>
      <w:r>
        <w:rPr>
          <w:spacing w:val="-3"/>
        </w:rPr>
        <w:t>能力</w:t>
      </w:r>
    </w:p>
    <w:p>
      <w:pPr>
        <w:spacing w:before="137" w:line="221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企业应确保人员能力达到设备完整性管理体系的要求，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包括：</w:t>
      </w:r>
    </w:p>
    <w:p>
      <w:pPr>
        <w:spacing w:before="23" w:line="229" w:lineRule="auto"/>
        <w:ind w:left="415" w:right="835" w:firstLine="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）确定从事设备完整性管理相关工作的人员所必要的能力和对</w:t>
      </w:r>
      <w:r>
        <w:rPr>
          <w:rFonts w:ascii="SimSun" w:eastAsia="SimSun" w:hAnsi="SimSun" w:cs="SimSun"/>
          <w:spacing w:val="-3"/>
          <w:sz w:val="21"/>
          <w:szCs w:val="21"/>
        </w:rPr>
        <w:t>设备管理绩效的影响；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b</w:t>
      </w:r>
      <w:r>
        <w:rPr>
          <w:rFonts w:ascii="SimSun" w:eastAsia="SimSun" w:hAnsi="SimSun" w:cs="SimSun"/>
          <w:spacing w:val="-4"/>
          <w:sz w:val="21"/>
          <w:szCs w:val="21"/>
        </w:rPr>
        <w:t>）基于适当的教育、培训和知识（经验）传承， 确保人员能够胜任；</w:t>
      </w:r>
    </w:p>
    <w:p>
      <w:pPr>
        <w:spacing w:before="23" w:line="230" w:lineRule="auto"/>
        <w:ind w:left="3" w:firstLine="419"/>
        <w:rPr>
          <w:rFonts w:ascii="SimSun" w:eastAsia="SimSun" w:hAnsi="SimSun" w:cs="SimSun"/>
          <w:sz w:val="21"/>
          <w:szCs w:val="21"/>
        </w:rPr>
        <w:sectPr>
          <w:headerReference w:type="default" r:id="rId33"/>
          <w:footerReference w:type="default" r:id="rId34"/>
          <w:pgSz w:w="11907" w:h="16841"/>
          <w:pgMar w:top="1348" w:right="1415" w:bottom="1256" w:left="1422" w:header="1133" w:footer="1098" w:gutter="0"/>
          <w:pgNumType w:start="15"/>
          <w:cols w:space="708"/>
        </w:sect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）必要时，企业可重新分配工作，</w:t>
      </w:r>
      <w:r>
        <w:rPr>
          <w:rFonts w:ascii="SimSun" w:eastAsia="SimSun" w:hAnsi="SimSun" w:cs="SimSu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通过聘用、外包等措施，以获取所需的能力，并评价这些措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施的有效性；</w:t>
      </w:r>
    </w:p>
    <w:p>
      <w:pPr>
        <w:spacing w:before="22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）定期评审企业人才需求和岗位能力要求；</w:t>
      </w:r>
    </w:p>
    <w:p>
      <w:pPr>
        <w:spacing w:before="21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）保持形成文件的信息，以提供有力的证据。</w:t>
      </w:r>
    </w:p>
    <w:p>
      <w:pPr>
        <w:pStyle w:val="BodyText"/>
        <w:spacing w:before="142" w:line="223" w:lineRule="auto"/>
        <w:ind w:left="4"/>
      </w:pPr>
      <w:r>
        <w:rPr>
          <w:spacing w:val="-3"/>
        </w:rPr>
        <w:t>7.3</w:t>
      </w:r>
      <w:r>
        <w:rPr>
          <w:spacing w:val="12"/>
        </w:rPr>
        <w:t xml:space="preserve"> </w:t>
      </w:r>
      <w:r>
        <w:rPr>
          <w:spacing w:val="-3"/>
        </w:rPr>
        <w:t>意识</w:t>
      </w:r>
    </w:p>
    <w:p>
      <w:pPr>
        <w:spacing w:before="140" w:line="238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企业应确保体系范围内的工作人员意识到：</w:t>
      </w:r>
    </w:p>
    <w:p>
      <w:pPr>
        <w:spacing w:before="1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）设备完整性管理方针、</w:t>
      </w:r>
      <w:r>
        <w:rPr>
          <w:rFonts w:ascii="SimSun" w:eastAsia="SimSun" w:hAnsi="SimSun" w:cs="SimSun"/>
          <w:spacing w:val="-5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目标；</w:t>
      </w:r>
    </w:p>
    <w:p>
      <w:pPr>
        <w:spacing w:before="22" w:line="221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b</w:t>
      </w:r>
      <w:r>
        <w:rPr>
          <w:rFonts w:ascii="SimSun" w:eastAsia="SimSun" w:hAnsi="SimSun" w:cs="SimSun"/>
          <w:spacing w:val="-3"/>
          <w:sz w:val="21"/>
          <w:szCs w:val="21"/>
        </w:rPr>
        <w:t>）</w:t>
      </w:r>
      <w:r>
        <w:rPr>
          <w:rFonts w:ascii="SimSun" w:eastAsia="SimSun" w:hAnsi="SimSun" w:cs="SimSun"/>
          <w:spacing w:val="-6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自身岗位对设备完整性管理体系有效性的贡献，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包括设备管理水平提升</w:t>
      </w:r>
      <w:r>
        <w:rPr>
          <w:rFonts w:ascii="SimSun" w:eastAsia="SimSun" w:hAnsi="SimSun" w:cs="SimSun"/>
          <w:spacing w:val="-4"/>
          <w:sz w:val="21"/>
          <w:szCs w:val="21"/>
        </w:rPr>
        <w:t>带来的收益；</w:t>
      </w:r>
    </w:p>
    <w:p>
      <w:pPr>
        <w:spacing w:before="20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）</w:t>
      </w:r>
      <w:r>
        <w:rPr>
          <w:rFonts w:ascii="SimSun" w:eastAsia="SimSun" w:hAnsi="SimSun" w:cs="SimSun"/>
          <w:spacing w:val="-6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自身工作活动、必要工作技能、 岗位风险和机遇及相互关联；</w:t>
      </w:r>
    </w:p>
    <w:p>
      <w:pPr>
        <w:spacing w:before="1"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2"/>
          <w:sz w:val="21"/>
          <w:szCs w:val="21"/>
        </w:rPr>
        <w:t>）偏离设备完整性管理体系要求的后果。</w:t>
      </w:r>
    </w:p>
    <w:p>
      <w:pPr>
        <w:spacing w:line="220" w:lineRule="auto"/>
        <w:rPr>
          <w:rFonts w:ascii="SimSun" w:eastAsia="SimSun" w:hAnsi="SimSun" w:cs="SimSun"/>
          <w:sz w:val="21"/>
          <w:szCs w:val="21"/>
        </w:rPr>
        <w:sectPr>
          <w:headerReference w:type="default" r:id="rId35"/>
          <w:footerReference w:type="default" r:id="rId36"/>
          <w:type w:val="nextPage"/>
          <w:pgSz w:w="11907" w:h="16841"/>
          <w:pgMar w:top="1348" w:right="1415" w:bottom="1256" w:left="1422" w:header="1133" w:footer="1098" w:gutter="0"/>
          <w:pgNumType w:start="16"/>
          <w:cols w:space="708"/>
          <w:titlePg w:val="0"/>
        </w:sectPr>
      </w:pPr>
    </w:p>
    <w:p>
      <w:pPr>
        <w:pStyle w:val="BodyText"/>
        <w:spacing w:before="59" w:line="223" w:lineRule="auto"/>
        <w:ind w:left="98"/>
      </w:pPr>
      <w:r>
        <w:rPr>
          <w:spacing w:val="-3"/>
        </w:rPr>
        <w:t>7.4</w:t>
      </w:r>
      <w:r>
        <w:rPr>
          <w:spacing w:val="11"/>
        </w:rPr>
        <w:t xml:space="preserve"> </w:t>
      </w:r>
      <w:r>
        <w:rPr>
          <w:spacing w:val="-3"/>
        </w:rPr>
        <w:t>沟通</w:t>
      </w:r>
    </w:p>
    <w:p>
      <w:pPr>
        <w:spacing w:before="139" w:line="221" w:lineRule="auto"/>
        <w:ind w:left="5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企业应确定与设备完整性管理体系相关的内部和外部</w:t>
      </w:r>
      <w:r>
        <w:rPr>
          <w:rFonts w:ascii="SimSun" w:eastAsia="SimSun" w:hAnsi="SimSun" w:cs="SimSun"/>
          <w:spacing w:val="-1"/>
          <w:sz w:val="21"/>
          <w:szCs w:val="21"/>
        </w:rPr>
        <w:t>沟通的需求及记录要求，包括：</w:t>
      </w:r>
    </w:p>
    <w:p>
      <w:pPr>
        <w:spacing w:before="20" w:line="230" w:lineRule="auto"/>
        <w:ind w:left="103" w:firstLine="4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）沟通的内容应涵盖设备完整性管理有关的内外部信息， 包括方针、要求、期望、绩效，</w:t>
      </w:r>
      <w:r>
        <w:rPr>
          <w:rFonts w:ascii="SimSun" w:eastAsia="SimSun" w:hAnsi="SimSun" w:cs="SimSun"/>
          <w:spacing w:val="4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设备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管理相关的法律法规，政府部门及企业要求等；</w:t>
      </w:r>
    </w:p>
    <w:p>
      <w:pPr>
        <w:spacing w:before="20" w:line="220" w:lineRule="auto"/>
        <w:ind w:left="50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）沟通的时机应根据相关要求和沟通内容进</w:t>
      </w:r>
      <w:r>
        <w:rPr>
          <w:rFonts w:ascii="SimSun" w:eastAsia="SimSun" w:hAnsi="SimSun" w:cs="SimSun"/>
          <w:spacing w:val="-2"/>
          <w:sz w:val="21"/>
          <w:szCs w:val="21"/>
        </w:rPr>
        <w:t>行；</w:t>
      </w:r>
    </w:p>
    <w:p>
      <w:pPr>
        <w:spacing w:before="24" w:line="229" w:lineRule="auto"/>
        <w:ind w:left="100" w:right="15" w:firstLine="4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）沟通的对象应包括企业各级部门、员工等内部相关方， 地方政府、社区、承包商、媒体等外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部相关方；</w:t>
      </w:r>
    </w:p>
    <w:p>
      <w:pPr>
        <w:spacing w:before="23" w:line="220" w:lineRule="auto"/>
        <w:ind w:left="5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d</w:t>
      </w:r>
      <w:r>
        <w:rPr>
          <w:rFonts w:ascii="SimSun" w:eastAsia="SimSun" w:hAnsi="SimSun" w:cs="SimSun"/>
          <w:spacing w:val="-1"/>
          <w:sz w:val="21"/>
          <w:szCs w:val="21"/>
        </w:rPr>
        <w:t>）沟通的方式包括但不限于会议、公文、培训、信息系统等。</w:t>
      </w:r>
    </w:p>
    <w:p>
      <w:pPr>
        <w:pStyle w:val="BodyText"/>
        <w:spacing w:before="141" w:line="224" w:lineRule="auto"/>
        <w:ind w:left="98"/>
      </w:pPr>
      <w:r>
        <w:rPr>
          <w:spacing w:val="-3"/>
        </w:rPr>
        <w:t>7.5</w:t>
      </w:r>
      <w:r>
        <w:rPr>
          <w:spacing w:val="11"/>
        </w:rPr>
        <w:t xml:space="preserve"> </w:t>
      </w:r>
      <w:r>
        <w:rPr>
          <w:spacing w:val="-3"/>
        </w:rPr>
        <w:t>培训</w:t>
      </w:r>
    </w:p>
    <w:p>
      <w:pPr>
        <w:pStyle w:val="BodyText"/>
        <w:spacing w:before="136" w:line="223" w:lineRule="auto"/>
        <w:ind w:left="98"/>
      </w:pPr>
      <w:r>
        <w:rPr>
          <w:spacing w:val="-1"/>
        </w:rPr>
        <w:t>7.5.1</w:t>
      </w:r>
      <w:r>
        <w:rPr>
          <w:spacing w:val="-1"/>
        </w:rPr>
        <w:t xml:space="preserve"> </w:t>
      </w:r>
      <w:r>
        <w:rPr>
          <w:spacing w:val="-1"/>
        </w:rPr>
        <w:t>确定培训需求</w:t>
      </w:r>
    </w:p>
    <w:p>
      <w:pPr>
        <w:spacing w:before="20" w:line="221" w:lineRule="auto"/>
        <w:ind w:left="5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企业应定期开展设备完整性管理相关人员培训需求分析，</w:t>
      </w:r>
      <w:r>
        <w:rPr>
          <w:rFonts w:ascii="SimSun" w:eastAsia="SimSun" w:hAnsi="SimSun" w:cs="SimSun"/>
          <w:spacing w:val="-1"/>
          <w:sz w:val="21"/>
          <w:szCs w:val="21"/>
        </w:rPr>
        <w:t>培训需求应满足：</w:t>
      </w:r>
    </w:p>
    <w:p>
      <w:pPr>
        <w:spacing w:before="19" w:line="221" w:lineRule="auto"/>
        <w:ind w:left="5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7.2 </w:t>
      </w:r>
      <w:r>
        <w:rPr>
          <w:rFonts w:ascii="SimSun" w:eastAsia="SimSun" w:hAnsi="SimSun" w:cs="SimSun"/>
          <w:spacing w:val="-4"/>
          <w:sz w:val="21"/>
          <w:szCs w:val="21"/>
        </w:rPr>
        <w:t>和</w:t>
      </w:r>
      <w:r>
        <w:rPr>
          <w:rFonts w:ascii="SimSun" w:eastAsia="SimSun" w:hAnsi="SimSun" w:cs="SimSun"/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7.3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中所涉及的内容要求；</w:t>
      </w:r>
    </w:p>
    <w:p>
      <w:pPr>
        <w:spacing w:before="22" w:line="221" w:lineRule="auto"/>
        <w:ind w:left="50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z w:val="21"/>
          <w:szCs w:val="21"/>
        </w:rPr>
        <w:t>）员工工作岗位变动时得到及时培训；</w:t>
      </w:r>
    </w:p>
    <w:p>
      <w:pPr>
        <w:spacing w:before="21"/>
        <w:ind w:left="5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）员工及时掌握新材料、</w:t>
      </w:r>
      <w:r>
        <w:rPr>
          <w:rFonts w:ascii="SimSun" w:eastAsia="SimSun" w:hAnsi="SimSun" w:cs="SimSun"/>
          <w:spacing w:val="-3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新技术、新工艺、新设备；</w:t>
      </w:r>
    </w:p>
    <w:p>
      <w:pPr>
        <w:spacing w:before="1" w:line="220" w:lineRule="auto"/>
        <w:ind w:left="5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2"/>
          <w:sz w:val="21"/>
          <w:szCs w:val="21"/>
        </w:rPr>
        <w:t>）员工持续接受应急演练培训。</w:t>
      </w:r>
    </w:p>
    <w:p>
      <w:pPr>
        <w:pStyle w:val="BodyText"/>
        <w:spacing w:before="20" w:line="223" w:lineRule="auto"/>
        <w:ind w:left="98"/>
      </w:pPr>
      <w:r>
        <w:rPr>
          <w:spacing w:val="-1"/>
        </w:rPr>
        <w:t>7.5.2</w:t>
      </w:r>
      <w:r>
        <w:rPr>
          <w:spacing w:val="-1"/>
        </w:rPr>
        <w:t xml:space="preserve"> </w:t>
      </w:r>
      <w:r>
        <w:rPr>
          <w:spacing w:val="-1"/>
        </w:rPr>
        <w:t>培训策划及实施</w:t>
      </w:r>
    </w:p>
    <w:p>
      <w:pPr>
        <w:spacing w:before="21" w:line="229" w:lineRule="auto"/>
        <w:ind w:left="99" w:right="40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企业应基于培训需求和培训条件，策划培训内容，制</w:t>
      </w:r>
      <w:r>
        <w:rPr>
          <w:rFonts w:ascii="SimSun" w:eastAsia="SimSun" w:hAnsi="SimSun" w:cs="SimSun"/>
          <w:spacing w:val="-6"/>
          <w:sz w:val="21"/>
          <w:szCs w:val="21"/>
        </w:rPr>
        <w:t>定培训计划，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按期开展培训，</w:t>
      </w:r>
      <w:r>
        <w:rPr>
          <w:rFonts w:ascii="SimSun" w:eastAsia="SimSun" w:hAnsi="SimSun" w:cs="SimSun"/>
          <w:spacing w:val="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以确保各项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培训有效开展。培训策划应满足以下要求：</w:t>
      </w:r>
    </w:p>
    <w:p>
      <w:pPr>
        <w:spacing w:before="23" w:line="238" w:lineRule="auto"/>
        <w:ind w:left="519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3"/>
          <w:sz w:val="21"/>
          <w:szCs w:val="21"/>
        </w:rPr>
        <w:t>a</w:t>
      </w:r>
      <w:r>
        <w:rPr>
          <w:rFonts w:ascii="Calibri" w:eastAsia="Calibri" w:hAnsi="Calibri" w:cs="Calibri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）使员工了解完整性管理设置和员工的具体角色和责任；</w:t>
      </w:r>
    </w:p>
    <w:p>
      <w:pPr>
        <w:spacing w:line="219" w:lineRule="auto"/>
        <w:ind w:left="526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）评估员工在其岗位职能上的相关潜在风险；</w:t>
      </w:r>
    </w:p>
    <w:p>
      <w:pPr>
        <w:spacing w:before="25" w:line="229" w:lineRule="auto"/>
        <w:ind w:left="518" w:right="8" w:firstLine="1"/>
        <w:rPr>
          <w:rFonts w:ascii="SimSun" w:eastAsia="SimSun" w:hAnsi="SimSun" w:cs="SimSun"/>
          <w:sz w:val="21"/>
          <w:szCs w:val="21"/>
        </w:rPr>
      </w:pPr>
      <w:r>
        <w:rPr>
          <w:rFonts w:ascii="Calibri" w:eastAsia="Calibri" w:hAnsi="Calibri" w:cs="Calibri"/>
          <w:spacing w:val="-4"/>
          <w:sz w:val="21"/>
          <w:szCs w:val="21"/>
        </w:rPr>
        <w:t>c</w:t>
      </w:r>
      <w:r>
        <w:rPr>
          <w:rFonts w:ascii="Calibri" w:eastAsia="Calibri" w:hAnsi="Calibri" w:cs="Calibri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）为承担风险评价、可靠性分析、缺陷响应、变更管理等特定设备完整性管理角色的员工，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提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供相应的内部或外部持续性培训。</w:t>
      </w:r>
    </w:p>
    <w:p>
      <w:pPr>
        <w:spacing w:before="24" w:line="238" w:lineRule="auto"/>
        <w:ind w:left="5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培训实施内容应包括：</w:t>
      </w:r>
    </w:p>
    <w:p>
      <w:pPr>
        <w:spacing w:line="220" w:lineRule="auto"/>
        <w:ind w:left="5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）培训时间与频次；</w:t>
      </w:r>
    </w:p>
    <w:p>
      <w:pPr>
        <w:spacing w:before="23" w:line="221" w:lineRule="auto"/>
        <w:ind w:left="51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SimSun" w:eastAsia="SimSun" w:hAnsi="SimSun" w:cs="SimSun"/>
          <w:sz w:val="21"/>
          <w:szCs w:val="21"/>
        </w:rPr>
        <w:t>）培训方式；</w:t>
      </w:r>
    </w:p>
    <w:p>
      <w:pPr>
        <w:spacing w:before="20" w:line="221" w:lineRule="auto"/>
        <w:ind w:left="5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）效果验证方式和标准。</w:t>
      </w:r>
    </w:p>
    <w:p>
      <w:pPr>
        <w:spacing w:before="23" w:line="229" w:lineRule="auto"/>
        <w:ind w:right="248" w:firstLine="5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企业应积极采用仿真培训、实操培训等措施，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拓宽基层员</w:t>
      </w:r>
      <w:r>
        <w:rPr>
          <w:rFonts w:ascii="SimSun" w:eastAsia="SimSun" w:hAnsi="SimSun" w:cs="SimSun"/>
          <w:spacing w:val="-5"/>
          <w:sz w:val="21"/>
          <w:szCs w:val="21"/>
        </w:rPr>
        <w:t>工培训手段，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可推广应用虚拟现实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（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VR</w:t>
      </w:r>
      <w:r>
        <w:rPr>
          <w:rFonts w:ascii="SimSun" w:eastAsia="SimSun" w:hAnsi="SimSun" w:cs="SimSun"/>
          <w:spacing w:val="-1"/>
          <w:sz w:val="21"/>
          <w:szCs w:val="21"/>
        </w:rPr>
        <w:t>）、增强现实（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AR</w:t>
      </w:r>
      <w:r>
        <w:rPr>
          <w:rFonts w:ascii="SimSun" w:eastAsia="SimSun" w:hAnsi="SimSun" w:cs="SimSun"/>
          <w:spacing w:val="-1"/>
          <w:sz w:val="21"/>
          <w:szCs w:val="21"/>
        </w:rPr>
        <w:t>）和人工智能（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AI</w:t>
      </w:r>
      <w:r>
        <w:rPr>
          <w:rFonts w:ascii="SimSun" w:eastAsia="SimSun" w:hAnsi="SimSun" w:cs="SimSun"/>
          <w:spacing w:val="-1"/>
          <w:sz w:val="21"/>
          <w:szCs w:val="21"/>
        </w:rPr>
        <w:t>）等先进工具，提高培训效果。</w:t>
      </w:r>
    </w:p>
    <w:p>
      <w:pPr>
        <w:pStyle w:val="BodyText"/>
        <w:spacing w:before="22" w:line="222" w:lineRule="auto"/>
        <w:ind w:left="99"/>
      </w:pPr>
      <w:r>
        <w:rPr>
          <w:spacing w:val="-1"/>
        </w:rPr>
        <w:t>7.5.3</w:t>
      </w:r>
      <w:r>
        <w:rPr>
          <w:spacing w:val="-1"/>
        </w:rPr>
        <w:t xml:space="preserve"> </w:t>
      </w:r>
      <w:r>
        <w:rPr>
          <w:spacing w:val="-1"/>
        </w:rPr>
        <w:t>培训效果验证与记录</w:t>
      </w:r>
    </w:p>
    <w:p>
      <w:pPr>
        <w:spacing w:before="20" w:line="229" w:lineRule="auto"/>
        <w:ind w:left="102" w:right="88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企业应对培训过程进行记录和评价，并对培训效果进行验证</w:t>
      </w:r>
      <w:r>
        <w:rPr>
          <w:rFonts w:ascii="SimSun" w:eastAsia="SimSun" w:hAnsi="SimSun" w:cs="SimSun"/>
          <w:spacing w:val="-2"/>
          <w:sz w:val="21"/>
          <w:szCs w:val="21"/>
        </w:rPr>
        <w:t>。培训效果验证可采用多种方法：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笔试、演示及现场实操等。</w:t>
      </w:r>
    </w:p>
    <w:p>
      <w:pPr>
        <w:spacing w:before="22" w:line="229" w:lineRule="auto"/>
        <w:ind w:left="104" w:right="3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企业应记录员工的培训需求和培训完成情况。培训记录应包括培训</w:t>
      </w:r>
      <w:r>
        <w:rPr>
          <w:rFonts w:ascii="SimSun" w:eastAsia="SimSun" w:hAnsi="SimSun" w:cs="SimSun"/>
          <w:sz w:val="21"/>
          <w:szCs w:val="21"/>
        </w:rPr>
        <w:t xml:space="preserve">日期、效果验证方式及验证 </w:t>
      </w:r>
      <w:r>
        <w:rPr>
          <w:rFonts w:ascii="SimSun" w:eastAsia="SimSun" w:hAnsi="SimSun" w:cs="SimSun"/>
          <w:spacing w:val="-1"/>
          <w:sz w:val="21"/>
          <w:szCs w:val="21"/>
        </w:rPr>
        <w:t>结果等。培训评价内容应包含计划完成情况、培训效果分析和改进措施等。</w:t>
      </w:r>
    </w:p>
    <w:p>
      <w:pPr>
        <w:pStyle w:val="BodyText"/>
        <w:spacing w:before="144" w:line="223" w:lineRule="auto"/>
        <w:ind w:left="99"/>
      </w:pPr>
      <w:r>
        <w:rPr>
          <w:spacing w:val="-1"/>
        </w:rPr>
        <w:t>7.6</w:t>
      </w:r>
      <w:r>
        <w:rPr>
          <w:spacing w:val="-1"/>
        </w:rPr>
        <w:t xml:space="preserve"> </w:t>
      </w:r>
      <w:r>
        <w:rPr>
          <w:spacing w:val="-1"/>
        </w:rPr>
        <w:t>文件与数据管理</w:t>
      </w:r>
    </w:p>
    <w:p>
      <w:pPr>
        <w:pStyle w:val="BodyText"/>
        <w:spacing w:before="138" w:line="223" w:lineRule="auto"/>
        <w:ind w:left="99"/>
      </w:pPr>
      <w:r>
        <w:rPr>
          <w:spacing w:val="-2"/>
        </w:rPr>
        <w:t>7.6.1</w:t>
      </w:r>
      <w:r>
        <w:rPr>
          <w:spacing w:val="12"/>
        </w:rPr>
        <w:t xml:space="preserve"> </w:t>
      </w:r>
      <w:r>
        <w:rPr>
          <w:spacing w:val="-2"/>
        </w:rPr>
        <w:t>总则</w:t>
      </w:r>
    </w:p>
    <w:p>
      <w:pPr>
        <w:spacing w:before="20" w:line="221" w:lineRule="auto"/>
        <w:ind w:left="522"/>
        <w:rPr>
          <w:rFonts w:ascii="SimSun" w:eastAsia="SimSun" w:hAnsi="SimSun" w:cs="SimSun"/>
          <w:sz w:val="21"/>
          <w:szCs w:val="21"/>
        </w:rPr>
        <w:sectPr>
          <w:headerReference w:type="default" r:id="rId37"/>
          <w:footerReference w:type="default" r:id="rId38"/>
          <w:pgSz w:w="11907" w:h="16841"/>
          <w:pgMar w:top="1348" w:right="1411" w:bottom="1374" w:left="1328" w:header="1133" w:footer="1213" w:gutter="0"/>
          <w:pgNumType w:start="17"/>
          <w:cols w:space="708"/>
        </w:sectPr>
      </w:pPr>
      <w:r>
        <w:rPr>
          <w:rFonts w:ascii="SimSun" w:eastAsia="SimSun" w:hAnsi="SimSun" w:cs="SimSun"/>
          <w:spacing w:val="-5"/>
          <w:sz w:val="21"/>
          <w:szCs w:val="21"/>
        </w:rPr>
        <w:t>企业应建立设备完整性管理体系文件化信息，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包括：</w:t>
      </w:r>
    </w:p>
    <w:p>
      <w:pPr>
        <w:spacing w:before="19" w:line="220" w:lineRule="auto"/>
        <w:ind w:left="5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a)   </w:t>
      </w:r>
      <w:r>
        <w:rPr>
          <w:rFonts w:ascii="SimSun" w:eastAsia="SimSun" w:hAnsi="SimSun" w:cs="SimSun"/>
          <w:spacing w:val="-4"/>
          <w:sz w:val="21"/>
          <w:szCs w:val="21"/>
        </w:rPr>
        <w:t>管理手册；</w:t>
      </w:r>
    </w:p>
    <w:p>
      <w:pPr>
        <w:spacing w:before="24" w:line="220" w:lineRule="auto"/>
        <w:ind w:left="5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b)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管理程序文件；</w:t>
      </w:r>
    </w:p>
    <w:p>
      <w:pPr>
        <w:spacing w:before="22"/>
        <w:ind w:left="5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c)   </w:t>
      </w:r>
      <w:r>
        <w:rPr>
          <w:rFonts w:ascii="SimSun" w:eastAsia="SimSun" w:hAnsi="SimSun" w:cs="SimSun"/>
          <w:spacing w:val="-3"/>
          <w:sz w:val="21"/>
          <w:szCs w:val="21"/>
        </w:rPr>
        <w:t>执行过程的文件和记录；</w:t>
      </w:r>
    </w:p>
    <w:p>
      <w:pPr>
        <w:spacing w:line="219" w:lineRule="auto"/>
        <w:ind w:left="5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d)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设备数据信息。</w:t>
      </w:r>
    </w:p>
    <w:p>
      <w:pPr>
        <w:pStyle w:val="BodyText"/>
        <w:spacing w:before="23" w:line="223" w:lineRule="auto"/>
        <w:ind w:left="98"/>
      </w:pPr>
      <w:r>
        <w:rPr>
          <w:spacing w:val="-1"/>
        </w:rPr>
        <w:t>7.6.2</w:t>
      </w:r>
      <w:r>
        <w:rPr>
          <w:spacing w:val="-1"/>
        </w:rPr>
        <w:t xml:space="preserve"> </w:t>
      </w:r>
      <w:r>
        <w:rPr>
          <w:spacing w:val="-1"/>
        </w:rPr>
        <w:t>文件管理</w:t>
      </w:r>
    </w:p>
    <w:p>
      <w:pPr>
        <w:spacing w:before="21" w:line="238" w:lineRule="auto"/>
        <w:ind w:left="5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设备完整性管理体系所要求的文件和记录应予以控</w:t>
      </w:r>
      <w:r>
        <w:rPr>
          <w:rFonts w:ascii="SimSun" w:eastAsia="SimSun" w:hAnsi="SimSun" w:cs="SimSun"/>
          <w:spacing w:val="-2"/>
          <w:sz w:val="21"/>
          <w:szCs w:val="21"/>
        </w:rPr>
        <w:t>制，包括：</w:t>
      </w:r>
    </w:p>
    <w:p>
      <w:pPr>
        <w:spacing w:before="1" w:line="219" w:lineRule="auto"/>
        <w:ind w:left="5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a)     </w:t>
      </w:r>
      <w:r>
        <w:rPr>
          <w:rFonts w:ascii="SimSun" w:eastAsia="SimSun" w:hAnsi="SimSun" w:cs="SimSun"/>
          <w:spacing w:val="-4"/>
          <w:sz w:val="21"/>
          <w:szCs w:val="21"/>
        </w:rPr>
        <w:t>确保体系文件充分性与适宜性， 有效承接外部文件；</w:t>
      </w:r>
    </w:p>
    <w:p>
      <w:pPr>
        <w:spacing w:before="23" w:line="220" w:lineRule="auto"/>
        <w:ind w:left="5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b)    </w:t>
      </w:r>
      <w:r>
        <w:rPr>
          <w:rFonts w:ascii="SimSun" w:eastAsia="SimSun" w:hAnsi="SimSun" w:cs="SimSun"/>
          <w:sz w:val="21"/>
          <w:szCs w:val="21"/>
        </w:rPr>
        <w:t>确保体系文件满足企业内部格式与内容要求；</w:t>
      </w:r>
    </w:p>
    <w:p>
      <w:pPr>
        <w:spacing w:before="21" w:line="220" w:lineRule="auto"/>
        <w:ind w:left="5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c)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1"/>
          <w:sz w:val="21"/>
          <w:szCs w:val="21"/>
        </w:rPr>
        <w:t>文件发布前企业内部审核与批准；</w:t>
      </w:r>
    </w:p>
    <w:p>
      <w:pPr>
        <w:spacing w:before="23" w:line="220" w:lineRule="auto"/>
        <w:ind w:left="5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d)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3"/>
          <w:sz w:val="21"/>
          <w:szCs w:val="21"/>
        </w:rPr>
        <w:t>定期对文件进行适宜性评审与更新；</w:t>
      </w:r>
    </w:p>
    <w:p>
      <w:pPr>
        <w:spacing w:before="22"/>
        <w:ind w:left="5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e)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2"/>
          <w:sz w:val="21"/>
          <w:szCs w:val="21"/>
        </w:rPr>
        <w:t>确保文件的更改和现行修订内容得到识别；</w:t>
      </w:r>
    </w:p>
    <w:p>
      <w:pPr>
        <w:spacing w:before="1" w:line="219" w:lineRule="auto"/>
        <w:ind w:left="5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f)     </w:t>
      </w:r>
      <w:r>
        <w:rPr>
          <w:rFonts w:ascii="SimSun" w:eastAsia="SimSun" w:hAnsi="SimSun" w:cs="SimSun"/>
          <w:spacing w:val="-1"/>
          <w:sz w:val="21"/>
          <w:szCs w:val="21"/>
        </w:rPr>
        <w:t>确保在使用处可获得适用文件的有效版本；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39"/>
          <w:footerReference w:type="default" r:id="rId40"/>
          <w:type w:val="nextPage"/>
          <w:pgSz w:w="11907" w:h="16841"/>
          <w:pgMar w:top="1348" w:right="1411" w:bottom="1374" w:left="1328" w:header="1133" w:footer="1213" w:gutter="0"/>
          <w:pgNumType w:start="18"/>
          <w:cols w:space="708"/>
          <w:titlePg w:val="0"/>
        </w:sectPr>
      </w:pPr>
    </w:p>
    <w:p>
      <w:pPr>
        <w:spacing w:before="58" w:line="231" w:lineRule="auto"/>
        <w:ind w:left="3" w:right="38" w:firstLine="42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g)     </w:t>
      </w:r>
      <w:r>
        <w:rPr>
          <w:rFonts w:ascii="SimSun" w:eastAsia="SimSun" w:hAnsi="SimSun" w:cs="SimSun"/>
          <w:spacing w:val="-2"/>
          <w:sz w:val="21"/>
          <w:szCs w:val="21"/>
        </w:rPr>
        <w:t>防止作废文件的非预期使用，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若出于某种目的而</w:t>
      </w:r>
      <w:r>
        <w:rPr>
          <w:rFonts w:ascii="SimSun" w:eastAsia="SimSun" w:hAnsi="SimSun" w:cs="SimSun"/>
          <w:spacing w:val="-3"/>
          <w:sz w:val="21"/>
          <w:szCs w:val="21"/>
        </w:rPr>
        <w:t>保留作废文件，则对这些文件进行适当的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标识；</w:t>
      </w:r>
    </w:p>
    <w:p>
      <w:pPr>
        <w:spacing w:before="18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h)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1"/>
          <w:sz w:val="21"/>
          <w:szCs w:val="21"/>
        </w:rPr>
        <w:t>确保适用文件易于检索、访问与使用；</w:t>
      </w:r>
    </w:p>
    <w:p>
      <w:pPr>
        <w:spacing w:before="24" w:line="229" w:lineRule="auto"/>
        <w:ind w:left="4" w:right="37" w:firstLine="42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i)     </w:t>
      </w:r>
      <w:r>
        <w:rPr>
          <w:rFonts w:ascii="SimSun" w:eastAsia="SimSun" w:hAnsi="SimSun" w:cs="SimSun"/>
          <w:spacing w:val="-2"/>
          <w:sz w:val="21"/>
          <w:szCs w:val="21"/>
        </w:rPr>
        <w:t>规定记录的标识、贮存、保护、检索、保留和处置要求， 确保记录清晰、易于识别、检索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和可追溯。</w:t>
      </w:r>
    </w:p>
    <w:p>
      <w:pPr>
        <w:pStyle w:val="BodyText"/>
        <w:spacing w:before="23" w:line="223" w:lineRule="auto"/>
        <w:ind w:left="4"/>
      </w:pPr>
      <w:r>
        <w:rPr>
          <w:spacing w:val="-1"/>
        </w:rPr>
        <w:t>7.6.3</w:t>
      </w:r>
      <w:r>
        <w:rPr>
          <w:spacing w:val="-1"/>
        </w:rPr>
        <w:t xml:space="preserve"> </w:t>
      </w:r>
      <w:r>
        <w:rPr>
          <w:spacing w:val="-1"/>
        </w:rPr>
        <w:t>数据管理</w:t>
      </w:r>
    </w:p>
    <w:p>
      <w:pPr>
        <w:spacing w:before="18" w:line="233" w:lineRule="auto"/>
        <w:ind w:left="5" w:right="12" w:firstLine="421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企业应明确设备数据收集、分析与评价的内容与时机，逐步建立基础数据库， 实现数据统一管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理，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并定期审核设备数据信息质量。企业应通过技术分析报告、工作月报、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KPI</w:t>
      </w:r>
      <w:r>
        <w:rPr>
          <w:rFonts w:ascii="SimSun" w:eastAsia="SimSun" w:hAnsi="SimSun" w:cs="SimSun"/>
          <w:spacing w:val="-4"/>
          <w:sz w:val="21"/>
          <w:szCs w:val="21"/>
        </w:rPr>
        <w:t>分析报告等方式，主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动开展设备数据统计分析工作。</w:t>
      </w:r>
    </w:p>
    <w:p>
      <w:pPr>
        <w:pStyle w:val="BodyText"/>
        <w:spacing w:before="140" w:line="224" w:lineRule="auto"/>
        <w:ind w:left="5"/>
      </w:pPr>
      <w:r>
        <w:rPr>
          <w:spacing w:val="-1"/>
        </w:rPr>
        <w:t>7.7</w:t>
      </w:r>
      <w:r>
        <w:rPr>
          <w:spacing w:val="-1"/>
        </w:rPr>
        <w:t xml:space="preserve"> </w:t>
      </w:r>
      <w:r>
        <w:rPr>
          <w:spacing w:val="-1"/>
        </w:rPr>
        <w:t>信息化管理</w:t>
      </w:r>
    </w:p>
    <w:p>
      <w:pPr>
        <w:spacing w:before="138" w:line="221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企业应建立配套的设备完整性管理信息平台， 实现：</w:t>
      </w:r>
    </w:p>
    <w:p>
      <w:pPr>
        <w:spacing w:before="21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）提高管理效率， 实现业务流程数字化、自动化和标准化；</w:t>
      </w:r>
    </w:p>
    <w:p>
      <w:pPr>
        <w:spacing w:before="1" w:line="220" w:lineRule="auto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）优化资源配置，快速了解各部门、各单位的</w:t>
      </w:r>
      <w:r>
        <w:rPr>
          <w:rFonts w:ascii="SimSun" w:eastAsia="SimSun" w:hAnsi="SimSun" w:cs="SimSun"/>
          <w:spacing w:val="-2"/>
          <w:sz w:val="21"/>
          <w:szCs w:val="21"/>
        </w:rPr>
        <w:t>资源情况；</w:t>
      </w:r>
    </w:p>
    <w:p>
      <w:pPr>
        <w:spacing w:before="20" w:line="221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）提升决策水平， 快速获得设备各类信息和数据；</w:t>
      </w:r>
    </w:p>
    <w:p>
      <w:pPr>
        <w:spacing w:before="22" w:line="516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position w:val="23"/>
          <w:sz w:val="21"/>
          <w:szCs w:val="21"/>
        </w:rPr>
        <w:t>d</w:t>
      </w:r>
      <w:r>
        <w:rPr>
          <w:rFonts w:ascii="SimSun" w:eastAsia="SimSun" w:hAnsi="SimSun" w:cs="SimSun"/>
          <w:spacing w:val="-3"/>
          <w:position w:val="23"/>
          <w:sz w:val="21"/>
          <w:szCs w:val="21"/>
        </w:rPr>
        <w:t>）提高服务质量，</w:t>
      </w:r>
      <w:r>
        <w:rPr>
          <w:rFonts w:ascii="SimSun" w:eastAsia="SimSun" w:hAnsi="SimSun" w:cs="SimSun"/>
          <w:spacing w:val="-20"/>
          <w:position w:val="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position w:val="23"/>
          <w:sz w:val="21"/>
          <w:szCs w:val="21"/>
        </w:rPr>
        <w:t>建立各级用户应用权限，快速响应用户需</w:t>
      </w:r>
      <w:r>
        <w:rPr>
          <w:rFonts w:ascii="SimSun" w:eastAsia="SimSun" w:hAnsi="SimSun" w:cs="SimSun"/>
          <w:spacing w:val="-4"/>
          <w:position w:val="23"/>
          <w:sz w:val="21"/>
          <w:szCs w:val="21"/>
        </w:rPr>
        <w:t>求。</w:t>
      </w:r>
    </w:p>
    <w:p>
      <w:pPr>
        <w:pStyle w:val="BodyText"/>
        <w:spacing w:before="1" w:line="221" w:lineRule="auto"/>
        <w:rPr>
          <w:sz w:val="24"/>
          <w:szCs w:val="24"/>
        </w:rPr>
      </w:pPr>
      <w:r>
        <w:rPr>
          <w:spacing w:val="-5"/>
          <w:sz w:val="24"/>
          <w:szCs w:val="24"/>
        </w:rPr>
        <w:t>8</w:t>
      </w:r>
      <w:r>
        <w:rPr>
          <w:spacing w:val="6"/>
          <w:sz w:val="24"/>
          <w:szCs w:val="24"/>
        </w:rPr>
        <w:t xml:space="preserve">  </w:t>
      </w:r>
      <w:r>
        <w:rPr>
          <w:spacing w:val="-5"/>
          <w:sz w:val="24"/>
          <w:szCs w:val="24"/>
        </w:rPr>
        <w:t>运行</w:t>
      </w:r>
    </w:p>
    <w:p>
      <w:pPr>
        <w:pStyle w:val="BodyText"/>
        <w:spacing w:before="260" w:line="222" w:lineRule="auto"/>
      </w:pPr>
      <w:r>
        <w:rPr>
          <w:spacing w:val="-1"/>
        </w:rPr>
        <w:t>8.1</w:t>
      </w:r>
      <w:r>
        <w:rPr>
          <w:spacing w:val="-1"/>
        </w:rPr>
        <w:t xml:space="preserve"> </w:t>
      </w:r>
      <w:r>
        <w:rPr>
          <w:spacing w:val="-1"/>
        </w:rPr>
        <w:t>设备选择与分类分级管理</w:t>
      </w:r>
    </w:p>
    <w:p>
      <w:pPr>
        <w:pStyle w:val="BodyText"/>
        <w:spacing w:before="138" w:line="223" w:lineRule="auto"/>
      </w:pPr>
      <w:r>
        <w:rPr>
          <w:spacing w:val="-2"/>
        </w:rPr>
        <w:t>8.1.1</w:t>
      </w:r>
      <w:r>
        <w:rPr>
          <w:spacing w:val="16"/>
        </w:rPr>
        <w:t xml:space="preserve"> </w:t>
      </w:r>
      <w:r>
        <w:rPr>
          <w:spacing w:val="-2"/>
        </w:rPr>
        <w:t>总则</w:t>
      </w:r>
    </w:p>
    <w:p>
      <w:pPr>
        <w:spacing w:before="21" w:line="229" w:lineRule="auto"/>
        <w:ind w:left="6" w:right="1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企业应建立设备分类分级管理程序，制定科学</w:t>
      </w:r>
      <w:r>
        <w:rPr>
          <w:rFonts w:ascii="SimSun" w:eastAsia="SimSun" w:hAnsi="SimSun" w:cs="SimSun"/>
          <w:sz w:val="21"/>
          <w:szCs w:val="21"/>
        </w:rPr>
        <w:t xml:space="preserve">的设备选择、分类及分级标准，实施设备分类分 </w:t>
      </w:r>
      <w:r>
        <w:rPr>
          <w:rFonts w:ascii="SimSun" w:eastAsia="SimSun" w:hAnsi="SimSun" w:cs="SimSun"/>
          <w:spacing w:val="-1"/>
          <w:sz w:val="21"/>
          <w:szCs w:val="21"/>
        </w:rPr>
        <w:t>级管理，依据设备等级合理配置管理资源。</w:t>
      </w:r>
    </w:p>
    <w:p>
      <w:pPr>
        <w:pStyle w:val="BodyText"/>
        <w:spacing w:before="23" w:line="223" w:lineRule="auto"/>
      </w:pPr>
      <w:r>
        <w:rPr>
          <w:spacing w:val="-1"/>
        </w:rPr>
        <w:t>8.1.2</w:t>
      </w:r>
      <w:r>
        <w:rPr>
          <w:spacing w:val="-1"/>
        </w:rPr>
        <w:t xml:space="preserve"> </w:t>
      </w:r>
      <w:r>
        <w:rPr>
          <w:spacing w:val="-1"/>
        </w:rPr>
        <w:t>设备选择</w:t>
      </w:r>
    </w:p>
    <w:p>
      <w:pPr>
        <w:spacing w:before="18" w:line="233" w:lineRule="auto"/>
        <w:ind w:left="2" w:firstLine="3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企业应依据设备完整性管理目标的要求，结合设备发生故障后的危害程</w:t>
      </w:r>
      <w:r>
        <w:rPr>
          <w:rFonts w:ascii="SimSun" w:eastAsia="SimSun" w:hAnsi="SimSun" w:cs="SimSun"/>
          <w:sz w:val="21"/>
          <w:szCs w:val="21"/>
        </w:rPr>
        <w:t xml:space="preserve">度，综合考虑合规性、安全 </w:t>
      </w:r>
      <w:r>
        <w:rPr>
          <w:rFonts w:ascii="SimSun" w:eastAsia="SimSun" w:hAnsi="SimSun" w:cs="SimSun"/>
          <w:spacing w:val="-1"/>
          <w:sz w:val="21"/>
          <w:szCs w:val="21"/>
        </w:rPr>
        <w:t>环保性、技术先进性、易维修性、经济性和可靠</w:t>
      </w:r>
      <w:r>
        <w:rPr>
          <w:rFonts w:ascii="SimSun" w:eastAsia="SimSun" w:hAnsi="SimSun" w:cs="SimSun"/>
          <w:color w:val="C0C0C0"/>
          <w:spacing w:val="-1"/>
          <w:position w:val="8"/>
          <w:sz w:val="2"/>
          <w:szCs w:val="2"/>
        </w:rPr>
        <w:t>内</w:t>
      </w:r>
      <w:r>
        <w:rPr>
          <w:rFonts w:ascii="SimSun" w:eastAsia="SimSun" w:hAnsi="SimSun" w:cs="SimSun"/>
          <w:color w:val="C0C0C0"/>
          <w:spacing w:val="-2"/>
          <w:position w:val="8"/>
          <w:sz w:val="2"/>
          <w:szCs w:val="2"/>
        </w:rPr>
        <w:t>部</w:t>
      </w:r>
      <w:r>
        <w:rPr>
          <w:rFonts w:ascii="SimSun" w:eastAsia="SimSun" w:hAnsi="SimSun" w:cs="SimSun"/>
          <w:spacing w:val="-2"/>
          <w:sz w:val="21"/>
          <w:szCs w:val="21"/>
        </w:rPr>
        <w:t>性</w:t>
      </w:r>
      <w:r>
        <w:rPr>
          <w:rFonts w:ascii="SimSun" w:eastAsia="SimSun" w:hAnsi="SimSun" w:cs="SimSun"/>
          <w:color w:val="C0C0C0"/>
          <w:spacing w:val="-3"/>
          <w:w w:val="1"/>
          <w:sz w:val="21"/>
          <w:szCs w:val="21"/>
        </w:rPr>
        <w:t>资料尚未公开注意保</w:t>
      </w:r>
      <w:r>
        <w:rPr>
          <w:rFonts w:ascii="SimSun" w:eastAsia="SimSun" w:hAnsi="SimSun" w:cs="SimSun"/>
          <w:color w:val="C0C0C0"/>
          <w:position w:val="8"/>
          <w:sz w:val="2"/>
          <w:szCs w:val="2"/>
        </w:rPr>
        <w:t>密</w:t>
      </w:r>
      <w:r>
        <w:rPr>
          <w:rFonts w:ascii="SimSun" w:eastAsia="SimSun" w:hAnsi="SimSun" w:cs="SimSun"/>
          <w:sz w:val="21"/>
          <w:szCs w:val="21"/>
        </w:rPr>
        <w:t>等因素，制定设备选择标准，确定纳入设备完整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性管理的设备范围， 并定期对设备选择标准进行修订。</w:t>
      </w:r>
    </w:p>
    <w:p>
      <w:pPr>
        <w:pStyle w:val="BodyText"/>
        <w:spacing w:before="22" w:line="222" w:lineRule="auto"/>
      </w:pPr>
      <w:r>
        <w:rPr>
          <w:spacing w:val="-1"/>
        </w:rPr>
        <w:t>8.1.3</w:t>
      </w:r>
      <w:r>
        <w:rPr>
          <w:spacing w:val="-1"/>
        </w:rPr>
        <w:t xml:space="preserve"> </w:t>
      </w:r>
      <w:r>
        <w:rPr>
          <w:spacing w:val="-1"/>
        </w:rPr>
        <w:t>设备分类</w:t>
      </w:r>
    </w:p>
    <w:p>
      <w:pPr>
        <w:spacing w:before="20" w:line="230" w:lineRule="auto"/>
        <w:ind w:left="3" w:right="38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企业应依据设备完整性管理目标的要求， 结合设备结构特征、技术特性、功能属性等因素，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综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合考虑设备的标准化、系列化、通用化，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制定设备分类标准， 并进行设备分类。</w:t>
      </w:r>
    </w:p>
    <w:p>
      <w:pPr>
        <w:pStyle w:val="BodyText"/>
        <w:spacing w:before="21" w:line="222" w:lineRule="auto"/>
      </w:pPr>
      <w:r>
        <w:rPr>
          <w:spacing w:val="-1"/>
        </w:rPr>
        <w:t>8.1.4</w:t>
      </w:r>
      <w:r>
        <w:rPr>
          <w:spacing w:val="-1"/>
        </w:rPr>
        <w:t xml:space="preserve"> </w:t>
      </w:r>
      <w:r>
        <w:rPr>
          <w:spacing w:val="-1"/>
        </w:rPr>
        <w:t>设备分级</w:t>
      </w:r>
    </w:p>
    <w:p>
      <w:pPr>
        <w:spacing w:before="21" w:line="235" w:lineRule="auto"/>
        <w:ind w:left="2" w:right="38" w:firstLine="423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企业应依据设备的生产重要性、维修复杂性、故障危害性、设计成熟度</w:t>
      </w:r>
      <w:r>
        <w:rPr>
          <w:rFonts w:ascii="SimSun" w:eastAsia="SimSun" w:hAnsi="SimSun" w:cs="SimSun"/>
          <w:spacing w:val="-3"/>
          <w:sz w:val="21"/>
          <w:szCs w:val="21"/>
        </w:rPr>
        <w:t>、维修费用等，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综合考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虑设备分类，制定设备量化分级标准。一般将设备分为关键设备、主要设备、一般设备，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进行分级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管理并合理配置资源。根据设备检修、更新改造和装置改扩建等情况，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及时对设备分级结果进行动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态调整。</w:t>
      </w:r>
    </w:p>
    <w:p>
      <w:pPr>
        <w:pStyle w:val="BodyText"/>
        <w:spacing w:before="140" w:line="223" w:lineRule="auto"/>
      </w:pPr>
      <w:r>
        <w:rPr>
          <w:spacing w:val="-1"/>
        </w:rPr>
        <w:t>8.2</w:t>
      </w:r>
      <w:r>
        <w:rPr>
          <w:spacing w:val="-1"/>
        </w:rPr>
        <w:t xml:space="preserve"> </w:t>
      </w:r>
      <w:r>
        <w:rPr>
          <w:spacing w:val="-1"/>
        </w:rPr>
        <w:t>设备风险管理</w:t>
      </w:r>
    </w:p>
    <w:p>
      <w:pPr>
        <w:pStyle w:val="BodyText"/>
        <w:spacing w:before="137" w:line="223" w:lineRule="auto"/>
      </w:pPr>
      <w:r>
        <w:rPr>
          <w:spacing w:val="-2"/>
        </w:rPr>
        <w:t>8.2.1</w:t>
      </w:r>
      <w:r>
        <w:rPr>
          <w:spacing w:val="16"/>
        </w:rPr>
        <w:t xml:space="preserve"> </w:t>
      </w:r>
      <w:r>
        <w:rPr>
          <w:spacing w:val="-2"/>
        </w:rPr>
        <w:t>总则</w:t>
      </w:r>
    </w:p>
    <w:p>
      <w:pPr>
        <w:spacing w:before="21" w:line="229" w:lineRule="auto"/>
        <w:ind w:left="2" w:right="2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企业应建立设备风险管理程序，在设备全生命周期的各阶段识别风</w:t>
      </w:r>
      <w:r>
        <w:rPr>
          <w:rFonts w:ascii="SimSun" w:eastAsia="SimSun" w:hAnsi="SimSun" w:cs="SimSun"/>
          <w:sz w:val="21"/>
          <w:szCs w:val="21"/>
        </w:rPr>
        <w:t xml:space="preserve">险并评价其影响因素、后果 </w:t>
      </w:r>
      <w:r>
        <w:rPr>
          <w:rFonts w:ascii="SimSun" w:eastAsia="SimSun" w:hAnsi="SimSun" w:cs="SimSun"/>
          <w:spacing w:val="-2"/>
          <w:sz w:val="21"/>
          <w:szCs w:val="21"/>
        </w:rPr>
        <w:t>及可能性，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对风险进行分类分级，并对已识别的设备风险及时管控，确保其在可接受的水平。</w:t>
      </w:r>
    </w:p>
    <w:p>
      <w:pPr>
        <w:pStyle w:val="BodyText"/>
        <w:spacing w:before="23" w:line="223" w:lineRule="auto"/>
        <w:sectPr>
          <w:headerReference w:type="default" r:id="rId41"/>
          <w:footerReference w:type="default" r:id="rId42"/>
          <w:pgSz w:w="11907" w:h="16841"/>
          <w:pgMar w:top="1348" w:right="1413" w:bottom="1256" w:left="1424" w:header="1133" w:footer="1098" w:gutter="0"/>
          <w:pgNumType w:start="19"/>
          <w:cols w:space="708"/>
        </w:sectPr>
      </w:pPr>
      <w:r>
        <w:rPr>
          <w:spacing w:val="-1"/>
        </w:rPr>
        <w:t>8.2.2</w:t>
      </w:r>
      <w:r>
        <w:rPr>
          <w:spacing w:val="-1"/>
        </w:rPr>
        <w:t xml:space="preserve"> </w:t>
      </w:r>
      <w:r>
        <w:rPr>
          <w:spacing w:val="-1"/>
        </w:rPr>
        <w:t>风险识别</w:t>
      </w:r>
    </w:p>
    <w:p>
      <w:pPr>
        <w:spacing w:before="17" w:line="230" w:lineRule="auto"/>
        <w:ind w:left="14" w:right="2" w:firstLine="4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企业应在设备全生命周期各个阶段开展设备风险识别，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确定</w:t>
      </w:r>
      <w:r>
        <w:rPr>
          <w:rFonts w:ascii="SimSun" w:eastAsia="SimSun" w:hAnsi="SimSun" w:cs="SimSun"/>
          <w:spacing w:val="-2"/>
          <w:sz w:val="21"/>
          <w:szCs w:val="21"/>
        </w:rPr>
        <w:t>影响实现设备完整性管理目标的风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险，</w:t>
      </w:r>
      <w:r>
        <w:rPr>
          <w:rFonts w:ascii="SimSun" w:eastAsia="SimSun" w:hAnsi="SimSun" w:cs="SimSu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包括但不限于：</w:t>
      </w:r>
    </w:p>
    <w:p>
      <w:pPr>
        <w:spacing w:before="22" w:line="238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a)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设备设计、制造、安装阶段的缺陷；</w:t>
      </w:r>
    </w:p>
    <w:p>
      <w:pPr>
        <w:spacing w:before="1" w:line="213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b)  </w:t>
      </w:r>
      <w:r>
        <w:rPr>
          <w:rFonts w:ascii="SimSun" w:eastAsia="SimSun" w:hAnsi="SimSun" w:cs="SimSun"/>
          <w:spacing w:val="-2"/>
          <w:sz w:val="21"/>
          <w:szCs w:val="21"/>
        </w:rPr>
        <w:t>维护检修质量缺陷；</w:t>
      </w:r>
    </w:p>
    <w:p>
      <w:pPr>
        <w:spacing w:before="31" w:line="238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c)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设备本体的失效和功能丧失；</w:t>
      </w:r>
    </w:p>
    <w:p>
      <w:pPr>
        <w:spacing w:line="213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d)  </w:t>
      </w:r>
      <w:r>
        <w:rPr>
          <w:rFonts w:ascii="SimSun" w:eastAsia="SimSun" w:hAnsi="SimSun" w:cs="SimSun"/>
          <w:spacing w:val="-1"/>
          <w:sz w:val="21"/>
          <w:szCs w:val="21"/>
        </w:rPr>
        <w:t>设备损伤和材料劣化；</w:t>
      </w:r>
    </w:p>
    <w:p>
      <w:pPr>
        <w:spacing w:before="32" w:line="213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e)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运行操作异常；</w:t>
      </w:r>
    </w:p>
    <w:p>
      <w:pPr>
        <w:spacing w:before="28" w:line="213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f)  </w:t>
      </w:r>
      <w:r>
        <w:rPr>
          <w:rFonts w:ascii="SimSun" w:eastAsia="SimSun" w:hAnsi="SimSun" w:cs="SimSun"/>
          <w:spacing w:val="-3"/>
          <w:sz w:val="21"/>
          <w:szCs w:val="21"/>
        </w:rPr>
        <w:t>设备运行环境的变化；</w:t>
      </w:r>
    </w:p>
    <w:p>
      <w:pPr>
        <w:spacing w:before="32" w:line="238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g)  </w:t>
      </w:r>
      <w:r>
        <w:rPr>
          <w:rFonts w:ascii="SimSun" w:eastAsia="SimSun" w:hAnsi="SimSun" w:cs="SimSun"/>
          <w:sz w:val="21"/>
          <w:szCs w:val="21"/>
        </w:rPr>
        <w:t>新技术、新工艺、新设备、新材料的应用；</w:t>
      </w:r>
    </w:p>
    <w:p>
      <w:pPr>
        <w:spacing w:line="213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h)  </w:t>
      </w:r>
      <w:r>
        <w:rPr>
          <w:rFonts w:ascii="SimSun" w:eastAsia="SimSun" w:hAnsi="SimSun" w:cs="SimSun"/>
          <w:sz w:val="21"/>
          <w:szCs w:val="21"/>
        </w:rPr>
        <w:t>企业外部因素造成的影响；</w:t>
      </w:r>
    </w:p>
    <w:p>
      <w:pPr>
        <w:spacing w:line="213" w:lineRule="auto"/>
        <w:rPr>
          <w:rFonts w:ascii="SimSun" w:eastAsia="SimSun" w:hAnsi="SimSun" w:cs="SimSun"/>
          <w:sz w:val="21"/>
          <w:szCs w:val="21"/>
        </w:rPr>
        <w:sectPr>
          <w:headerReference w:type="default" r:id="rId43"/>
          <w:footerReference w:type="default" r:id="rId44"/>
          <w:type w:val="nextPage"/>
          <w:pgSz w:w="11907" w:h="16841"/>
          <w:pgMar w:top="1348" w:right="1413" w:bottom="1256" w:left="1424" w:header="1133" w:footer="1098" w:gutter="0"/>
          <w:pgNumType w:start="20"/>
          <w:cols w:space="708"/>
          <w:titlePg w:val="0"/>
        </w:sectPr>
      </w:pPr>
    </w:p>
    <w:p>
      <w:pPr>
        <w:spacing w:before="59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i)  </w:t>
      </w:r>
      <w:r>
        <w:rPr>
          <w:rFonts w:ascii="SimSun" w:eastAsia="SimSun" w:hAnsi="SimSun" w:cs="SimSun"/>
          <w:spacing w:val="-1"/>
          <w:sz w:val="21"/>
          <w:szCs w:val="21"/>
        </w:rPr>
        <w:t>暴雨、暴风、雷电、地震等自然环境事件；</w:t>
      </w:r>
    </w:p>
    <w:p>
      <w:pPr>
        <w:spacing w:line="213" w:lineRule="auto"/>
        <w:ind w:left="40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j)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管理缺陷。</w:t>
      </w:r>
    </w:p>
    <w:p>
      <w:pPr>
        <w:pStyle w:val="BodyText"/>
        <w:spacing w:before="28" w:line="223" w:lineRule="auto"/>
      </w:pPr>
      <w:r>
        <w:rPr>
          <w:spacing w:val="-1"/>
        </w:rPr>
        <w:t>8.2.3</w:t>
      </w:r>
      <w:r>
        <w:rPr>
          <w:spacing w:val="-1"/>
        </w:rPr>
        <w:t xml:space="preserve"> </w:t>
      </w:r>
      <w:r>
        <w:rPr>
          <w:spacing w:val="-1"/>
        </w:rPr>
        <w:t>风险评价</w:t>
      </w:r>
    </w:p>
    <w:p>
      <w:pPr>
        <w:spacing w:before="19" w:line="233" w:lineRule="auto"/>
        <w:ind w:left="4" w:right="79" w:firstLine="421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企业应确定设备不同生命周期阶段风险评价的范围与重点， 建立风险评价准则，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应用合适的风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险评价技术工具客观科学地评价风险，</w:t>
      </w:r>
      <w:r>
        <w:rPr>
          <w:rFonts w:ascii="SimSun" w:eastAsia="SimSun" w:hAnsi="SimSun" w:cs="SimSun"/>
          <w:spacing w:val="5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对识别出的风险进行定性</w:t>
      </w:r>
      <w:r>
        <w:rPr>
          <w:rFonts w:ascii="SimSun" w:eastAsia="SimSun" w:hAnsi="SimSun" w:cs="SimSun"/>
          <w:spacing w:val="-4"/>
          <w:sz w:val="21"/>
          <w:szCs w:val="21"/>
        </w:rPr>
        <w:t>与定量评价，评估潜在事件发生的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可能性和后果， 并考虑现有风险控制措施的有效性及控制措施失效的可能性和后果。</w:t>
      </w:r>
    </w:p>
    <w:p>
      <w:pPr>
        <w:pStyle w:val="BodyText"/>
        <w:spacing w:before="20" w:line="223" w:lineRule="auto"/>
      </w:pPr>
      <w:r>
        <w:rPr>
          <w:spacing w:val="-1"/>
        </w:rPr>
        <w:t>8.2.4</w:t>
      </w:r>
      <w:r>
        <w:rPr>
          <w:spacing w:val="-1"/>
        </w:rPr>
        <w:t xml:space="preserve"> </w:t>
      </w:r>
      <w:r>
        <w:rPr>
          <w:spacing w:val="-1"/>
        </w:rPr>
        <w:t>风险控制</w:t>
      </w:r>
    </w:p>
    <w:p>
      <w:pPr>
        <w:spacing w:before="22" w:line="229" w:lineRule="auto"/>
        <w:ind w:left="1" w:right="79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企业应根据风险评价结果，明确风险控制目标、控制措施与控制计</w:t>
      </w:r>
      <w:r>
        <w:rPr>
          <w:rFonts w:ascii="SimSun" w:eastAsia="SimSun" w:hAnsi="SimSun" w:cs="SimSun"/>
          <w:sz w:val="21"/>
          <w:szCs w:val="21"/>
        </w:rPr>
        <w:t xml:space="preserve">划并组织实施，将风险控制 </w:t>
      </w:r>
      <w:r>
        <w:rPr>
          <w:rFonts w:ascii="SimSun" w:eastAsia="SimSun" w:hAnsi="SimSun" w:cs="SimSun"/>
          <w:spacing w:val="-2"/>
          <w:sz w:val="21"/>
          <w:szCs w:val="21"/>
        </w:rPr>
        <w:t>在可接受水平。风险控制措施包括但不限于：</w:t>
      </w:r>
    </w:p>
    <w:p>
      <w:pPr>
        <w:spacing w:before="20" w:line="213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a)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设备本质安全措施；</w:t>
      </w:r>
    </w:p>
    <w:p>
      <w:pPr>
        <w:spacing w:before="31" w:line="213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b)  </w:t>
      </w:r>
      <w:r>
        <w:rPr>
          <w:rFonts w:ascii="SimSun" w:eastAsia="SimSun" w:hAnsi="SimSun" w:cs="SimSun"/>
          <w:sz w:val="21"/>
          <w:szCs w:val="21"/>
        </w:rPr>
        <w:t>改进和优化工艺操作；</w:t>
      </w:r>
    </w:p>
    <w:p>
      <w:pPr>
        <w:spacing w:before="30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c)  </w:t>
      </w:r>
      <w:r>
        <w:rPr>
          <w:rFonts w:ascii="SimSun" w:eastAsia="SimSun" w:hAnsi="SimSun" w:cs="SimSun"/>
          <w:sz w:val="21"/>
          <w:szCs w:val="21"/>
        </w:rPr>
        <w:t>完善视频监控、报警、联锁、泄压装置等安全设施；</w:t>
      </w:r>
    </w:p>
    <w:p>
      <w:pPr>
        <w:spacing w:line="213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d)  </w:t>
      </w:r>
      <w:r>
        <w:rPr>
          <w:rFonts w:ascii="SimSun" w:eastAsia="SimSun" w:hAnsi="SimSun" w:cs="SimSun"/>
          <w:sz w:val="21"/>
          <w:szCs w:val="21"/>
        </w:rPr>
        <w:t>应用设备在线状态监测、离线监检测技术；</w:t>
      </w:r>
    </w:p>
    <w:p>
      <w:pPr>
        <w:spacing w:before="29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e)  </w:t>
      </w:r>
      <w:r>
        <w:rPr>
          <w:rFonts w:ascii="SimSun" w:eastAsia="SimSun" w:hAnsi="SimSun" w:cs="SimSun"/>
          <w:sz w:val="21"/>
          <w:szCs w:val="21"/>
        </w:rPr>
        <w:t>调整设备监检测方法、周期及有效性等级；</w:t>
      </w:r>
    </w:p>
    <w:p>
      <w:pPr>
        <w:spacing w:line="213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f)   </w:t>
      </w:r>
      <w:r>
        <w:rPr>
          <w:rFonts w:ascii="SimSun" w:eastAsia="SimSun" w:hAnsi="SimSun" w:cs="SimSun"/>
          <w:spacing w:val="-3"/>
          <w:sz w:val="21"/>
          <w:szCs w:val="21"/>
        </w:rPr>
        <w:t>降低人为失误的可能性；</w:t>
      </w:r>
    </w:p>
    <w:p>
      <w:pPr>
        <w:spacing w:before="29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g)  </w:t>
      </w:r>
      <w:r>
        <w:rPr>
          <w:rFonts w:ascii="SimSun" w:eastAsia="SimSun" w:hAnsi="SimSun" w:cs="SimSun"/>
          <w:spacing w:val="-2"/>
          <w:sz w:val="21"/>
          <w:szCs w:val="21"/>
        </w:rPr>
        <w:t>技术培训、教育、考核等管理措施；</w:t>
      </w:r>
    </w:p>
    <w:p>
      <w:pPr>
        <w:spacing w:before="1" w:line="213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h)  </w:t>
      </w:r>
      <w:r>
        <w:rPr>
          <w:rFonts w:ascii="SimSun" w:eastAsia="SimSun" w:hAnsi="SimSun" w:cs="SimSun"/>
          <w:sz w:val="21"/>
          <w:szCs w:val="21"/>
        </w:rPr>
        <w:t>系统性优化和技术更新等。</w:t>
      </w:r>
    </w:p>
    <w:p>
      <w:pPr>
        <w:pStyle w:val="BodyText"/>
        <w:spacing w:before="28" w:line="223" w:lineRule="auto"/>
      </w:pPr>
      <w:r>
        <w:rPr>
          <w:spacing w:val="-1"/>
        </w:rPr>
        <w:t>8.2.5</w:t>
      </w:r>
      <w:r>
        <w:rPr>
          <w:spacing w:val="-1"/>
        </w:rPr>
        <w:t xml:space="preserve"> </w:t>
      </w:r>
      <w:r>
        <w:rPr>
          <w:spacing w:val="-1"/>
        </w:rPr>
        <w:t>风险监测</w:t>
      </w:r>
    </w:p>
    <w:p>
      <w:pPr>
        <w:spacing w:before="21" w:line="229" w:lineRule="auto"/>
        <w:ind w:left="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企业应对风险识别、风险评价、风险控制的有效性进行</w:t>
      </w:r>
      <w:r>
        <w:rPr>
          <w:rFonts w:ascii="SimSun" w:eastAsia="SimSun" w:hAnsi="SimSun" w:cs="SimSun"/>
          <w:spacing w:val="-3"/>
          <w:sz w:val="21"/>
          <w:szCs w:val="21"/>
        </w:rPr>
        <w:t>监视与测量。风险监测应采取分层管理、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分级防控、动态管理的原则，对风险控制过程进行跟踪并逐级落实。风险监测</w:t>
      </w:r>
      <w:r>
        <w:rPr>
          <w:rFonts w:ascii="SimSun" w:eastAsia="SimSun" w:hAnsi="SimSun" w:cs="SimSun"/>
          <w:spacing w:val="-1"/>
          <w:sz w:val="21"/>
          <w:szCs w:val="21"/>
        </w:rPr>
        <w:t>内容包括：</w:t>
      </w:r>
    </w:p>
    <w:p>
      <w:pPr>
        <w:spacing w:before="23" w:line="238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a)  </w:t>
      </w:r>
      <w:r>
        <w:rPr>
          <w:rFonts w:ascii="SimSun" w:eastAsia="SimSun" w:hAnsi="SimSun" w:cs="SimSun"/>
          <w:sz w:val="21"/>
          <w:szCs w:val="21"/>
        </w:rPr>
        <w:t>风险管理工作是否达到预期目标；</w:t>
      </w:r>
    </w:p>
    <w:p>
      <w:pPr>
        <w:spacing w:line="213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b)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剩余风险；</w:t>
      </w:r>
    </w:p>
    <w:p>
      <w:pPr>
        <w:spacing w:before="32" w:line="238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c)  </w:t>
      </w:r>
      <w:r>
        <w:rPr>
          <w:rFonts w:ascii="SimSun" w:eastAsia="SimSun" w:hAnsi="SimSun" w:cs="SimSun"/>
          <w:spacing w:val="-1"/>
          <w:sz w:val="21"/>
          <w:szCs w:val="21"/>
        </w:rPr>
        <w:t>风险评价结果与实际情况是否相符；</w:t>
      </w:r>
    </w:p>
    <w:p>
      <w:pPr>
        <w:spacing w:line="213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d)  </w:t>
      </w:r>
      <w:r>
        <w:rPr>
          <w:rFonts w:ascii="SimSun" w:eastAsia="SimSun" w:hAnsi="SimSun" w:cs="SimSun"/>
          <w:spacing w:val="-2"/>
          <w:sz w:val="21"/>
          <w:szCs w:val="21"/>
        </w:rPr>
        <w:t>风险管理技术是否合理使用；</w:t>
      </w:r>
    </w:p>
    <w:p>
      <w:pPr>
        <w:spacing w:before="31" w:line="213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e)  </w:t>
      </w:r>
      <w:r>
        <w:rPr>
          <w:rFonts w:ascii="SimSun" w:eastAsia="SimSun" w:hAnsi="SimSun" w:cs="SimSun"/>
          <w:spacing w:val="-1"/>
          <w:sz w:val="21"/>
          <w:szCs w:val="21"/>
        </w:rPr>
        <w:t>风险控制措施是否充分有效等。</w:t>
      </w:r>
    </w:p>
    <w:p>
      <w:pPr>
        <w:pStyle w:val="BodyText"/>
        <w:spacing w:before="149" w:line="223" w:lineRule="auto"/>
      </w:pPr>
      <w:r>
        <w:rPr>
          <w:spacing w:val="-1"/>
        </w:rPr>
        <w:t>8.3</w:t>
      </w:r>
      <w:r>
        <w:rPr>
          <w:spacing w:val="-1"/>
        </w:rPr>
        <w:t xml:space="preserve"> </w:t>
      </w:r>
      <w:r>
        <w:rPr>
          <w:spacing w:val="-1"/>
        </w:rPr>
        <w:t>过程质量管理</w:t>
      </w:r>
    </w:p>
    <w:p>
      <w:pPr>
        <w:pStyle w:val="BodyText"/>
        <w:spacing w:before="140" w:line="223" w:lineRule="auto"/>
      </w:pPr>
      <w:r>
        <w:rPr>
          <w:spacing w:val="-2"/>
        </w:rPr>
        <w:t>8.3.1</w:t>
      </w:r>
      <w:r>
        <w:rPr>
          <w:spacing w:val="16"/>
        </w:rPr>
        <w:t xml:space="preserve"> </w:t>
      </w:r>
      <w:r>
        <w:rPr>
          <w:spacing w:val="-2"/>
        </w:rPr>
        <w:t>总则</w:t>
      </w:r>
    </w:p>
    <w:p>
      <w:pPr>
        <w:spacing w:before="17" w:line="233" w:lineRule="auto"/>
        <w:ind w:left="2" w:right="79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企业应识别和制定设备全生命周期管理活动的质量控制措施，建立</w:t>
      </w:r>
      <w:r>
        <w:rPr>
          <w:rFonts w:ascii="SimSun" w:eastAsia="SimSun" w:hAnsi="SimSun" w:cs="SimSun"/>
          <w:sz w:val="21"/>
          <w:szCs w:val="21"/>
        </w:rPr>
        <w:t xml:space="preserve">相应的过程质量管理程序和 </w:t>
      </w:r>
      <w:r>
        <w:rPr>
          <w:rFonts w:ascii="SimSun" w:eastAsia="SimSun" w:hAnsi="SimSun" w:cs="SimSun"/>
          <w:sz w:val="21"/>
          <w:szCs w:val="21"/>
        </w:rPr>
        <w:t>控制标准，以满足相关法律、法规、标准、技术规范等要求，确保设备</w:t>
      </w:r>
      <w:r>
        <w:rPr>
          <w:rFonts w:ascii="SimSun" w:eastAsia="SimSun" w:hAnsi="SimSun" w:cs="SimSun"/>
          <w:spacing w:val="-1"/>
          <w:sz w:val="21"/>
          <w:szCs w:val="21"/>
        </w:rPr>
        <w:t>完整性管理活动得到执行，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风险和成本得到有效控制。</w:t>
      </w:r>
    </w:p>
    <w:p>
      <w:pPr>
        <w:pStyle w:val="BodyText"/>
        <w:spacing w:before="22" w:line="223" w:lineRule="auto"/>
      </w:pPr>
      <w:r>
        <w:rPr>
          <w:spacing w:val="-1"/>
        </w:rPr>
        <w:t>8.3.2</w:t>
      </w:r>
      <w:r>
        <w:rPr>
          <w:spacing w:val="-1"/>
        </w:rPr>
        <w:t xml:space="preserve"> </w:t>
      </w:r>
      <w:r>
        <w:rPr>
          <w:spacing w:val="-1"/>
        </w:rPr>
        <w:t>前期管理</w:t>
      </w:r>
    </w:p>
    <w:p>
      <w:pPr>
        <w:pStyle w:val="BodyText"/>
        <w:spacing w:before="19" w:line="223" w:lineRule="auto"/>
      </w:pPr>
      <w:hyperlink r:id="rId45" w:history="1">
        <w:r>
          <w:rPr>
            <w:spacing w:val="-1"/>
          </w:rPr>
          <w:t>8.3.2.1</w:t>
        </w:r>
      </w:hyperlink>
      <w:r>
        <w:rPr>
          <w:spacing w:val="-1"/>
        </w:rPr>
        <w:t xml:space="preserve"> </w:t>
      </w:r>
      <w:r>
        <w:rPr>
          <w:spacing w:val="-1"/>
        </w:rPr>
        <w:t>设计、选型</w:t>
      </w:r>
    </w:p>
    <w:p>
      <w:pPr>
        <w:spacing w:before="18" w:line="233" w:lineRule="auto"/>
        <w:ind w:left="3" w:right="76" w:firstLine="42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企业应在可行性研究、基础设计、详细设计阶段建立相应的质量控制措施，</w:t>
      </w:r>
      <w:r>
        <w:rPr>
          <w:rFonts w:ascii="SimSun" w:eastAsia="SimSun" w:hAnsi="SimSun" w:cs="SimSun"/>
          <w:spacing w:val="8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明确设计单位资质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和设计选型所遵循的法律法规、标准规范，以及设备制造、安装的技术条件和</w:t>
      </w:r>
      <w:r>
        <w:rPr>
          <w:rFonts w:ascii="SimSun" w:eastAsia="SimSun" w:hAnsi="SimSun" w:cs="SimSun"/>
          <w:sz w:val="21"/>
          <w:szCs w:val="21"/>
        </w:rPr>
        <w:t xml:space="preserve">质量要求，确保设计 </w:t>
      </w:r>
      <w:r>
        <w:rPr>
          <w:rFonts w:ascii="SimSun" w:eastAsia="SimSun" w:hAnsi="SimSun" w:cs="SimSun"/>
          <w:spacing w:val="-1"/>
          <w:sz w:val="21"/>
          <w:szCs w:val="21"/>
        </w:rPr>
        <w:t>文件规范签署、设计变更管理有效执行、潜在重大风险得到识别和控制等。</w:t>
      </w:r>
    </w:p>
    <w:p>
      <w:pPr>
        <w:pStyle w:val="BodyText"/>
        <w:spacing w:before="22" w:line="225" w:lineRule="auto"/>
        <w:sectPr>
          <w:headerReference w:type="default" r:id="rId46"/>
          <w:footerReference w:type="default" r:id="rId47"/>
          <w:pgSz w:w="11907" w:h="16841"/>
          <w:pgMar w:top="1348" w:right="1336" w:bottom="1374" w:left="1423" w:header="1133" w:footer="1213" w:gutter="0"/>
          <w:pgNumType w:start="21"/>
          <w:cols w:space="708"/>
        </w:sectPr>
      </w:pPr>
      <w:hyperlink r:id="rId48" w:history="1">
        <w:r>
          <w:rPr>
            <w:spacing w:val="-1"/>
          </w:rPr>
          <w:t>8.3.2.2</w:t>
        </w:r>
      </w:hyperlink>
      <w:r>
        <w:rPr>
          <w:spacing w:val="-1"/>
        </w:rPr>
        <w:t xml:space="preserve"> </w:t>
      </w:r>
      <w:r>
        <w:rPr>
          <w:spacing w:val="-1"/>
        </w:rPr>
        <w:t>购置与制造</w:t>
      </w:r>
    </w:p>
    <w:p>
      <w:pPr>
        <w:spacing w:before="16" w:line="233" w:lineRule="auto"/>
        <w:ind w:left="2" w:right="76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企业应在设备采购和制造阶段建立相应的质量控制措施，以满足法</w:t>
      </w:r>
      <w:r>
        <w:rPr>
          <w:rFonts w:ascii="SimSun" w:eastAsia="SimSun" w:hAnsi="SimSun" w:cs="SimSun"/>
          <w:sz w:val="21"/>
          <w:szCs w:val="21"/>
        </w:rPr>
        <w:t xml:space="preserve">律法规、标准规范和设计文 </w:t>
      </w:r>
      <w:r>
        <w:rPr>
          <w:rFonts w:ascii="SimSun" w:eastAsia="SimSun" w:hAnsi="SimSun" w:cs="SimSun"/>
          <w:spacing w:val="-2"/>
          <w:sz w:val="21"/>
          <w:szCs w:val="21"/>
        </w:rPr>
        <w:t>件的要求。</w:t>
      </w:r>
      <w:r>
        <w:rPr>
          <w:rFonts w:ascii="SimSun" w:eastAsia="SimSun" w:hAnsi="SimSun" w:cs="SimSun"/>
          <w:spacing w:val="4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质量控制包括供应商和制造商服</w:t>
      </w:r>
      <w:r>
        <w:rPr>
          <w:rFonts w:ascii="SimSun" w:eastAsia="SimSun" w:hAnsi="SimSun" w:cs="SimSun"/>
          <w:spacing w:val="-3"/>
          <w:sz w:val="21"/>
          <w:szCs w:val="21"/>
        </w:rPr>
        <w:t>务能力评估与选择、采购技术条件确认、合同及技术协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议签订、关键设备监造、设备质量证明文件确认、出</w:t>
      </w:r>
      <w:r>
        <w:rPr>
          <w:rFonts w:ascii="SimSun" w:eastAsia="SimSun" w:hAnsi="SimSun" w:cs="SimSun"/>
          <w:spacing w:val="-1"/>
          <w:sz w:val="21"/>
          <w:szCs w:val="21"/>
        </w:rPr>
        <w:t>入库检验、购置过程中的变更管理等。</w:t>
      </w:r>
    </w:p>
    <w:p>
      <w:pPr>
        <w:pStyle w:val="BodyText"/>
        <w:spacing w:before="23" w:line="224" w:lineRule="auto"/>
      </w:pPr>
      <w:hyperlink r:id="rId49" w:history="1">
        <w:r>
          <w:rPr>
            <w:spacing w:val="-2"/>
          </w:rPr>
          <w:t>8.3.2.3</w:t>
        </w:r>
      </w:hyperlink>
      <w:r>
        <w:rPr>
          <w:spacing w:val="17"/>
        </w:rPr>
        <w:t xml:space="preserve"> </w:t>
      </w:r>
      <w:r>
        <w:rPr>
          <w:spacing w:val="-2"/>
        </w:rPr>
        <w:t>安装施工</w:t>
      </w:r>
    </w:p>
    <w:p>
      <w:pPr>
        <w:spacing w:before="17" w:line="233" w:lineRule="auto"/>
        <w:ind w:left="2" w:right="76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企业应在设备安装施工阶段建立相应的质量控制措施，确保设备安</w:t>
      </w:r>
      <w:r>
        <w:rPr>
          <w:rFonts w:ascii="SimSun" w:eastAsia="SimSun" w:hAnsi="SimSun" w:cs="SimSun"/>
          <w:sz w:val="21"/>
          <w:szCs w:val="21"/>
        </w:rPr>
        <w:t xml:space="preserve">装施工符合法律法规、标准 </w:t>
      </w:r>
      <w:r>
        <w:rPr>
          <w:rFonts w:ascii="SimSun" w:eastAsia="SimSun" w:hAnsi="SimSun" w:cs="SimSun"/>
          <w:spacing w:val="-3"/>
          <w:sz w:val="21"/>
          <w:szCs w:val="21"/>
        </w:rPr>
        <w:t>规范和设计文件的要求，</w:t>
      </w:r>
      <w:r>
        <w:rPr>
          <w:rFonts w:ascii="SimSun" w:eastAsia="SimSun" w:hAnsi="SimSun" w:cs="SimSun"/>
          <w:spacing w:val="5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选择业务相匹配的承包商并进行技术文件交底，确认施工方案可行性，明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确过程质量控制点并按规定进行质量验收，确保中间交接合格且具备试运条件。</w:t>
      </w:r>
    </w:p>
    <w:p>
      <w:pPr>
        <w:pStyle w:val="BodyText"/>
        <w:spacing w:before="22" w:line="223" w:lineRule="auto"/>
      </w:pPr>
      <w:hyperlink r:id="rId50" w:history="1">
        <w:r>
          <w:rPr>
            <w:spacing w:val="-1"/>
          </w:rPr>
          <w:t>8.3.2.4</w:t>
        </w:r>
      </w:hyperlink>
      <w:r>
        <w:rPr>
          <w:spacing w:val="-1"/>
        </w:rPr>
        <w:t xml:space="preserve"> </w:t>
      </w:r>
      <w:r>
        <w:rPr>
          <w:spacing w:val="-1"/>
        </w:rPr>
        <w:t>设备投运</w:t>
      </w:r>
    </w:p>
    <w:p>
      <w:pPr>
        <w:spacing w:before="18" w:line="233" w:lineRule="auto"/>
        <w:ind w:left="3" w:right="108" w:firstLine="42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企业应在设备投运阶段建立相应的过程控制计划，</w:t>
      </w:r>
      <w:r>
        <w:rPr>
          <w:rFonts w:ascii="SimSun" w:eastAsia="SimSun" w:hAnsi="SimSun" w:cs="SimSun"/>
          <w:spacing w:val="7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明确</w:t>
      </w:r>
      <w:r>
        <w:rPr>
          <w:rFonts w:ascii="SimSun" w:eastAsia="SimSun" w:hAnsi="SimSun" w:cs="SimSun"/>
          <w:spacing w:val="-5"/>
          <w:sz w:val="21"/>
          <w:szCs w:val="21"/>
        </w:rPr>
        <w:t>安全检查内容、监测措施及管理人员、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技术人员、操作人员的培训要求。设备投运前应完成人员培训、设备风险评估与控制及操作规程、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维护规程、应急预案等的编制和审批。</w:t>
      </w:r>
    </w:p>
    <w:p>
      <w:pPr>
        <w:pStyle w:val="BodyText"/>
        <w:spacing w:before="23" w:line="223" w:lineRule="auto"/>
      </w:pPr>
      <w:r>
        <w:rPr>
          <w:spacing w:val="-1"/>
        </w:rPr>
        <w:t>8.3.3</w:t>
      </w:r>
      <w:r>
        <w:rPr>
          <w:spacing w:val="-1"/>
        </w:rPr>
        <w:t xml:space="preserve"> </w:t>
      </w:r>
      <w:r>
        <w:rPr>
          <w:spacing w:val="-1"/>
        </w:rPr>
        <w:t>使用维护</w:t>
      </w:r>
    </w:p>
    <w:p>
      <w:pPr>
        <w:spacing w:before="18" w:line="230" w:lineRule="auto"/>
        <w:ind w:left="4" w:right="79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企业应在设备操作运行、维护保养过程中制定相应的过程控制措施</w:t>
      </w:r>
      <w:r>
        <w:rPr>
          <w:rFonts w:ascii="SimSun" w:eastAsia="SimSun" w:hAnsi="SimSun" w:cs="SimSun"/>
          <w:sz w:val="21"/>
          <w:szCs w:val="21"/>
        </w:rPr>
        <w:t xml:space="preserve">，明确设备使用方法、指标 </w:t>
      </w:r>
      <w:r>
        <w:rPr>
          <w:rFonts w:ascii="SimSun" w:eastAsia="SimSun" w:hAnsi="SimSun" w:cs="SimSun"/>
          <w:sz w:val="21"/>
          <w:szCs w:val="21"/>
        </w:rPr>
        <w:t>参数限值、监检测方法、巡检机制、“特护”等工作要求。确保设备档案、操作规程、维护规程、</w:t>
      </w:r>
    </w:p>
    <w:p>
      <w:pPr>
        <w:spacing w:line="230" w:lineRule="auto"/>
        <w:rPr>
          <w:rFonts w:ascii="SimSun" w:eastAsia="SimSun" w:hAnsi="SimSun" w:cs="SimSun"/>
          <w:sz w:val="21"/>
          <w:szCs w:val="21"/>
        </w:rPr>
        <w:sectPr>
          <w:headerReference w:type="default" r:id="rId51"/>
          <w:footerReference w:type="default" r:id="rId52"/>
          <w:type w:val="nextPage"/>
          <w:pgSz w:w="11907" w:h="16841"/>
          <w:pgMar w:top="1348" w:right="1336" w:bottom="1374" w:left="1423" w:header="1133" w:footer="1213" w:gutter="0"/>
          <w:pgNumType w:start="22"/>
          <w:cols w:space="708"/>
          <w:titlePg w:val="0"/>
        </w:sectPr>
      </w:pPr>
    </w:p>
    <w:p>
      <w:pPr>
        <w:spacing w:before="58" w:line="231" w:lineRule="auto"/>
        <w:ind w:left="2" w:right="5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应急预案、维护检修记录、试运行记录完备，运行维护人员得到培训，设备运行</w:t>
      </w:r>
      <w:r>
        <w:rPr>
          <w:rFonts w:ascii="SimSun" w:eastAsia="SimSun" w:hAnsi="SimSun" w:cs="SimSun"/>
          <w:sz w:val="21"/>
          <w:szCs w:val="21"/>
        </w:rPr>
        <w:t xml:space="preserve">风险得到识别和控 </w:t>
      </w:r>
      <w:r>
        <w:rPr>
          <w:rFonts w:ascii="SimSun" w:eastAsia="SimSun" w:hAnsi="SimSun" w:cs="SimSun"/>
          <w:sz w:val="21"/>
          <w:szCs w:val="21"/>
        </w:rPr>
        <w:t>制，检验检测和预防性维修、缺陷管理和变更管理等</w:t>
      </w:r>
      <w:r>
        <w:rPr>
          <w:rFonts w:ascii="SimSun" w:eastAsia="SimSun" w:hAnsi="SimSun" w:cs="SimSun"/>
          <w:spacing w:val="-1"/>
          <w:sz w:val="21"/>
          <w:szCs w:val="21"/>
        </w:rPr>
        <w:t>有效开展。</w:t>
      </w:r>
    </w:p>
    <w:p>
      <w:pPr>
        <w:pStyle w:val="BodyText"/>
        <w:spacing w:before="19" w:line="223" w:lineRule="auto"/>
      </w:pPr>
      <w:r>
        <w:rPr>
          <w:spacing w:val="-1"/>
        </w:rPr>
        <w:t>8.3.4</w:t>
      </w:r>
      <w:r>
        <w:rPr>
          <w:spacing w:val="-1"/>
        </w:rPr>
        <w:t xml:space="preserve"> </w:t>
      </w:r>
      <w:r>
        <w:rPr>
          <w:spacing w:val="-1"/>
        </w:rPr>
        <w:t>设备修理</w:t>
      </w:r>
    </w:p>
    <w:p>
      <w:pPr>
        <w:spacing w:before="21" w:line="229" w:lineRule="auto"/>
        <w:ind w:left="5" w:right="59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企业应在检维修承包商的选择与评价、停工检修、日常维修、故障</w:t>
      </w:r>
      <w:r>
        <w:rPr>
          <w:rFonts w:ascii="SimSun" w:eastAsia="SimSun" w:hAnsi="SimSun" w:cs="SimSun"/>
          <w:sz w:val="21"/>
          <w:szCs w:val="21"/>
        </w:rPr>
        <w:t xml:space="preserve">抢修、施工方案的编制与审 </w:t>
      </w:r>
      <w:r>
        <w:rPr>
          <w:rFonts w:ascii="SimSun" w:eastAsia="SimSun" w:hAnsi="SimSun" w:cs="SimSun"/>
          <w:sz w:val="21"/>
          <w:szCs w:val="21"/>
        </w:rPr>
        <w:t>核、施工质量控制与验收、修理费的使用等环节制定过</w:t>
      </w:r>
      <w:r>
        <w:rPr>
          <w:rFonts w:ascii="SimSun" w:eastAsia="SimSun" w:hAnsi="SimSun" w:cs="SimSun"/>
          <w:spacing w:val="-1"/>
          <w:sz w:val="21"/>
          <w:szCs w:val="21"/>
        </w:rPr>
        <w:t>程控制措施。</w:t>
      </w:r>
    </w:p>
    <w:p>
      <w:pPr>
        <w:spacing w:before="23" w:line="233" w:lineRule="auto"/>
        <w:ind w:left="3" w:right="57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设备修理阶段应收集设备风险评估和可靠性分析结果，明确检修方</w:t>
      </w:r>
      <w:r>
        <w:rPr>
          <w:rFonts w:ascii="SimSun" w:eastAsia="SimSun" w:hAnsi="SimSun" w:cs="SimSun"/>
          <w:sz w:val="21"/>
          <w:szCs w:val="21"/>
        </w:rPr>
        <w:t xml:space="preserve">式，审核修理计划，选择资 </w:t>
      </w:r>
      <w:r>
        <w:rPr>
          <w:rFonts w:ascii="SimSun" w:eastAsia="SimSun" w:hAnsi="SimSun" w:cs="SimSun"/>
          <w:spacing w:val="-2"/>
          <w:sz w:val="21"/>
          <w:szCs w:val="21"/>
        </w:rPr>
        <w:t>质符合的检维修承包商， 跟踪并确保修理计划的完成。对于停工大修应制定设备检修策略、计划和</w:t>
      </w:r>
      <w:r>
        <w:rPr>
          <w:rFonts w:ascii="SimSun" w:eastAsia="SimSun" w:hAnsi="SimSun" w:cs="SimSun"/>
          <w:spacing w:val="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方案。</w:t>
      </w:r>
    </w:p>
    <w:p>
      <w:pPr>
        <w:pStyle w:val="BodyText"/>
        <w:spacing w:before="20" w:line="230" w:lineRule="auto"/>
        <w:ind w:right="127" w:firstLine="425"/>
      </w:pPr>
      <w:r>
        <w:rPr>
          <w:rFonts w:ascii="SimSun" w:eastAsia="SimSun" w:hAnsi="SimSun" w:cs="SimSun"/>
          <w:spacing w:val="-1"/>
        </w:rPr>
        <w:t>企业应对检维修费用使用情况进行跟踪并定期分析，结合各类检维修项目动态调整费用指标。</w:t>
      </w:r>
      <w:r>
        <w:rPr>
          <w:rFonts w:ascii="SimSun" w:eastAsia="SimSun" w:hAnsi="SimSun" w:cs="SimSun"/>
          <w:spacing w:val="3"/>
        </w:rPr>
        <w:t xml:space="preserve"> </w:t>
      </w:r>
      <w:r>
        <w:rPr>
          <w:spacing w:val="-1"/>
        </w:rPr>
        <w:t>8.3.5</w:t>
      </w:r>
      <w:r>
        <w:rPr>
          <w:spacing w:val="-1"/>
        </w:rPr>
        <w:t xml:space="preserve"> </w:t>
      </w:r>
      <w:r>
        <w:rPr>
          <w:spacing w:val="-1"/>
        </w:rPr>
        <w:t>更新改造</w:t>
      </w:r>
    </w:p>
    <w:p>
      <w:pPr>
        <w:spacing w:before="22" w:line="229" w:lineRule="auto"/>
        <w:ind w:left="4" w:right="59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企业应依据法律法规、标准规范、设备状态监检测预警、风险评价</w:t>
      </w:r>
      <w:r>
        <w:rPr>
          <w:rFonts w:ascii="SimSun" w:eastAsia="SimSun" w:hAnsi="SimSun" w:cs="SimSun"/>
          <w:sz w:val="21"/>
          <w:szCs w:val="21"/>
        </w:rPr>
        <w:t xml:space="preserve">及可靠性分析结果、投资收 </w:t>
      </w:r>
      <w:r>
        <w:rPr>
          <w:rFonts w:ascii="SimSun" w:eastAsia="SimSun" w:hAnsi="SimSun" w:cs="SimSun"/>
          <w:sz w:val="21"/>
          <w:szCs w:val="21"/>
        </w:rPr>
        <w:t>益情况，制定更新改造计划，并组织实施。更新改造的设</w:t>
      </w:r>
      <w:r>
        <w:rPr>
          <w:rFonts w:ascii="SimSun" w:eastAsia="SimSun" w:hAnsi="SimSun" w:cs="SimSun"/>
          <w:spacing w:val="-1"/>
          <w:sz w:val="21"/>
          <w:szCs w:val="21"/>
        </w:rPr>
        <w:t>备应包含：</w:t>
      </w:r>
    </w:p>
    <w:p>
      <w:pPr>
        <w:spacing w:before="23" w:line="213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a)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   </w:t>
      </w:r>
      <w:r>
        <w:rPr>
          <w:rFonts w:ascii="SimSun" w:eastAsia="SimSun" w:hAnsi="SimSun" w:cs="SimSun"/>
          <w:spacing w:val="-4"/>
          <w:sz w:val="21"/>
          <w:szCs w:val="21"/>
        </w:rPr>
        <w:t>国家明令淘汰的；</w:t>
      </w:r>
    </w:p>
    <w:p>
      <w:pPr>
        <w:spacing w:before="28" w:line="231" w:lineRule="auto"/>
        <w:ind w:left="3" w:right="55" w:firstLine="4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b)    </w:t>
      </w:r>
      <w:r>
        <w:rPr>
          <w:rFonts w:ascii="SimSun" w:eastAsia="SimSun" w:hAnsi="SimSun" w:cs="SimSun"/>
          <w:spacing w:val="2"/>
          <w:sz w:val="21"/>
          <w:szCs w:val="21"/>
        </w:rPr>
        <w:t>经检测、检验、评估，设备使用性能和可靠性下降，继续</w:t>
      </w:r>
      <w:r>
        <w:rPr>
          <w:rFonts w:ascii="SimSun" w:eastAsia="SimSun" w:hAnsi="SimSun" w:cs="SimSun"/>
          <w:spacing w:val="1"/>
          <w:sz w:val="21"/>
          <w:szCs w:val="21"/>
        </w:rPr>
        <w:t>使用不能满足安全、环保、节能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和经济性要求的；</w:t>
      </w:r>
    </w:p>
    <w:p>
      <w:pPr>
        <w:spacing w:before="20" w:line="213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c)     </w:t>
      </w:r>
      <w:r>
        <w:rPr>
          <w:rFonts w:ascii="SimSun" w:eastAsia="SimSun" w:hAnsi="SimSun" w:cs="SimSun"/>
          <w:spacing w:val="-2"/>
          <w:sz w:val="21"/>
          <w:szCs w:val="21"/>
        </w:rPr>
        <w:t>因生产条件改变，设备不再具有使用价值的；</w:t>
      </w:r>
    </w:p>
    <w:p>
      <w:pPr>
        <w:spacing w:before="31" w:line="213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d)     </w:t>
      </w:r>
      <w:r>
        <w:rPr>
          <w:rFonts w:ascii="SimSun" w:eastAsia="SimSun" w:hAnsi="SimSun" w:cs="SimSun"/>
          <w:spacing w:val="-5"/>
          <w:sz w:val="21"/>
          <w:szCs w:val="21"/>
        </w:rPr>
        <w:t>因事故或自然灾害， 设备遭受严重损坏无修复价值的；</w:t>
      </w:r>
    </w:p>
    <w:p>
      <w:pPr>
        <w:spacing w:before="29" w:line="213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e)     </w:t>
      </w:r>
      <w:r>
        <w:rPr>
          <w:rFonts w:ascii="SimSun" w:eastAsia="SimSun" w:hAnsi="SimSun" w:cs="SimSun"/>
          <w:spacing w:val="-7"/>
          <w:sz w:val="21"/>
          <w:szCs w:val="21"/>
        </w:rPr>
        <w:t>通过改造或大修，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技术性能仍不能满足要求的，</w:t>
      </w:r>
      <w:r>
        <w:rPr>
          <w:rFonts w:ascii="SimSun" w:eastAsia="SimSun" w:hAnsi="SimSun" w:cs="SimSun"/>
          <w:spacing w:val="-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或虽然能满足要求，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但更新更经济合理的；</w:t>
      </w:r>
    </w:p>
    <w:p>
      <w:pPr>
        <w:spacing w:before="31" w:line="238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f)     </w:t>
      </w:r>
      <w:r>
        <w:rPr>
          <w:rFonts w:ascii="SimSun" w:eastAsia="SimSun" w:hAnsi="SimSun" w:cs="SimSun"/>
          <w:spacing w:val="-1"/>
          <w:sz w:val="21"/>
          <w:szCs w:val="21"/>
        </w:rPr>
        <w:t>缺乏配件或需高价专门订制配件的；</w:t>
      </w:r>
    </w:p>
    <w:p>
      <w:pPr>
        <w:spacing w:line="213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g)</w:t>
      </w:r>
      <w:r>
        <w:rPr>
          <w:rFonts w:ascii="Times New Roman" w:eastAsia="Times New Roman" w:hAnsi="Times New Roman" w:cs="Times New Roman"/>
          <w:spacing w:val="9"/>
          <w:sz w:val="21"/>
          <w:szCs w:val="21"/>
        </w:rPr>
        <w:t xml:space="preserve">    </w:t>
      </w:r>
      <w:r>
        <w:rPr>
          <w:rFonts w:ascii="SimSun" w:eastAsia="SimSun" w:hAnsi="SimSun" w:cs="SimSun"/>
          <w:spacing w:val="-1"/>
          <w:sz w:val="21"/>
          <w:szCs w:val="21"/>
        </w:rPr>
        <w:t>缺乏技术支持的。</w:t>
      </w:r>
    </w:p>
    <w:p>
      <w:pPr>
        <w:pStyle w:val="BodyText"/>
        <w:spacing w:before="31" w:line="223" w:lineRule="auto"/>
      </w:pPr>
      <w:r>
        <w:rPr>
          <w:spacing w:val="-1"/>
        </w:rPr>
        <w:t>8.3.6</w:t>
      </w:r>
      <w:r>
        <w:rPr>
          <w:spacing w:val="-1"/>
        </w:rPr>
        <w:t xml:space="preserve"> </w:t>
      </w:r>
      <w:r>
        <w:rPr>
          <w:spacing w:val="-1"/>
        </w:rPr>
        <w:t>设备处置</w:t>
      </w:r>
    </w:p>
    <w:p>
      <w:pPr>
        <w:spacing w:before="17" w:line="233" w:lineRule="auto"/>
        <w:ind w:left="3" w:right="56" w:firstLine="423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企业应对设备的闲置、转移使用、报废和重新使用制定过程控制措</w:t>
      </w:r>
      <w:r>
        <w:rPr>
          <w:rFonts w:ascii="SimSun" w:eastAsia="SimSun" w:hAnsi="SimSun" w:cs="SimSun"/>
          <w:sz w:val="21"/>
          <w:szCs w:val="21"/>
        </w:rPr>
        <w:t xml:space="preserve">施，确保设备处置符合法律 </w:t>
      </w:r>
      <w:r>
        <w:rPr>
          <w:rFonts w:ascii="SimSun" w:eastAsia="SimSun" w:hAnsi="SimSun" w:cs="SimSun"/>
          <w:spacing w:val="1"/>
          <w:sz w:val="21"/>
          <w:szCs w:val="21"/>
        </w:rPr>
        <w:t>法规、标准规范和企业的要求。企业应对设备报废、转移和重新使用进行全面的</w:t>
      </w:r>
      <w:r>
        <w:rPr>
          <w:rFonts w:ascii="SimSun" w:eastAsia="SimSun" w:hAnsi="SimSun" w:cs="SimSun"/>
          <w:sz w:val="21"/>
          <w:szCs w:val="21"/>
        </w:rPr>
        <w:t xml:space="preserve">技术鉴定和性能评 </w:t>
      </w:r>
      <w:r>
        <w:rPr>
          <w:rFonts w:ascii="SimSun" w:eastAsia="SimSun" w:hAnsi="SimSun" w:cs="SimSun"/>
          <w:spacing w:val="-2"/>
          <w:sz w:val="21"/>
          <w:szCs w:val="21"/>
        </w:rPr>
        <w:t>估，对使用环境的适用性进行评价。</w:t>
      </w:r>
    </w:p>
    <w:p>
      <w:pPr>
        <w:pStyle w:val="BodyText"/>
        <w:spacing w:before="144" w:line="222" w:lineRule="auto"/>
      </w:pPr>
      <w:r>
        <w:rPr>
          <w:spacing w:val="-1"/>
        </w:rPr>
        <w:t>8.4</w:t>
      </w:r>
      <w:r>
        <w:rPr>
          <w:spacing w:val="-1"/>
        </w:rPr>
        <w:t xml:space="preserve"> </w:t>
      </w:r>
      <w:r>
        <w:rPr>
          <w:spacing w:val="-1"/>
        </w:rPr>
        <w:t>检验、检测和预防性维修</w:t>
      </w:r>
    </w:p>
    <w:p>
      <w:pPr>
        <w:spacing w:before="39" w:line="212" w:lineRule="auto"/>
        <w:ind w:left="4403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C0C0C0"/>
          <w:spacing w:val="-1"/>
          <w:sz w:val="2"/>
          <w:szCs w:val="2"/>
        </w:rPr>
        <w:t>内部资料</w:t>
      </w:r>
      <w:r>
        <w:rPr>
          <w:rFonts w:ascii="SimSun" w:eastAsia="SimSun" w:hAnsi="SimSun" w:cs="SimSun"/>
          <w:color w:val="C0C0C0"/>
          <w:spacing w:val="6"/>
          <w:w w:val="109"/>
          <w:sz w:val="2"/>
          <w:szCs w:val="2"/>
        </w:rPr>
        <w:t xml:space="preserve"> </w:t>
      </w:r>
      <w:r>
        <w:rPr>
          <w:rFonts w:ascii="SimSun" w:eastAsia="SimSun" w:hAnsi="SimSun" w:cs="SimSun"/>
          <w:color w:val="C0C0C0"/>
          <w:spacing w:val="-1"/>
          <w:sz w:val="2"/>
          <w:szCs w:val="2"/>
        </w:rPr>
        <w:t>尚未公开 注意保密</w:t>
      </w:r>
    </w:p>
    <w:p>
      <w:pPr>
        <w:pStyle w:val="BodyText"/>
        <w:spacing w:before="76" w:line="223" w:lineRule="auto"/>
      </w:pPr>
      <w:r>
        <w:rPr>
          <w:spacing w:val="-2"/>
        </w:rPr>
        <w:t>8.4.1</w:t>
      </w:r>
      <w:r>
        <w:rPr>
          <w:spacing w:val="16"/>
        </w:rPr>
        <w:t xml:space="preserve"> </w:t>
      </w:r>
      <w:r>
        <w:rPr>
          <w:spacing w:val="-2"/>
        </w:rPr>
        <w:t>总则</w:t>
      </w:r>
    </w:p>
    <w:p>
      <w:pPr>
        <w:spacing w:before="23" w:line="234" w:lineRule="auto"/>
        <w:ind w:right="56" w:firstLine="426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企业应建立并保持设备检验、检测和预防性维修管理程序，在设备</w:t>
      </w:r>
      <w:r>
        <w:rPr>
          <w:rFonts w:ascii="SimSun" w:eastAsia="SimSun" w:hAnsi="SimSun" w:cs="SimSun"/>
          <w:sz w:val="21"/>
          <w:szCs w:val="21"/>
        </w:rPr>
        <w:t xml:space="preserve">日常专业管理的基础上，识 </w:t>
      </w:r>
      <w:r>
        <w:rPr>
          <w:rFonts w:ascii="SimSun" w:eastAsia="SimSun" w:hAnsi="SimSun" w:cs="SimSun"/>
          <w:spacing w:val="1"/>
          <w:sz w:val="21"/>
          <w:szCs w:val="21"/>
        </w:rPr>
        <w:t>别并制定设备检验、检测和预防性维修策略和计划。组织设备、工艺、安全等专业人员</w:t>
      </w:r>
      <w:r>
        <w:rPr>
          <w:rFonts w:ascii="SimSun" w:eastAsia="SimSun" w:hAnsi="SimSun" w:cs="SimSun"/>
          <w:sz w:val="21"/>
          <w:szCs w:val="21"/>
        </w:rPr>
        <w:t xml:space="preserve">实施并跟踪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ITPM </w:t>
      </w:r>
      <w:r>
        <w:rPr>
          <w:rFonts w:ascii="SimSun" w:eastAsia="SimSun" w:hAnsi="SimSun" w:cs="SimSun"/>
          <w:spacing w:val="-3"/>
          <w:sz w:val="21"/>
          <w:szCs w:val="21"/>
        </w:rPr>
        <w:t>任务，定期优化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ITPM </w:t>
      </w:r>
      <w:r>
        <w:rPr>
          <w:rFonts w:ascii="SimSun" w:eastAsia="SimSun" w:hAnsi="SimSun" w:cs="SimSun"/>
          <w:spacing w:val="-3"/>
          <w:sz w:val="21"/>
          <w:szCs w:val="21"/>
        </w:rPr>
        <w:t>策略和计划， 持续提高设备运行的可靠性。</w:t>
      </w:r>
      <w:r>
        <w:rPr>
          <w:rFonts w:ascii="SimSun" w:eastAsia="SimSun" w:hAnsi="SimSun" w:cs="SimSun"/>
          <w:spacing w:val="-4"/>
          <w:sz w:val="21"/>
          <w:szCs w:val="21"/>
        </w:rPr>
        <w:t>企业可根据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ITPM </w:t>
      </w:r>
      <w:r>
        <w:rPr>
          <w:rFonts w:ascii="SimSun" w:eastAsia="SimSun" w:hAnsi="SimSun" w:cs="SimSun"/>
          <w:spacing w:val="-4"/>
          <w:sz w:val="21"/>
          <w:szCs w:val="21"/>
        </w:rPr>
        <w:t>策略和计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划，识别并建立定时性工作任务，提升工作时效性与管理规范化。</w:t>
      </w:r>
    </w:p>
    <w:p>
      <w:pPr>
        <w:pStyle w:val="BodyText"/>
        <w:spacing w:before="20" w:line="223" w:lineRule="auto"/>
      </w:pPr>
      <w:r>
        <w:rPr>
          <w:spacing w:val="-1"/>
        </w:rPr>
        <w:t>8.4.2</w:t>
      </w:r>
      <w:r>
        <w:rPr>
          <w:spacing w:val="-1"/>
        </w:rPr>
        <w:t xml:space="preserve"> </w:t>
      </w:r>
      <w:r>
        <w:rPr>
          <w:spacing w:val="-1"/>
        </w:rPr>
        <w:t>设备检验、检测</w:t>
      </w:r>
    </w:p>
    <w:p>
      <w:pPr>
        <w:spacing w:before="19" w:line="229" w:lineRule="auto"/>
        <w:ind w:left="5" w:right="59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检验、检测是通过观察、测量、测试、校准、评估等手段检测并分析设备</w:t>
      </w:r>
      <w:r>
        <w:rPr>
          <w:rFonts w:ascii="SimSun" w:eastAsia="SimSun" w:hAnsi="SimSun" w:cs="SimSun"/>
          <w:sz w:val="21"/>
          <w:szCs w:val="21"/>
        </w:rPr>
        <w:t xml:space="preserve">部件的状态，分析设 </w:t>
      </w:r>
      <w:r>
        <w:rPr>
          <w:rFonts w:ascii="SimSun" w:eastAsia="SimSun" w:hAnsi="SimSun" w:cs="SimSun"/>
          <w:spacing w:val="-3"/>
          <w:sz w:val="21"/>
          <w:szCs w:val="21"/>
        </w:rPr>
        <w:t>备缺陷的发生，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对设备的有关性能进行符合性评价。设备的检验、检测任务至少包括：</w:t>
      </w:r>
    </w:p>
    <w:p>
      <w:pPr>
        <w:spacing w:before="25" w:line="213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 xml:space="preserve">a)    </w:t>
      </w:r>
      <w:r>
        <w:rPr>
          <w:rFonts w:ascii="SimSun" w:eastAsia="SimSun" w:hAnsi="SimSun" w:cs="SimSun"/>
          <w:sz w:val="21"/>
          <w:szCs w:val="21"/>
        </w:rPr>
        <w:t>静设备专业：特种设备法定检验和定期检查、在线腐蚀监测、定点测厚、</w:t>
      </w:r>
      <w:r>
        <w:rPr>
          <w:rFonts w:ascii="Times New Roman" w:eastAsia="Times New Roman" w:hAnsi="Times New Roman" w:cs="Times New Roman"/>
          <w:sz w:val="21"/>
          <w:szCs w:val="21"/>
        </w:rPr>
        <w:t>RBI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检验等；</w:t>
      </w:r>
    </w:p>
    <w:p>
      <w:pPr>
        <w:spacing w:before="27" w:line="231" w:lineRule="auto"/>
        <w:ind w:left="14" w:right="53" w:firstLine="40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b)    </w:t>
      </w:r>
      <w:r>
        <w:rPr>
          <w:rFonts w:ascii="SimSun" w:eastAsia="SimSun" w:hAnsi="SimSun" w:cs="SimSun"/>
          <w:spacing w:val="2"/>
          <w:sz w:val="21"/>
          <w:szCs w:val="21"/>
        </w:rPr>
        <w:t>转动设备专业：试车检查、润滑油定期检验、机泵运行状</w:t>
      </w:r>
      <w:r>
        <w:rPr>
          <w:rFonts w:ascii="SimSun" w:eastAsia="SimSun" w:hAnsi="SimSun" w:cs="SimSun"/>
          <w:spacing w:val="1"/>
          <w:sz w:val="21"/>
          <w:szCs w:val="21"/>
        </w:rPr>
        <w:t>态监测、大型机组状态监测与故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障诊断、冬季防冻防凝检查等；</w:t>
      </w:r>
    </w:p>
    <w:p>
      <w:pPr>
        <w:spacing w:before="21" w:line="213" w:lineRule="auto"/>
        <w:ind w:left="427"/>
        <w:rPr>
          <w:rFonts w:ascii="SimSun" w:eastAsia="SimSun" w:hAnsi="SimSun" w:cs="SimSun"/>
          <w:sz w:val="21"/>
          <w:szCs w:val="21"/>
        </w:rPr>
        <w:sectPr>
          <w:headerReference w:type="default" r:id="rId53"/>
          <w:footerReference w:type="default" r:id="rId54"/>
          <w:pgSz w:w="11907" w:h="16841"/>
          <w:pgMar w:top="1348" w:right="1356" w:bottom="1259" w:left="1424" w:header="1133" w:footer="1098" w:gutter="0"/>
          <w:pgNumType w:start="23"/>
          <w:cols w:space="708"/>
        </w:sect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c)     </w:t>
      </w:r>
      <w:r>
        <w:rPr>
          <w:rFonts w:ascii="SimSun" w:eastAsia="SimSun" w:hAnsi="SimSun" w:cs="SimSun"/>
          <w:spacing w:val="-3"/>
          <w:sz w:val="21"/>
          <w:szCs w:val="21"/>
        </w:rPr>
        <w:t>电气专业： 电机的状态监测、设备放电检测、防雷防静电检测、电气设备绝缘</w:t>
      </w:r>
      <w:r>
        <w:rPr>
          <w:rFonts w:ascii="SimSun" w:eastAsia="SimSun" w:hAnsi="SimSun" w:cs="SimSun"/>
          <w:spacing w:val="-4"/>
          <w:sz w:val="21"/>
          <w:szCs w:val="21"/>
        </w:rPr>
        <w:t>检测等；</w:t>
      </w:r>
    </w:p>
    <w:p>
      <w:pPr>
        <w:spacing w:before="30" w:line="233" w:lineRule="auto"/>
        <w:ind w:left="4" w:right="53" w:firstLine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d)    </w:t>
      </w:r>
      <w:r>
        <w:rPr>
          <w:rFonts w:ascii="SimSun" w:eastAsia="SimSun" w:hAnsi="SimSun" w:cs="SimSun"/>
          <w:spacing w:val="2"/>
          <w:sz w:val="21"/>
          <w:szCs w:val="21"/>
        </w:rPr>
        <w:t>仪表专业：仪表设备红外检测，仪表系统</w:t>
      </w:r>
      <w:r>
        <w:rPr>
          <w:rFonts w:ascii="SimSun" w:eastAsia="SimSun" w:hAnsi="SimSun" w:cs="SimSun"/>
          <w:spacing w:val="1"/>
          <w:sz w:val="21"/>
          <w:szCs w:val="21"/>
        </w:rPr>
        <w:t>接地检测，仪表电源系统检测，可燃、有毒报警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器定期检定，可燃有毒报警仪零点检测，分析仪表定期校验，控制仪表系统功能</w:t>
      </w:r>
      <w:r>
        <w:rPr>
          <w:rFonts w:ascii="SimSun" w:eastAsia="SimSun" w:hAnsi="SimSun" w:cs="SimSun"/>
          <w:sz w:val="21"/>
          <w:szCs w:val="21"/>
        </w:rPr>
        <w:t xml:space="preserve">测试，安全仪表系 </w:t>
      </w:r>
      <w:r>
        <w:rPr>
          <w:rFonts w:ascii="SimSun" w:eastAsia="SimSun" w:hAnsi="SimSun" w:cs="SimSun"/>
          <w:spacing w:val="-2"/>
          <w:sz w:val="21"/>
          <w:szCs w:val="21"/>
        </w:rPr>
        <w:t>统（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SIS</w:t>
      </w:r>
      <w:r>
        <w:rPr>
          <w:rFonts w:ascii="SimSun" w:eastAsia="SimSun" w:hAnsi="SimSun" w:cs="SimSun"/>
          <w:spacing w:val="-2"/>
          <w:sz w:val="21"/>
          <w:szCs w:val="21"/>
        </w:rPr>
        <w:t>）的安全仪表功能（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SIF</w:t>
      </w:r>
      <w:r>
        <w:rPr>
          <w:rFonts w:ascii="SimSun" w:eastAsia="SimSun" w:hAnsi="SimSun" w:cs="SimSun"/>
          <w:spacing w:val="-2"/>
          <w:sz w:val="21"/>
          <w:szCs w:val="21"/>
        </w:rPr>
        <w:t>）的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SIL </w:t>
      </w:r>
      <w:r>
        <w:rPr>
          <w:rFonts w:ascii="SimSun" w:eastAsia="SimSun" w:hAnsi="SimSun" w:cs="SimSun"/>
          <w:spacing w:val="-2"/>
          <w:sz w:val="21"/>
          <w:szCs w:val="21"/>
        </w:rPr>
        <w:t>评估、定级、验证等；</w:t>
      </w:r>
    </w:p>
    <w:p>
      <w:pPr>
        <w:pStyle w:val="BodyText"/>
        <w:spacing w:before="21" w:line="222" w:lineRule="auto"/>
        <w:ind w:left="1"/>
      </w:pPr>
      <w:r>
        <w:rPr>
          <w:spacing w:val="-1"/>
        </w:rPr>
        <w:t>8.4.3</w:t>
      </w:r>
      <w:r>
        <w:rPr>
          <w:spacing w:val="-1"/>
        </w:rPr>
        <w:t xml:space="preserve"> </w:t>
      </w:r>
      <w:r>
        <w:rPr>
          <w:spacing w:val="-1"/>
        </w:rPr>
        <w:t>预防性维修</w:t>
      </w:r>
    </w:p>
    <w:p>
      <w:pPr>
        <w:spacing w:before="21" w:line="229" w:lineRule="auto"/>
        <w:ind w:left="4" w:right="62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 xml:space="preserve">预防性维修应在可靠性分析的基础上进行，避免设备过修和失修。企业应根据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ITPM</w:t>
      </w:r>
      <w:r>
        <w:rPr>
          <w:rFonts w:ascii="Times New Roman" w:eastAsia="Times New Roman" w:hAnsi="Times New Roman" w:cs="Times New Roman"/>
          <w:spacing w:val="40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计划、状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态监检测预警、风险评估结果等，制定并实施设备预防性维修任务，至少包括：</w:t>
      </w:r>
    </w:p>
    <w:p>
      <w:pPr>
        <w:spacing w:before="25" w:line="229" w:lineRule="auto"/>
        <w:ind w:left="4" w:right="58" w:firstLine="42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a)     </w:t>
      </w:r>
      <w:r>
        <w:rPr>
          <w:rFonts w:ascii="SimSun" w:eastAsia="SimSun" w:hAnsi="SimSun" w:cs="SimSun"/>
          <w:spacing w:val="-2"/>
          <w:sz w:val="21"/>
          <w:szCs w:val="21"/>
        </w:rPr>
        <w:t>静设备专业：压力容器、压力管道、常压储罐、加热炉预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防性维修，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RBI  </w:t>
      </w:r>
      <w:r>
        <w:rPr>
          <w:rFonts w:ascii="SimSun" w:eastAsia="SimSun" w:hAnsi="SimSun" w:cs="SimSun"/>
          <w:spacing w:val="-3"/>
          <w:sz w:val="21"/>
          <w:szCs w:val="21"/>
        </w:rPr>
        <w:t>风险策略、腐蚀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监检测技术所确定的预防性维修等；</w:t>
      </w:r>
    </w:p>
    <w:p>
      <w:pPr>
        <w:spacing w:before="24" w:line="229" w:lineRule="auto"/>
        <w:ind w:left="4" w:right="53" w:firstLine="4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b)    </w:t>
      </w:r>
      <w:r>
        <w:rPr>
          <w:rFonts w:ascii="SimSun" w:eastAsia="SimSun" w:hAnsi="SimSun" w:cs="SimSun"/>
          <w:spacing w:val="2"/>
          <w:sz w:val="21"/>
          <w:szCs w:val="21"/>
        </w:rPr>
        <w:t>转动设备专业：大型机组、机泵预防性维修，特级维护、</w:t>
      </w:r>
      <w:r>
        <w:rPr>
          <w:rFonts w:ascii="SimSun" w:eastAsia="SimSun" w:hAnsi="SimSun" w:cs="SimSun"/>
          <w:spacing w:val="1"/>
          <w:sz w:val="21"/>
          <w:szCs w:val="21"/>
        </w:rPr>
        <w:t>润滑油定期更换、转动设备定期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盘车及状态监测分析所确定的预防性维修等；</w:t>
      </w:r>
    </w:p>
    <w:p>
      <w:pPr>
        <w:spacing w:before="24" w:line="229" w:lineRule="auto"/>
        <w:ind w:left="9" w:right="53" w:firstLine="4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c)     </w:t>
      </w:r>
      <w:r>
        <w:rPr>
          <w:rFonts w:ascii="SimSun" w:eastAsia="SimSun" w:hAnsi="SimSun" w:cs="SimSun"/>
          <w:spacing w:val="1"/>
          <w:sz w:val="21"/>
          <w:szCs w:val="21"/>
        </w:rPr>
        <w:t>电气专业：电气设备、电动机预防性维修，电机</w:t>
      </w:r>
      <w:r>
        <w:rPr>
          <w:rFonts w:ascii="SimSun" w:eastAsia="SimSun" w:hAnsi="SimSun" w:cs="SimSun"/>
          <w:sz w:val="21"/>
          <w:szCs w:val="21"/>
        </w:rPr>
        <w:t xml:space="preserve">测温测振监测、电气设备监测系统等所确 </w:t>
      </w:r>
      <w:r>
        <w:rPr>
          <w:rFonts w:ascii="SimSun" w:eastAsia="SimSun" w:hAnsi="SimSun" w:cs="SimSun"/>
          <w:spacing w:val="-2"/>
          <w:sz w:val="21"/>
          <w:szCs w:val="21"/>
        </w:rPr>
        <w:t>定的预防性维修；</w:t>
      </w:r>
    </w:p>
    <w:p>
      <w:pPr>
        <w:spacing w:line="229" w:lineRule="auto"/>
        <w:rPr>
          <w:rFonts w:ascii="SimSun" w:eastAsia="SimSun" w:hAnsi="SimSun" w:cs="SimSun"/>
          <w:sz w:val="21"/>
          <w:szCs w:val="21"/>
        </w:rPr>
        <w:sectPr>
          <w:headerReference w:type="default" r:id="rId55"/>
          <w:footerReference w:type="default" r:id="rId56"/>
          <w:type w:val="nextPage"/>
          <w:pgSz w:w="11907" w:h="16841"/>
          <w:pgMar w:top="1348" w:right="1356" w:bottom="1259" w:left="1424" w:header="1133" w:footer="1098" w:gutter="0"/>
          <w:pgNumType w:start="24"/>
          <w:cols w:space="708"/>
          <w:titlePg w:val="0"/>
        </w:sectPr>
      </w:pPr>
    </w:p>
    <w:p>
      <w:pPr>
        <w:spacing w:before="58" w:line="231" w:lineRule="auto"/>
        <w:ind w:left="3" w:right="74" w:firstLine="41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d)    </w:t>
      </w:r>
      <w:r>
        <w:rPr>
          <w:rFonts w:ascii="SimSun" w:eastAsia="SimSun" w:hAnsi="SimSun" w:cs="SimSun"/>
          <w:spacing w:val="-3"/>
          <w:sz w:val="21"/>
          <w:szCs w:val="21"/>
        </w:rPr>
        <w:t>仪表专业：</w:t>
      </w:r>
      <w:r>
        <w:rPr>
          <w:rFonts w:ascii="SimSun" w:eastAsia="SimSun" w:hAnsi="SimSun" w:cs="SimSun"/>
          <w:spacing w:val="-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过程控制系统、控制阀、仪表风过滤装置预防性维修，</w:t>
      </w:r>
      <w:r>
        <w:rPr>
          <w:rFonts w:ascii="SimSun" w:eastAsia="SimSun" w:hAnsi="SimSun" w:cs="SimSun"/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DCS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涉及的联锁状态监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测、联锁仪表报警监测、仪表设备监测系统所确定的预防性维修。</w:t>
      </w:r>
    </w:p>
    <w:p>
      <w:pPr>
        <w:pStyle w:val="BodyText"/>
        <w:spacing w:before="19" w:line="223" w:lineRule="auto"/>
      </w:pPr>
      <w:r>
        <w:rPr>
          <w:spacing w:val="-5"/>
        </w:rPr>
        <w:t>8.4.4</w:t>
      </w:r>
      <w:r>
        <w:rPr>
          <w:spacing w:val="50"/>
        </w:rPr>
        <w:t xml:space="preserve"> </w:t>
      </w:r>
      <w:r>
        <w:rPr>
          <w:spacing w:val="-5"/>
        </w:rPr>
        <w:t>ITPM</w:t>
      </w:r>
      <w:r>
        <w:rPr>
          <w:spacing w:val="-43"/>
        </w:rPr>
        <w:t xml:space="preserve"> </w:t>
      </w:r>
      <w:r>
        <w:rPr>
          <w:spacing w:val="-5"/>
        </w:rPr>
        <w:t>工作策略</w:t>
      </w:r>
    </w:p>
    <w:p>
      <w:pPr>
        <w:spacing w:before="20" w:line="233" w:lineRule="auto"/>
        <w:ind w:left="2" w:right="74" w:firstLine="424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企业实施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ITPM</w:t>
      </w:r>
      <w:r>
        <w:rPr>
          <w:rFonts w:ascii="SimSun" w:eastAsia="SimSun" w:hAnsi="SimSun" w:cs="SimSun"/>
          <w:spacing w:val="-3"/>
          <w:sz w:val="21"/>
          <w:szCs w:val="21"/>
        </w:rPr>
        <w:t>，应根据设备分类制定不同专业的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ITPM </w:t>
      </w:r>
      <w:r>
        <w:rPr>
          <w:rFonts w:ascii="SimSun" w:eastAsia="SimSun" w:hAnsi="SimSun" w:cs="SimSun"/>
          <w:spacing w:val="-3"/>
          <w:sz w:val="21"/>
          <w:szCs w:val="21"/>
        </w:rPr>
        <w:t>工作策略，</w:t>
      </w:r>
      <w:r>
        <w:rPr>
          <w:rFonts w:ascii="SimSun" w:eastAsia="SimSun" w:hAnsi="SimSun" w:cs="SimSun"/>
          <w:spacing w:val="-5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根据设备的风险和可靠</w:t>
      </w:r>
      <w:r>
        <w:rPr>
          <w:rFonts w:ascii="SimSun" w:eastAsia="SimSun" w:hAnsi="SimSun" w:cs="SimSun"/>
          <w:spacing w:val="-4"/>
          <w:sz w:val="21"/>
          <w:szCs w:val="21"/>
        </w:rPr>
        <w:t>性排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序设置适当的检验和检测措施，设置适当的周期对检验和检</w:t>
      </w:r>
      <w:r>
        <w:rPr>
          <w:rFonts w:ascii="SimSun" w:eastAsia="SimSun" w:hAnsi="SimSun" w:cs="SimSun"/>
          <w:sz w:val="21"/>
          <w:szCs w:val="21"/>
        </w:rPr>
        <w:t xml:space="preserve">测结果进行评价，识别预期故障，并开 </w:t>
      </w:r>
      <w:r>
        <w:rPr>
          <w:rFonts w:ascii="SimSun" w:eastAsia="SimSun" w:hAnsi="SimSun" w:cs="SimSun"/>
          <w:spacing w:val="-1"/>
          <w:sz w:val="21"/>
          <w:szCs w:val="21"/>
        </w:rPr>
        <w:t>展跟踪监测和预防性维修。</w:t>
      </w:r>
    </w:p>
    <w:p>
      <w:pPr>
        <w:pStyle w:val="BodyText"/>
        <w:spacing w:before="19" w:line="223" w:lineRule="auto"/>
      </w:pPr>
      <w:r>
        <w:rPr>
          <w:spacing w:val="-5"/>
        </w:rPr>
        <w:t>8.4.5</w:t>
      </w:r>
      <w:r>
        <w:rPr>
          <w:spacing w:val="50"/>
        </w:rPr>
        <w:t xml:space="preserve"> </w:t>
      </w:r>
      <w:r>
        <w:rPr>
          <w:spacing w:val="-5"/>
        </w:rPr>
        <w:t>ITPM</w:t>
      </w:r>
      <w:r>
        <w:rPr>
          <w:spacing w:val="-43"/>
        </w:rPr>
        <w:t xml:space="preserve"> </w:t>
      </w:r>
      <w:r>
        <w:rPr>
          <w:spacing w:val="-5"/>
        </w:rPr>
        <w:t>工作计划</w:t>
      </w:r>
    </w:p>
    <w:p>
      <w:pPr>
        <w:spacing w:before="21" w:line="229" w:lineRule="auto"/>
        <w:ind w:left="4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企业应依据</w:t>
      </w:r>
      <w:r>
        <w:rPr>
          <w:rFonts w:ascii="Arial" w:eastAsia="Arial" w:hAnsi="Arial" w:cs="Arial"/>
          <w:spacing w:val="-3"/>
          <w:sz w:val="21"/>
          <w:szCs w:val="21"/>
        </w:rPr>
        <w:t>ITPM</w:t>
      </w:r>
      <w:r>
        <w:rPr>
          <w:rFonts w:ascii="SimSun" w:eastAsia="SimSun" w:hAnsi="SimSun" w:cs="SimSun"/>
          <w:spacing w:val="-3"/>
          <w:sz w:val="21"/>
          <w:szCs w:val="21"/>
        </w:rPr>
        <w:t>工作策略，组织制定</w:t>
      </w:r>
      <w:r>
        <w:rPr>
          <w:rFonts w:ascii="Arial" w:eastAsia="Arial" w:hAnsi="Arial" w:cs="Arial"/>
          <w:spacing w:val="-3"/>
          <w:sz w:val="21"/>
          <w:szCs w:val="21"/>
        </w:rPr>
        <w:t>ITPM</w:t>
      </w:r>
      <w:r>
        <w:rPr>
          <w:rFonts w:ascii="SimSun" w:eastAsia="SimSun" w:hAnsi="SimSun" w:cs="SimSun"/>
          <w:spacing w:val="-3"/>
          <w:sz w:val="21"/>
          <w:szCs w:val="21"/>
        </w:rPr>
        <w:t>工作计划。</w:t>
      </w:r>
      <w:r>
        <w:rPr>
          <w:rFonts w:ascii="Arial" w:eastAsia="Arial" w:hAnsi="Arial" w:cs="Arial"/>
          <w:spacing w:val="-3"/>
          <w:sz w:val="21"/>
          <w:szCs w:val="21"/>
        </w:rPr>
        <w:t>ITPM</w:t>
      </w:r>
      <w:r>
        <w:rPr>
          <w:rFonts w:ascii="SimSun" w:eastAsia="SimSun" w:hAnsi="SimSun" w:cs="SimSun"/>
          <w:spacing w:val="-3"/>
          <w:sz w:val="21"/>
          <w:szCs w:val="21"/>
        </w:rPr>
        <w:t>工作计划包括设备类型、任务内容、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数量、工作频率、验收标准、时间进度及责任部门</w:t>
      </w:r>
      <w:r>
        <w:rPr>
          <w:rFonts w:ascii="SimSun" w:eastAsia="SimSun" w:hAnsi="SimSun" w:cs="SimSun"/>
          <w:spacing w:val="-1"/>
          <w:sz w:val="21"/>
          <w:szCs w:val="21"/>
        </w:rPr>
        <w:t>等。参见附录</w:t>
      </w:r>
      <w:r>
        <w:rPr>
          <w:rFonts w:ascii="Arial" w:eastAsia="Arial" w:hAnsi="Arial" w:cs="Arial"/>
          <w:spacing w:val="-1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pStyle w:val="BodyText"/>
        <w:spacing w:before="20" w:line="223" w:lineRule="auto"/>
      </w:pPr>
      <w:r>
        <w:rPr>
          <w:spacing w:val="-5"/>
        </w:rPr>
        <w:t>8.4.6</w:t>
      </w:r>
      <w:r>
        <w:rPr>
          <w:spacing w:val="51"/>
        </w:rPr>
        <w:t xml:space="preserve"> </w:t>
      </w:r>
      <w:r>
        <w:rPr>
          <w:spacing w:val="-5"/>
        </w:rPr>
        <w:t>ITPM</w:t>
      </w:r>
      <w:r>
        <w:rPr>
          <w:spacing w:val="-38"/>
        </w:rPr>
        <w:t xml:space="preserve"> </w:t>
      </w:r>
      <w:r>
        <w:rPr>
          <w:spacing w:val="-5"/>
        </w:rPr>
        <w:t>实施和跟踪</w:t>
      </w:r>
    </w:p>
    <w:p>
      <w:pPr>
        <w:spacing w:before="20" w:line="229" w:lineRule="auto"/>
        <w:ind w:left="4" w:right="79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企业应根据</w:t>
      </w:r>
      <w:r>
        <w:rPr>
          <w:rFonts w:ascii="Arial" w:eastAsia="Arial" w:hAnsi="Arial" w:cs="Arial"/>
          <w:spacing w:val="-1"/>
          <w:sz w:val="21"/>
          <w:szCs w:val="21"/>
        </w:rPr>
        <w:t>ITPM</w:t>
      </w:r>
      <w:r>
        <w:rPr>
          <w:rFonts w:ascii="SimSun" w:eastAsia="SimSun" w:hAnsi="SimSun" w:cs="SimSun"/>
          <w:spacing w:val="-1"/>
          <w:sz w:val="21"/>
          <w:szCs w:val="21"/>
        </w:rPr>
        <w:t>工作计划， 组织相关人员在日常巡检、运行维护、停工检修期间执行</w:t>
      </w:r>
      <w:r>
        <w:rPr>
          <w:rFonts w:ascii="Arial" w:eastAsia="Arial" w:hAnsi="Arial" w:cs="Arial"/>
          <w:spacing w:val="-1"/>
          <w:sz w:val="21"/>
          <w:szCs w:val="21"/>
        </w:rPr>
        <w:t>ITPM</w:t>
      </w:r>
      <w:r>
        <w:rPr>
          <w:rFonts w:ascii="SimSun" w:eastAsia="SimSun" w:hAnsi="SimSun" w:cs="SimSun"/>
          <w:spacing w:val="-1"/>
          <w:sz w:val="21"/>
          <w:szCs w:val="21"/>
        </w:rPr>
        <w:t>任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务，并对执行情况进行跟踪。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对于延期工作计划， 企业应严格评估并妥善处理。</w:t>
      </w:r>
    </w:p>
    <w:p>
      <w:pPr>
        <w:pStyle w:val="BodyText"/>
        <w:spacing w:before="144" w:line="223" w:lineRule="auto"/>
      </w:pPr>
      <w:r>
        <w:rPr>
          <w:spacing w:val="-1"/>
        </w:rPr>
        <w:t>8.5</w:t>
      </w:r>
      <w:r>
        <w:rPr>
          <w:spacing w:val="-1"/>
        </w:rPr>
        <w:t xml:space="preserve"> </w:t>
      </w:r>
      <w:r>
        <w:rPr>
          <w:spacing w:val="-1"/>
        </w:rPr>
        <w:t>设备运行环境管理</w:t>
      </w:r>
    </w:p>
    <w:p>
      <w:pPr>
        <w:pStyle w:val="BodyText"/>
        <w:spacing w:before="138" w:line="223" w:lineRule="auto"/>
      </w:pPr>
      <w:r>
        <w:rPr>
          <w:spacing w:val="-2"/>
        </w:rPr>
        <w:t>8.5.1</w:t>
      </w:r>
      <w:r>
        <w:rPr>
          <w:spacing w:val="16"/>
        </w:rPr>
        <w:t xml:space="preserve"> </w:t>
      </w:r>
      <w:r>
        <w:rPr>
          <w:spacing w:val="-2"/>
        </w:rPr>
        <w:t>总则</w:t>
      </w:r>
    </w:p>
    <w:p>
      <w:pPr>
        <w:spacing w:before="20" w:line="233" w:lineRule="auto"/>
        <w:ind w:left="3" w:right="77" w:firstLine="422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企业应对设备使用维护阶段的运行环境进行分析，</w:t>
      </w:r>
      <w:r>
        <w:rPr>
          <w:rFonts w:ascii="SimSun" w:eastAsia="SimSun" w:hAnsi="SimSun" w:cs="SimSun"/>
          <w:spacing w:val="5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针对影响设备安全运行的介</w:t>
      </w:r>
      <w:r>
        <w:rPr>
          <w:rFonts w:ascii="SimSun" w:eastAsia="SimSun" w:hAnsi="SimSun" w:cs="SimSun"/>
          <w:spacing w:val="-4"/>
          <w:sz w:val="21"/>
          <w:szCs w:val="21"/>
        </w:rPr>
        <w:t>质特性、工艺参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数和运行状态等环境因素实施监控，制定设备运行环境管理要求，及时优化调</w:t>
      </w:r>
      <w:r>
        <w:rPr>
          <w:rFonts w:ascii="SimSun" w:eastAsia="SimSun" w:hAnsi="SimSun" w:cs="SimSun"/>
          <w:sz w:val="21"/>
          <w:szCs w:val="21"/>
        </w:rPr>
        <w:t xml:space="preserve">整设备运行环境，确 </w:t>
      </w:r>
      <w:r>
        <w:rPr>
          <w:rFonts w:ascii="SimSun" w:eastAsia="SimSun" w:hAnsi="SimSun" w:cs="SimSun"/>
          <w:spacing w:val="-2"/>
          <w:sz w:val="21"/>
          <w:szCs w:val="21"/>
        </w:rPr>
        <w:t>保设备处于良好的运行环境。</w:t>
      </w:r>
    </w:p>
    <w:p>
      <w:pPr>
        <w:pStyle w:val="BodyText"/>
        <w:spacing w:before="20" w:line="223" w:lineRule="auto"/>
      </w:pPr>
      <w:r>
        <w:rPr>
          <w:spacing w:val="-1"/>
        </w:rPr>
        <w:t>8.5.2</w:t>
      </w:r>
      <w:r>
        <w:rPr>
          <w:spacing w:val="-1"/>
        </w:rPr>
        <w:t xml:space="preserve"> </w:t>
      </w:r>
      <w:r>
        <w:rPr>
          <w:spacing w:val="-1"/>
        </w:rPr>
        <w:t>物料介质特性</w:t>
      </w:r>
    </w:p>
    <w:p>
      <w:pPr>
        <w:spacing w:before="21" w:line="229" w:lineRule="auto"/>
        <w:ind w:left="3" w:right="79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企业应对设备运行过程中接触的物料介质特性进行分析，避免物料</w:t>
      </w:r>
      <w:r>
        <w:rPr>
          <w:rFonts w:ascii="SimSun" w:eastAsia="SimSun" w:hAnsi="SimSun" w:cs="SimSun"/>
          <w:sz w:val="21"/>
          <w:szCs w:val="21"/>
        </w:rPr>
        <w:t xml:space="preserve">介质偏离设计工况导致设备 </w:t>
      </w:r>
      <w:r>
        <w:rPr>
          <w:rFonts w:ascii="SimSun" w:eastAsia="SimSun" w:hAnsi="SimSun" w:cs="SimSun"/>
          <w:spacing w:val="-1"/>
          <w:sz w:val="21"/>
          <w:szCs w:val="21"/>
        </w:rPr>
        <w:t>严重腐蚀、堵塞、结焦、结垢等，影响设备安全运行。</w:t>
      </w:r>
    </w:p>
    <w:p>
      <w:pPr>
        <w:pStyle w:val="BodyText"/>
        <w:spacing w:before="23" w:line="223" w:lineRule="auto"/>
      </w:pPr>
      <w:r>
        <w:rPr>
          <w:spacing w:val="-1"/>
        </w:rPr>
        <w:t>8.5.3</w:t>
      </w:r>
      <w:r>
        <w:rPr>
          <w:spacing w:val="-1"/>
        </w:rPr>
        <w:t xml:space="preserve"> </w:t>
      </w:r>
      <w:r>
        <w:rPr>
          <w:spacing w:val="-1"/>
        </w:rPr>
        <w:t>工艺操作参数</w:t>
      </w:r>
    </w:p>
    <w:p>
      <w:pPr>
        <w:spacing w:before="16" w:line="231" w:lineRule="auto"/>
        <w:ind w:left="1" w:right="79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企业应对影响设备运行异常的各项工艺参数及时分析，包括温度、</w:t>
      </w:r>
      <w:r>
        <w:rPr>
          <w:rFonts w:ascii="SimSun" w:eastAsia="SimSun" w:hAnsi="SimSun" w:cs="SimSun"/>
          <w:sz w:val="21"/>
          <w:szCs w:val="21"/>
        </w:rPr>
        <w:t xml:space="preserve">压力、流量与负荷等，调整 </w:t>
      </w:r>
      <w:r>
        <w:rPr>
          <w:rFonts w:ascii="SimSun" w:eastAsia="SimSun" w:hAnsi="SimSun" w:cs="SimSun"/>
          <w:spacing w:val="-4"/>
          <w:sz w:val="21"/>
          <w:szCs w:val="21"/>
        </w:rPr>
        <w:t>优化工艺参数，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确保各参数符合设备安全运行条件。</w:t>
      </w:r>
    </w:p>
    <w:p>
      <w:pPr>
        <w:pStyle w:val="BodyText"/>
        <w:spacing w:before="20" w:line="223" w:lineRule="auto"/>
      </w:pPr>
      <w:r>
        <w:rPr>
          <w:spacing w:val="-1"/>
        </w:rPr>
        <w:t>8.5.4</w:t>
      </w:r>
      <w:r>
        <w:rPr>
          <w:spacing w:val="-1"/>
        </w:rPr>
        <w:t xml:space="preserve"> </w:t>
      </w:r>
      <w:r>
        <w:rPr>
          <w:spacing w:val="-1"/>
        </w:rPr>
        <w:t>设备运行状态</w:t>
      </w:r>
    </w:p>
    <w:p>
      <w:pPr>
        <w:spacing w:before="22" w:line="229" w:lineRule="auto"/>
        <w:ind w:left="3" w:right="79" w:firstLine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企业应对设备运行状态实时监控，包括电流、电压、湿度、振动、</w:t>
      </w:r>
      <w:r>
        <w:rPr>
          <w:rFonts w:ascii="SimSun" w:eastAsia="SimSun" w:hAnsi="SimSun" w:cs="SimSun"/>
          <w:sz w:val="21"/>
          <w:szCs w:val="21"/>
        </w:rPr>
        <w:t xml:space="preserve">腐蚀速率等，及时调整或优 </w:t>
      </w:r>
      <w:r>
        <w:rPr>
          <w:rFonts w:ascii="SimSun" w:eastAsia="SimSun" w:hAnsi="SimSun" w:cs="SimSun"/>
          <w:spacing w:val="-3"/>
          <w:sz w:val="21"/>
          <w:szCs w:val="21"/>
        </w:rPr>
        <w:t>化超设计值或超设防值等设备异常运行状态，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使</w:t>
      </w:r>
      <w:r>
        <w:rPr>
          <w:rFonts w:ascii="SimSun" w:eastAsia="SimSun" w:hAnsi="SimSun" w:cs="SimSun"/>
          <w:spacing w:val="-4"/>
          <w:sz w:val="21"/>
          <w:szCs w:val="21"/>
        </w:rPr>
        <w:t>之处于正常运行工况。</w:t>
      </w:r>
    </w:p>
    <w:p>
      <w:pPr>
        <w:pStyle w:val="BodyText"/>
        <w:spacing w:before="142" w:line="223" w:lineRule="auto"/>
      </w:pPr>
      <w:r>
        <w:rPr>
          <w:spacing w:val="-1"/>
        </w:rPr>
        <w:t>8.6</w:t>
      </w:r>
      <w:r>
        <w:rPr>
          <w:spacing w:val="-1"/>
        </w:rPr>
        <w:t xml:space="preserve"> </w:t>
      </w:r>
      <w:r>
        <w:rPr>
          <w:spacing w:val="-1"/>
        </w:rPr>
        <w:t>设备缺陷管理</w:t>
      </w:r>
    </w:p>
    <w:p>
      <w:pPr>
        <w:pStyle w:val="BodyText"/>
        <w:spacing w:before="138" w:line="223" w:lineRule="auto"/>
      </w:pPr>
      <w:r>
        <w:rPr>
          <w:spacing w:val="-2"/>
        </w:rPr>
        <w:t>8.6.1</w:t>
      </w:r>
      <w:r>
        <w:rPr>
          <w:spacing w:val="16"/>
        </w:rPr>
        <w:t xml:space="preserve"> </w:t>
      </w:r>
      <w:r>
        <w:rPr>
          <w:spacing w:val="-2"/>
        </w:rPr>
        <w:t>总则</w:t>
      </w:r>
    </w:p>
    <w:p>
      <w:pPr>
        <w:spacing w:before="19" w:line="229" w:lineRule="auto"/>
        <w:ind w:left="19" w:right="79" w:firstLine="40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企业应建立并保持设备缺陷管理程序，通过对设备的检验、检测、</w:t>
      </w:r>
      <w:r>
        <w:rPr>
          <w:rFonts w:ascii="SimSun" w:eastAsia="SimSun" w:hAnsi="SimSun" w:cs="SimSun"/>
          <w:sz w:val="21"/>
          <w:szCs w:val="21"/>
        </w:rPr>
        <w:t xml:space="preserve">监测和评估，实现设备缺陷 </w:t>
      </w:r>
      <w:r>
        <w:rPr>
          <w:rFonts w:ascii="SimSun" w:eastAsia="SimSun" w:hAnsi="SimSun" w:cs="SimSun"/>
          <w:spacing w:val="-3"/>
          <w:sz w:val="21"/>
          <w:szCs w:val="21"/>
        </w:rPr>
        <w:t>的识别、评价、响应、传达、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消除等闭环管理，确保设备缺陷得到及时正确的处置。</w:t>
      </w:r>
    </w:p>
    <w:p>
      <w:pPr>
        <w:pStyle w:val="BodyText"/>
        <w:spacing w:before="22" w:line="223" w:lineRule="auto"/>
      </w:pPr>
      <w:r>
        <w:rPr>
          <w:spacing w:val="-1"/>
        </w:rPr>
        <w:t>8.6.1</w:t>
      </w:r>
      <w:r>
        <w:rPr>
          <w:spacing w:val="-1"/>
        </w:rPr>
        <w:t xml:space="preserve"> </w:t>
      </w:r>
      <w:r>
        <w:rPr>
          <w:spacing w:val="-1"/>
        </w:rPr>
        <w:t>缺陷识别与评价</w:t>
      </w:r>
    </w:p>
    <w:p>
      <w:pPr>
        <w:spacing w:before="20" w:line="233" w:lineRule="auto"/>
        <w:ind w:left="1" w:right="76" w:firstLine="424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企业应建立缺陷识别与评价标准，依据标准在设备全生命周期各阶</w:t>
      </w:r>
      <w:r>
        <w:rPr>
          <w:rFonts w:ascii="SimSun" w:eastAsia="SimSun" w:hAnsi="SimSun" w:cs="SimSun"/>
          <w:sz w:val="21"/>
          <w:szCs w:val="21"/>
        </w:rPr>
        <w:t xml:space="preserve">段识别、评价设备缺陷，按 </w:t>
      </w:r>
      <w:r>
        <w:rPr>
          <w:rFonts w:ascii="SimSun" w:eastAsia="SimSun" w:hAnsi="SimSun" w:cs="SimSun"/>
          <w:spacing w:val="1"/>
          <w:sz w:val="21"/>
          <w:szCs w:val="21"/>
        </w:rPr>
        <w:t>其对设备完整性影响程度进行分类分级管理。设备缺陷识别主要来源于设备购置、</w:t>
      </w:r>
      <w:r>
        <w:rPr>
          <w:rFonts w:ascii="SimSun" w:eastAsia="SimSun" w:hAnsi="SimSun" w:cs="SimSun"/>
          <w:sz w:val="21"/>
          <w:szCs w:val="21"/>
        </w:rPr>
        <w:t xml:space="preserve">设备制造、安装 </w:t>
      </w:r>
      <w:r>
        <w:rPr>
          <w:rFonts w:ascii="SimSun" w:eastAsia="SimSun" w:hAnsi="SimSun" w:cs="SimSun"/>
          <w:spacing w:val="-2"/>
          <w:sz w:val="21"/>
          <w:szCs w:val="21"/>
        </w:rPr>
        <w:t>验收、在役设备运行维护、修理过程等。</w:t>
      </w:r>
    </w:p>
    <w:p>
      <w:pPr>
        <w:pStyle w:val="BodyText"/>
        <w:spacing w:before="20" w:line="223" w:lineRule="auto"/>
      </w:pPr>
      <w:r>
        <w:rPr>
          <w:spacing w:val="-1"/>
        </w:rPr>
        <w:t>8.6.2</w:t>
      </w:r>
      <w:r>
        <w:rPr>
          <w:spacing w:val="-1"/>
        </w:rPr>
        <w:t xml:space="preserve"> </w:t>
      </w:r>
      <w:r>
        <w:rPr>
          <w:spacing w:val="-1"/>
        </w:rPr>
        <w:t>缺陷响应与传达</w:t>
      </w:r>
    </w:p>
    <w:p>
      <w:pPr>
        <w:spacing w:before="22" w:line="229" w:lineRule="auto"/>
        <w:ind w:left="5" w:right="15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企业应建立缺陷响应程序，根据缺陷对安全</w:t>
      </w:r>
      <w:r>
        <w:rPr>
          <w:rFonts w:ascii="SimSun" w:eastAsia="SimSun" w:hAnsi="SimSun" w:cs="SimSun"/>
          <w:spacing w:val="-4"/>
          <w:sz w:val="21"/>
          <w:szCs w:val="21"/>
        </w:rPr>
        <w:t>、环境、生产、经济损失的影响程度（缺陷等级</w:t>
      </w:r>
      <w:r>
        <w:rPr>
          <w:rFonts w:ascii="SimSun" w:eastAsia="SimSun" w:hAnsi="SimSun" w:cs="SimSun"/>
          <w:spacing w:val="-23"/>
          <w:sz w:val="21"/>
          <w:szCs w:val="21"/>
        </w:rPr>
        <w:t>）</w:t>
      </w:r>
      <w:r>
        <w:rPr>
          <w:rFonts w:ascii="SimSun" w:eastAsia="SimSun" w:hAnsi="SimSun" w:cs="SimSun"/>
          <w:spacing w:val="-3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建立不同等级缺陷的响应办法， 响应办法包括以下内容：</w:t>
      </w:r>
    </w:p>
    <w:p>
      <w:pPr>
        <w:spacing w:before="23" w:line="238" w:lineRule="auto"/>
        <w:ind w:left="422"/>
        <w:rPr>
          <w:rFonts w:ascii="SimSun" w:eastAsia="SimSun" w:hAnsi="SimSun" w:cs="SimSun"/>
          <w:sz w:val="21"/>
          <w:szCs w:val="21"/>
        </w:rPr>
        <w:sectPr>
          <w:headerReference w:type="default" r:id="rId57"/>
          <w:footerReference w:type="default" r:id="rId58"/>
          <w:pgSz w:w="11907" w:h="16841"/>
          <w:pgMar w:top="1348" w:right="1336" w:bottom="1374" w:left="1424" w:header="1133" w:footer="1213" w:gutter="0"/>
          <w:pgNumType w:start="25"/>
          <w:cols w:space="708"/>
        </w:sect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）通报可能受影响的生产单元和其他相关方；</w:t>
      </w:r>
    </w:p>
    <w:p>
      <w:pPr>
        <w:spacing w:line="220" w:lineRule="auto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b</w:t>
      </w:r>
      <w:r>
        <w:rPr>
          <w:rFonts w:ascii="SimSun" w:eastAsia="SimSun" w:hAnsi="SimSun" w:cs="SimSun"/>
          <w:spacing w:val="-5"/>
          <w:sz w:val="21"/>
          <w:szCs w:val="21"/>
        </w:rPr>
        <w:t>）制定（临时）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措施，并通过审批；</w:t>
      </w:r>
    </w:p>
    <w:p>
      <w:pPr>
        <w:spacing w:before="23" w:line="221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）实施和跟踪（临时）措施；</w:t>
      </w:r>
    </w:p>
    <w:p>
      <w:pPr>
        <w:spacing w:before="19" w:line="221" w:lineRule="auto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d</w:t>
      </w:r>
      <w:r>
        <w:rPr>
          <w:rFonts w:ascii="SimSun" w:eastAsia="SimSun" w:hAnsi="SimSun" w:cs="SimSun"/>
          <w:spacing w:val="-6"/>
          <w:sz w:val="21"/>
          <w:szCs w:val="21"/>
        </w:rPr>
        <w:t>）明确（临时）</w:t>
      </w:r>
      <w:r>
        <w:rPr>
          <w:rFonts w:ascii="SimSun" w:eastAsia="SimSun" w:hAnsi="SimSun" w:cs="SimSun"/>
          <w:spacing w:val="-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应急措施的终止条件。</w:t>
      </w:r>
    </w:p>
    <w:p>
      <w:pPr>
        <w:spacing w:before="23" w:line="229" w:lineRule="auto"/>
        <w:ind w:left="2" w:right="86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缺陷响应情况应及时传达给相关部门和人员，包括设备管</w:t>
      </w:r>
      <w:r>
        <w:rPr>
          <w:rFonts w:ascii="SimSun" w:eastAsia="SimSun" w:hAnsi="SimSun" w:cs="SimSun"/>
          <w:sz w:val="21"/>
          <w:szCs w:val="21"/>
        </w:rPr>
        <w:t xml:space="preserve">理人员、操作人员、检维修人员、供 </w:t>
      </w:r>
      <w:r>
        <w:rPr>
          <w:rFonts w:ascii="SimSun" w:eastAsia="SimSun" w:hAnsi="SimSun" w:cs="SimSun"/>
          <w:sz w:val="21"/>
          <w:szCs w:val="21"/>
        </w:rPr>
        <w:t>应商或服务商等。缺陷管理信息应持续传达与沟通，并留存可追</w:t>
      </w:r>
      <w:r>
        <w:rPr>
          <w:rFonts w:ascii="SimSun" w:eastAsia="SimSun" w:hAnsi="SimSun" w:cs="SimSun"/>
          <w:spacing w:val="-1"/>
          <w:sz w:val="21"/>
          <w:szCs w:val="21"/>
        </w:rPr>
        <w:t>溯记录。</w:t>
      </w:r>
    </w:p>
    <w:p>
      <w:pPr>
        <w:pStyle w:val="BodyText"/>
        <w:spacing w:before="23" w:line="223" w:lineRule="auto"/>
      </w:pPr>
      <w:r>
        <w:rPr>
          <w:spacing w:val="-1"/>
        </w:rPr>
        <w:t>8.6.3</w:t>
      </w:r>
      <w:r>
        <w:rPr>
          <w:spacing w:val="-1"/>
        </w:rPr>
        <w:t xml:space="preserve"> </w:t>
      </w:r>
      <w:r>
        <w:rPr>
          <w:spacing w:val="-1"/>
        </w:rPr>
        <w:t>缺陷消除</w:t>
      </w:r>
    </w:p>
    <w:p>
      <w:pPr>
        <w:spacing w:before="17" w:line="236" w:lineRule="auto"/>
        <w:ind w:left="1" w:right="76" w:firstLine="424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企业应根据法律法规、标准规范，开展失效分析</w:t>
      </w:r>
      <w:r>
        <w:rPr>
          <w:rFonts w:ascii="SimSun" w:eastAsia="SimSun" w:hAnsi="SimSun" w:cs="SimSun"/>
          <w:sz w:val="21"/>
          <w:szCs w:val="21"/>
        </w:rPr>
        <w:t xml:space="preserve">、合于使用评价，通过修复、更换、技术改造 </w:t>
      </w:r>
      <w:r>
        <w:rPr>
          <w:rFonts w:ascii="SimSun" w:eastAsia="SimSun" w:hAnsi="SimSun" w:cs="SimSun"/>
          <w:spacing w:val="1"/>
          <w:sz w:val="21"/>
          <w:szCs w:val="21"/>
        </w:rPr>
        <w:t>等措施对设备缺陷进行处置，消除设备缺陷，并对处置结果进行确认。针对临时措</w:t>
      </w:r>
      <w:r>
        <w:rPr>
          <w:rFonts w:ascii="SimSun" w:eastAsia="SimSun" w:hAnsi="SimSun" w:cs="SimSun"/>
          <w:sz w:val="21"/>
          <w:szCs w:val="21"/>
        </w:rPr>
        <w:t xml:space="preserve">施，利用停工检 </w:t>
      </w:r>
      <w:r>
        <w:rPr>
          <w:rFonts w:ascii="SimSun" w:eastAsia="SimSun" w:hAnsi="SimSun" w:cs="SimSun"/>
          <w:spacing w:val="1"/>
          <w:sz w:val="21"/>
          <w:szCs w:val="21"/>
        </w:rPr>
        <w:t>修或计划外停工等机会进行彻底消除。企业应组织分析缺陷产</w:t>
      </w:r>
      <w:r>
        <w:rPr>
          <w:rFonts w:ascii="SimSun" w:eastAsia="SimSun" w:hAnsi="SimSun" w:cs="SimSun"/>
          <w:sz w:val="21"/>
          <w:szCs w:val="21"/>
        </w:rPr>
        <w:t xml:space="preserve">生的根本原因，并消除缺陷产生的根 </w:t>
      </w:r>
      <w:r>
        <w:rPr>
          <w:rFonts w:ascii="SimSun" w:eastAsia="SimSun" w:hAnsi="SimSun" w:cs="SimSun"/>
          <w:spacing w:val="-10"/>
          <w:sz w:val="21"/>
          <w:szCs w:val="21"/>
        </w:rPr>
        <w:t>源。</w:t>
      </w:r>
    </w:p>
    <w:p>
      <w:pPr>
        <w:spacing w:line="236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https://d.book118.com/856202143211010032</w:t>
        </w:r>
      </w:hyperlink>
    </w:p>
    <w:p>
      <w:pPr>
        <w:spacing w:line="236" w:lineRule="auto"/>
        <w:rPr>
          <w:rFonts w:ascii="SimSun" w:eastAsia="SimSun" w:hAnsi="SimSun" w:cs="SimSun"/>
          <w:sz w:val="21"/>
          <w:szCs w:val="21"/>
        </w:rPr>
      </w:pPr>
    </w:p>
    <w:sectPr>
      <w:headerReference w:type="default" r:id="rId60"/>
      <w:footerReference w:type="default" r:id="rId61"/>
      <w:type w:val="nextPage"/>
      <w:pgSz w:w="11907" w:h="16841"/>
      <w:pgMar w:top="1348" w:right="1336" w:bottom="1374" w:left="1424" w:header="1133" w:footer="1213" w:gutter="0"/>
      <w:pgNumType w:start="2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78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78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7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77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0067CF"/>
        <w:sz w:val="14"/>
        <w:szCs w:val="14"/>
      </w:rPr>
      <w:t>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877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877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8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8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877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877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7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877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10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78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78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0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0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3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3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1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1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308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308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0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0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3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3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0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7180"/>
      <w:rPr>
        <w:rFonts w:ascii="Times New Roman" w:eastAsia="Times New Roman" w:hAnsi="Times New Roman" w:cs="Times New Roman"/>
      </w:rPr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—2024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2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9" w:lineRule="auto"/>
      <w:ind w:left="212"/>
    </w:pPr>
    <w:r>
      <w:rPr>
        <w:spacing w:val="-1"/>
      </w:rPr>
      <w:t>GB/T</w:t>
    </w:r>
    <w:r>
      <w:rPr>
        <w:spacing w:val="-1"/>
      </w:rPr>
      <w:t xml:space="preserve"> </w:t>
    </w:r>
    <w:r>
      <w:rPr>
        <w:spacing w:val="-1"/>
      </w:rPr>
      <w:t>XXXXX</w:t>
    </w:r>
    <w:r>
      <w:rPr>
        <w:rFonts w:ascii="Times New Roman" w:eastAsia="Times New Roman" w:hAnsi="Times New Roman" w:cs="Times New Roman"/>
        <w:spacing w:val="-1"/>
      </w:rPr>
      <w:t>—</w:t>
    </w:r>
    <w:r>
      <w:rPr>
        <w:spacing w:val="-1"/>
      </w:rPr>
      <w:t>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1.jpe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14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yperlink" Target="8.3.2.1" TargetMode="Externa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yperlink" Target="8.3.2.2" TargetMode="External" /><Relationship Id="rId49" Type="http://schemas.openxmlformats.org/officeDocument/2006/relationships/hyperlink" Target="8.3.2.3" TargetMode="External" /><Relationship Id="rId5" Type="http://schemas.openxmlformats.org/officeDocument/2006/relationships/footer" Target="footer1.xml" /><Relationship Id="rId50" Type="http://schemas.openxmlformats.org/officeDocument/2006/relationships/hyperlink" Target="8.3.2.4" TargetMode="External" /><Relationship Id="rId51" Type="http://schemas.openxmlformats.org/officeDocument/2006/relationships/header" Target="header22.xml" /><Relationship Id="rId52" Type="http://schemas.openxmlformats.org/officeDocument/2006/relationships/footer" Target="footer22.xml" /><Relationship Id="rId53" Type="http://schemas.openxmlformats.org/officeDocument/2006/relationships/header" Target="header23.xml" /><Relationship Id="rId54" Type="http://schemas.openxmlformats.org/officeDocument/2006/relationships/footer" Target="footer23.xml" /><Relationship Id="rId55" Type="http://schemas.openxmlformats.org/officeDocument/2006/relationships/header" Target="header24.xml" /><Relationship Id="rId56" Type="http://schemas.openxmlformats.org/officeDocument/2006/relationships/footer" Target="footer24.xml" /><Relationship Id="rId57" Type="http://schemas.openxmlformats.org/officeDocument/2006/relationships/header" Target="header25.xml" /><Relationship Id="rId58" Type="http://schemas.openxmlformats.org/officeDocument/2006/relationships/footer" Target="footer25.xml" /><Relationship Id="rId59" Type="http://schemas.openxmlformats.org/officeDocument/2006/relationships/hyperlink" Target="https://d.book118.com/856202143211010032" TargetMode="External" /><Relationship Id="rId6" Type="http://schemas.openxmlformats.org/officeDocument/2006/relationships/header" Target="header2.xml" /><Relationship Id="rId60" Type="http://schemas.openxmlformats.org/officeDocument/2006/relationships/header" Target="header26.xml" /><Relationship Id="rId61" Type="http://schemas.openxmlformats.org/officeDocument/2006/relationships/footer" Target="footer26.xm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2024-01-09T21:56:50Z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2024-01-09T21:56:55Z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659d509f4bc505001ff26d25wl</vt:lpwstr>
  </property>
</Properties>
</file>