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widowControl/>
        <w:ind w:firstLine="0" w:firstLineChars="0"/>
        <w:jc w:val="center"/>
        <w:rPr>
          <w:rFonts w:ascii="黑体" w:eastAsia="黑体" w:hAnsi="Times New Roman" w:cs="Times New Roman" w:hint="default"/>
          <w:b/>
          <w:sz w:val="44"/>
          <w:szCs w:val="44"/>
        </w:rPr>
      </w:pPr>
      <w:bookmarkStart w:id="0" w:name="_GoBack"/>
      <w:r>
        <w:rPr>
          <w:rFonts w:ascii="黑体" w:eastAsia="黑体" w:hAnsi="Times New Roman" w:cs="Times New Roman" w:hint="eastAsia"/>
          <w:b/>
          <w:sz w:val="44"/>
          <w:szCs w:val="44"/>
          <w:lang w:val="zh-TW" w:eastAsia="zh-CN"/>
        </w:rPr>
        <w:t>桂林</w:t>
      </w:r>
      <w:r>
        <w:rPr>
          <w:rFonts w:ascii="黑体" w:eastAsia="黑体" w:hAnsi="Times New Roman" w:cs="Times New Roman" w:hint="eastAsia"/>
          <w:b/>
          <w:sz w:val="44"/>
          <w:szCs w:val="44"/>
          <w:lang w:val="zh-TW" w:eastAsia="zh-TW"/>
        </w:rPr>
        <w:t>市居民生活垃圾分类行为影响因素</w:t>
      </w:r>
      <w:r>
        <w:rPr>
          <w:rFonts w:ascii="黑体" w:eastAsia="黑体" w:hAnsi="Times New Roman" w:cs="Times New Roman" w:hint="eastAsia"/>
          <w:b/>
          <w:sz w:val="44"/>
          <w:szCs w:val="44"/>
          <w:lang w:val="zh-TW" w:eastAsia="zh-CN"/>
        </w:rPr>
        <w:t>的</w:t>
      </w:r>
      <w:r>
        <w:rPr>
          <w:rFonts w:ascii="黑体" w:eastAsia="黑体" w:hAnsi="Times New Roman" w:cs="Times New Roman" w:hint="eastAsia"/>
          <w:b/>
          <w:sz w:val="44"/>
          <w:szCs w:val="44"/>
          <w:lang w:val="en-US" w:eastAsia="zh-CN"/>
        </w:rPr>
        <w:t>实证分析报告</w:t>
      </w:r>
    </w:p>
    <w:bookmarkEnd w:id="0"/>
    <w:p>
      <w:pPr>
        <w:spacing w:before="624" w:beforeLines="200" w:after="156" w:afterLines="50"/>
        <w:ind w:firstLine="720"/>
        <w:jc w:val="center"/>
        <w:rPr>
          <w:rFonts w:ascii="黑体" w:eastAsia="黑体" w:hAnsi="黑体" w:cs="黑体"/>
          <w:color w:val="000000" w:themeColor="text1"/>
          <w:sz w:val="36"/>
          <w:szCs w:val="36"/>
          <w14:textFill>
            <w14:solidFill>
              <w14:schemeClr w14:val="tx1"/>
            </w14:solidFill>
          </w14:textFill>
        </w:rPr>
      </w:pPr>
      <w:r>
        <w:rPr>
          <w:rFonts w:ascii="黑体" w:eastAsia="黑体" w:hAnsi="黑体" w:cs="黑体" w:hint="eastAsia"/>
          <w:color w:val="000000" w:themeColor="text1"/>
          <w:sz w:val="36"/>
          <w:szCs w:val="36"/>
          <w14:textFill>
            <w14:solidFill>
              <w14:schemeClr w14:val="tx1"/>
            </w14:solidFill>
          </w14:textFill>
        </w:rPr>
        <w:t>目 录</w:t>
      </w:r>
    </w:p>
    <w:sdt>
      <w:sdtPr>
        <w:rPr>
          <w:rFonts w:ascii="宋体" w:hAnsi="宋体"/>
          <w:sz w:val="21"/>
        </w:rPr>
        <w:id w:val="147482390"/>
        <w:docPartObj>
          <w:docPartGallery w:val="Table of Contents"/>
          <w:docPartUnique/>
        </w:docPartObj>
        <w15:color w:val="DBDBDB"/>
      </w:sdtPr>
      <w:sdtEndPr>
        <w:rPr>
          <w:rFonts w:ascii="黑体" w:eastAsia="黑体" w:hAnsi="黑体" w:cs="黑体" w:hint="eastAsia"/>
          <w:color w:val="000000" w:themeColor="text1"/>
          <w:sz w:val="24"/>
          <w:szCs w:val="36"/>
          <w14:textFill>
            <w14:solidFill>
              <w14:schemeClr w14:val="tx1"/>
            </w14:solidFill>
          </w14:textFill>
        </w:rPr>
      </w:sdtEndPr>
      <w:sdtContent>
        <w:p>
          <w:pPr>
            <w:spacing w:line="240" w:lineRule="auto"/>
            <w:ind w:firstLine="0" w:firstLineChars="0"/>
            <w:jc w:val="center"/>
          </w:pPr>
        </w:p>
        <w:p>
          <w:pPr>
            <w:pStyle w:val="TOC1"/>
            <w:tabs>
              <w:tab w:val="right" w:leader="dot" w:pos="9185"/>
            </w:tabs>
            <w:rPr>
              <w:rFonts w:ascii="宋体" w:hAnsi="宋体" w:cs="宋体" w:hint="eastAsia"/>
            </w:rPr>
          </w:pPr>
          <w:r>
            <w:rPr>
              <w:rFonts w:ascii="宋体" w:hAnsi="宋体" w:cs="宋体" w:hint="eastAsia"/>
              <w:color w:val="000000" w:themeColor="text1"/>
              <w:szCs w:val="24"/>
              <w14:textFill>
                <w14:solidFill>
                  <w14:schemeClr w14:val="tx1"/>
                </w14:solidFill>
              </w14:textFill>
            </w:rPr>
            <w:fldChar w:fldCharType="begin"/>
          </w:r>
          <w:r>
            <w:rPr>
              <w:rFonts w:ascii="宋体" w:hAnsi="宋体" w:cs="宋体" w:hint="eastAsia"/>
              <w:color w:val="000000" w:themeColor="text1"/>
              <w:szCs w:val="24"/>
              <w14:textFill>
                <w14:solidFill>
                  <w14:schemeClr w14:val="tx1"/>
                </w14:solidFill>
              </w14:textFill>
            </w:rPr>
            <w:instrText xml:space="preserve">TOC \o "1-3" \h \u </w:instrText>
          </w:r>
          <w:r>
            <w:rPr>
              <w:rFonts w:ascii="宋体" w:hAnsi="宋体" w:cs="宋体" w:hint="eastAsia"/>
              <w:color w:val="000000" w:themeColor="text1"/>
              <w:szCs w:val="24"/>
              <w14:textFill>
                <w14:solidFill>
                  <w14:schemeClr w14:val="tx1"/>
                </w14:solidFill>
              </w14:textFill>
            </w:rPr>
            <w:fldChar w:fldCharType="separate"/>
          </w:r>
          <w:hyperlink w:anchor="_Toc5766" w:history="1">
            <w:r>
              <w:rPr>
                <w:rFonts w:ascii="宋体" w:eastAsia="宋体" w:hAnsi="宋体" w:cs="宋体" w:hint="eastAsia"/>
                <w:szCs w:val="36"/>
              </w:rPr>
              <w:t xml:space="preserve">一、 </w:t>
            </w:r>
            <w:r>
              <w:rPr>
                <w:rFonts w:ascii="宋体" w:eastAsia="宋体" w:hAnsi="宋体" w:cs="宋体" w:hint="eastAsia"/>
                <w:kern w:val="2"/>
                <w:szCs w:val="36"/>
              </w:rPr>
              <w:t>绪论</w:t>
            </w:r>
            <w:r>
              <w:rPr>
                <w:rFonts w:ascii="宋体" w:hAnsi="宋体" w:cs="宋体" w:hint="eastAsia"/>
              </w:rPr>
              <w:tab/>
            </w:r>
            <w:r>
              <w:rPr>
                <w:rFonts w:ascii="宋体" w:hAnsi="宋体" w:cs="宋体" w:hint="eastAsia"/>
              </w:rPr>
              <w:fldChar w:fldCharType="begin"/>
            </w:r>
            <w:r>
              <w:rPr>
                <w:rFonts w:ascii="宋体" w:hAnsi="宋体" w:cs="宋体" w:hint="eastAsia"/>
              </w:rPr>
              <w:instrText xml:space="preserve"> PAGEREF _Toc5766 </w:instrText>
            </w:r>
            <w:r>
              <w:rPr>
                <w:rFonts w:ascii="宋体" w:hAnsi="宋体" w:cs="宋体" w:hint="eastAsia"/>
              </w:rPr>
              <w:fldChar w:fldCharType="separate"/>
            </w:r>
            <w:r>
              <w:rPr>
                <w:rFonts w:ascii="宋体" w:hAnsi="宋体" w:cs="宋体" w:hint="eastAsia"/>
              </w:rPr>
              <w:t>6</w:t>
            </w:r>
            <w:r>
              <w:rPr>
                <w:rFonts w:ascii="宋体" w:hAnsi="宋体" w:cs="宋体" w:hint="eastAsia"/>
              </w:rPr>
              <w:fldChar w:fldCharType="end"/>
            </w:r>
          </w:hyperlink>
        </w:p>
        <w:p>
          <w:pPr>
            <w:pStyle w:val="TOC2"/>
            <w:tabs>
              <w:tab w:val="right" w:leader="dot" w:pos="9185"/>
            </w:tabs>
            <w:rPr>
              <w:rFonts w:ascii="宋体" w:hAnsi="宋体" w:cs="宋体" w:hint="eastAsia"/>
            </w:rPr>
          </w:pPr>
          <w:hyperlink w:anchor="_Toc18676" w:history="1">
            <w:r>
              <w:rPr>
                <w:rFonts w:ascii="宋体" w:eastAsia="宋体" w:hAnsi="宋体" w:cs="宋体" w:hint="eastAsia"/>
                <w:i w:val="0"/>
                <w:kern w:val="2"/>
                <w:szCs w:val="24"/>
              </w:rPr>
              <w:t>（一） 研究背景</w:t>
            </w:r>
            <w:r>
              <w:rPr>
                <w:rFonts w:ascii="宋体" w:hAnsi="宋体" w:cs="宋体" w:hint="eastAsia"/>
              </w:rPr>
              <w:tab/>
            </w:r>
            <w:r>
              <w:rPr>
                <w:rFonts w:ascii="宋体" w:hAnsi="宋体" w:cs="宋体" w:hint="eastAsia"/>
              </w:rPr>
              <w:fldChar w:fldCharType="begin"/>
            </w:r>
            <w:r>
              <w:rPr>
                <w:rFonts w:ascii="宋体" w:hAnsi="宋体" w:cs="宋体" w:hint="eastAsia"/>
              </w:rPr>
              <w:instrText xml:space="preserve"> PAGEREF _Toc18676 </w:instrText>
            </w:r>
            <w:r>
              <w:rPr>
                <w:rFonts w:ascii="宋体" w:hAnsi="宋体" w:cs="宋体" w:hint="eastAsia"/>
              </w:rPr>
              <w:fldChar w:fldCharType="separate"/>
            </w:r>
            <w:r>
              <w:rPr>
                <w:rFonts w:ascii="宋体" w:hAnsi="宋体" w:cs="宋体" w:hint="eastAsia"/>
              </w:rPr>
              <w:t>6</w:t>
            </w:r>
            <w:r>
              <w:rPr>
                <w:rFonts w:ascii="宋体" w:hAnsi="宋体" w:cs="宋体" w:hint="eastAsia"/>
              </w:rPr>
              <w:fldChar w:fldCharType="end"/>
            </w:r>
          </w:hyperlink>
        </w:p>
        <w:p>
          <w:pPr>
            <w:pStyle w:val="TOC2"/>
            <w:tabs>
              <w:tab w:val="right" w:leader="dot" w:pos="9185"/>
            </w:tabs>
            <w:rPr>
              <w:rFonts w:ascii="宋体" w:hAnsi="宋体" w:cs="宋体" w:hint="eastAsia"/>
            </w:rPr>
          </w:pPr>
          <w:hyperlink w:anchor="_Toc5837" w:history="1">
            <w:r>
              <w:rPr>
                <w:rFonts w:ascii="宋体" w:eastAsia="宋体" w:hAnsi="宋体" w:cs="宋体" w:hint="eastAsia"/>
                <w:i w:val="0"/>
                <w:kern w:val="2"/>
                <w:szCs w:val="24"/>
              </w:rPr>
              <w:t>（二） 研究意义</w:t>
            </w:r>
            <w:r>
              <w:rPr>
                <w:rFonts w:ascii="宋体" w:hAnsi="宋体" w:cs="宋体" w:hint="eastAsia"/>
              </w:rPr>
              <w:tab/>
            </w:r>
            <w:r>
              <w:rPr>
                <w:rFonts w:ascii="宋体" w:hAnsi="宋体" w:cs="宋体" w:hint="eastAsia"/>
              </w:rPr>
              <w:fldChar w:fldCharType="begin"/>
            </w:r>
            <w:r>
              <w:rPr>
                <w:rFonts w:ascii="宋体" w:hAnsi="宋体" w:cs="宋体" w:hint="eastAsia"/>
              </w:rPr>
              <w:instrText xml:space="preserve"> PAGEREF _Toc5837 </w:instrText>
            </w:r>
            <w:r>
              <w:rPr>
                <w:rFonts w:ascii="宋体" w:hAnsi="宋体" w:cs="宋体" w:hint="eastAsia"/>
              </w:rPr>
              <w:fldChar w:fldCharType="separate"/>
            </w:r>
            <w:r>
              <w:rPr>
                <w:rFonts w:ascii="宋体" w:hAnsi="宋体" w:cs="宋体" w:hint="eastAsia"/>
              </w:rPr>
              <w:t>6</w:t>
            </w:r>
            <w:r>
              <w:rPr>
                <w:rFonts w:ascii="宋体" w:hAnsi="宋体" w:cs="宋体" w:hint="eastAsia"/>
              </w:rPr>
              <w:fldChar w:fldCharType="end"/>
            </w:r>
          </w:hyperlink>
        </w:p>
        <w:p>
          <w:pPr>
            <w:pStyle w:val="TOC2"/>
            <w:tabs>
              <w:tab w:val="right" w:leader="dot" w:pos="9185"/>
            </w:tabs>
            <w:rPr>
              <w:rFonts w:ascii="宋体" w:hAnsi="宋体" w:cs="宋体" w:hint="eastAsia"/>
            </w:rPr>
          </w:pPr>
          <w:hyperlink w:anchor="_Toc18248" w:history="1">
            <w:r>
              <w:rPr>
                <w:rFonts w:ascii="宋体" w:eastAsia="宋体" w:hAnsi="宋体" w:cs="宋体" w:hint="eastAsia"/>
                <w:i w:val="0"/>
                <w:kern w:val="2"/>
                <w:szCs w:val="24"/>
              </w:rPr>
              <w:t>（三） 研究内容</w:t>
            </w:r>
            <w:r>
              <w:rPr>
                <w:rFonts w:ascii="宋体" w:hAnsi="宋体" w:cs="宋体" w:hint="eastAsia"/>
              </w:rPr>
              <w:tab/>
            </w:r>
            <w:r>
              <w:rPr>
                <w:rFonts w:ascii="宋体" w:hAnsi="宋体" w:cs="宋体" w:hint="eastAsia"/>
              </w:rPr>
              <w:fldChar w:fldCharType="begin"/>
            </w:r>
            <w:r>
              <w:rPr>
                <w:rFonts w:ascii="宋体" w:hAnsi="宋体" w:cs="宋体" w:hint="eastAsia"/>
              </w:rPr>
              <w:instrText xml:space="preserve"> PAGEREF _Toc18248 </w:instrText>
            </w:r>
            <w:r>
              <w:rPr>
                <w:rFonts w:ascii="宋体" w:hAnsi="宋体" w:cs="宋体" w:hint="eastAsia"/>
              </w:rPr>
              <w:fldChar w:fldCharType="separate"/>
            </w:r>
            <w:r>
              <w:rPr>
                <w:rFonts w:ascii="宋体" w:hAnsi="宋体" w:cs="宋体" w:hint="eastAsia"/>
              </w:rPr>
              <w:t>7</w:t>
            </w:r>
            <w:r>
              <w:rPr>
                <w:rFonts w:ascii="宋体" w:hAnsi="宋体" w:cs="宋体" w:hint="eastAsia"/>
              </w:rPr>
              <w:fldChar w:fldCharType="end"/>
            </w:r>
          </w:hyperlink>
        </w:p>
        <w:p>
          <w:pPr>
            <w:pStyle w:val="TOC2"/>
            <w:tabs>
              <w:tab w:val="right" w:leader="dot" w:pos="9185"/>
            </w:tabs>
            <w:rPr>
              <w:rFonts w:ascii="宋体" w:hAnsi="宋体" w:cs="宋体" w:hint="eastAsia"/>
            </w:rPr>
          </w:pPr>
          <w:hyperlink w:anchor="_Toc19318" w:history="1">
            <w:r>
              <w:rPr>
                <w:rFonts w:ascii="宋体" w:eastAsia="宋体" w:hAnsi="宋体" w:cs="宋体" w:hint="eastAsia"/>
                <w:i w:val="0"/>
                <w:kern w:val="2"/>
                <w:szCs w:val="24"/>
                <w:lang w:val="en-US" w:eastAsia="zh-CN"/>
              </w:rPr>
              <w:t>（四） 研究步骤</w:t>
            </w:r>
            <w:r>
              <w:rPr>
                <w:rFonts w:ascii="宋体" w:hAnsi="宋体" w:cs="宋体" w:hint="eastAsia"/>
              </w:rPr>
              <w:tab/>
            </w:r>
            <w:r>
              <w:rPr>
                <w:rFonts w:ascii="宋体" w:hAnsi="宋体" w:cs="宋体" w:hint="eastAsia"/>
              </w:rPr>
              <w:fldChar w:fldCharType="begin"/>
            </w:r>
            <w:r>
              <w:rPr>
                <w:rFonts w:ascii="宋体" w:hAnsi="宋体" w:cs="宋体" w:hint="eastAsia"/>
              </w:rPr>
              <w:instrText xml:space="preserve"> PAGEREF _Toc19318 </w:instrText>
            </w:r>
            <w:r>
              <w:rPr>
                <w:rFonts w:ascii="宋体" w:hAnsi="宋体" w:cs="宋体" w:hint="eastAsia"/>
              </w:rPr>
              <w:fldChar w:fldCharType="separate"/>
            </w:r>
            <w:r>
              <w:rPr>
                <w:rFonts w:ascii="宋体" w:hAnsi="宋体" w:cs="宋体" w:hint="eastAsia"/>
              </w:rPr>
              <w:t>7</w:t>
            </w:r>
            <w:r>
              <w:rPr>
                <w:rFonts w:ascii="宋体" w:hAnsi="宋体" w:cs="宋体" w:hint="eastAsia"/>
              </w:rPr>
              <w:fldChar w:fldCharType="end"/>
            </w:r>
          </w:hyperlink>
        </w:p>
        <w:p>
          <w:pPr>
            <w:pStyle w:val="TOC2"/>
            <w:tabs>
              <w:tab w:val="right" w:leader="dot" w:pos="9185"/>
            </w:tabs>
            <w:rPr>
              <w:rFonts w:ascii="宋体" w:hAnsi="宋体" w:cs="宋体" w:hint="eastAsia"/>
            </w:rPr>
          </w:pPr>
          <w:hyperlink w:anchor="_Toc4859" w:history="1">
            <w:r>
              <w:rPr>
                <w:rFonts w:ascii="宋体" w:eastAsia="宋体" w:hAnsi="宋体" w:cs="宋体" w:hint="eastAsia"/>
                <w:i w:val="0"/>
                <w:kern w:val="2"/>
                <w:szCs w:val="24"/>
              </w:rPr>
              <w:t>（五） 创新点与不足</w:t>
            </w:r>
            <w:r>
              <w:rPr>
                <w:rFonts w:ascii="宋体" w:hAnsi="宋体" w:cs="宋体" w:hint="eastAsia"/>
              </w:rPr>
              <w:tab/>
            </w:r>
            <w:r>
              <w:rPr>
                <w:rFonts w:ascii="宋体" w:hAnsi="宋体" w:cs="宋体" w:hint="eastAsia"/>
              </w:rPr>
              <w:fldChar w:fldCharType="begin"/>
            </w:r>
            <w:r>
              <w:rPr>
                <w:rFonts w:ascii="宋体" w:hAnsi="宋体" w:cs="宋体" w:hint="eastAsia"/>
              </w:rPr>
              <w:instrText xml:space="preserve"> PAGEREF _Toc4859 </w:instrText>
            </w:r>
            <w:r>
              <w:rPr>
                <w:rFonts w:ascii="宋体" w:hAnsi="宋体" w:cs="宋体" w:hint="eastAsia"/>
              </w:rPr>
              <w:fldChar w:fldCharType="separate"/>
            </w:r>
            <w:r>
              <w:rPr>
                <w:rFonts w:ascii="宋体" w:hAnsi="宋体" w:cs="宋体" w:hint="eastAsia"/>
              </w:rPr>
              <w:t>8</w:t>
            </w:r>
            <w:r>
              <w:rPr>
                <w:rFonts w:ascii="宋体" w:hAnsi="宋体" w:cs="宋体" w:hint="eastAsia"/>
              </w:rPr>
              <w:fldChar w:fldCharType="end"/>
            </w:r>
          </w:hyperlink>
        </w:p>
        <w:p>
          <w:pPr>
            <w:pStyle w:val="TOC1"/>
            <w:tabs>
              <w:tab w:val="right" w:leader="dot" w:pos="9185"/>
            </w:tabs>
            <w:rPr>
              <w:rFonts w:ascii="宋体" w:hAnsi="宋体" w:cs="宋体" w:hint="eastAsia"/>
            </w:rPr>
          </w:pPr>
          <w:hyperlink w:anchor="_Toc16751" w:history="1">
            <w:r>
              <w:rPr>
                <w:rFonts w:ascii="宋体" w:eastAsia="宋体" w:hAnsi="宋体" w:cs="宋体" w:hint="eastAsia"/>
                <w:bCs w:val="0"/>
                <w:kern w:val="2"/>
                <w:szCs w:val="36"/>
              </w:rPr>
              <w:t>二、 文献综述与理论视角</w:t>
            </w:r>
            <w:r>
              <w:rPr>
                <w:rFonts w:ascii="宋体" w:hAnsi="宋体" w:cs="宋体" w:hint="eastAsia"/>
              </w:rPr>
              <w:tab/>
            </w:r>
            <w:r>
              <w:rPr>
                <w:rFonts w:ascii="宋体" w:hAnsi="宋体" w:cs="宋体" w:hint="eastAsia"/>
              </w:rPr>
              <w:fldChar w:fldCharType="begin"/>
            </w:r>
            <w:r>
              <w:rPr>
                <w:rFonts w:ascii="宋体" w:hAnsi="宋体" w:cs="宋体" w:hint="eastAsia"/>
              </w:rPr>
              <w:instrText xml:space="preserve"> PAGEREF _Toc16751 </w:instrText>
            </w:r>
            <w:r>
              <w:rPr>
                <w:rFonts w:ascii="宋体" w:hAnsi="宋体" w:cs="宋体" w:hint="eastAsia"/>
              </w:rPr>
              <w:fldChar w:fldCharType="separate"/>
            </w:r>
            <w:r>
              <w:rPr>
                <w:rFonts w:ascii="宋体" w:hAnsi="宋体" w:cs="宋体" w:hint="eastAsia"/>
              </w:rPr>
              <w:t>8</w:t>
            </w:r>
            <w:r>
              <w:rPr>
                <w:rFonts w:ascii="宋体" w:hAnsi="宋体" w:cs="宋体" w:hint="eastAsia"/>
              </w:rPr>
              <w:fldChar w:fldCharType="end"/>
            </w:r>
          </w:hyperlink>
        </w:p>
        <w:p>
          <w:pPr>
            <w:pStyle w:val="TOC2"/>
            <w:tabs>
              <w:tab w:val="right" w:leader="dot" w:pos="9185"/>
            </w:tabs>
            <w:rPr>
              <w:rFonts w:ascii="宋体" w:hAnsi="宋体" w:cs="宋体" w:hint="eastAsia"/>
            </w:rPr>
          </w:pPr>
          <w:hyperlink w:anchor="_Toc25462" w:history="1">
            <w:r>
              <w:rPr>
                <w:rFonts w:ascii="宋体" w:eastAsia="宋体" w:hAnsi="宋体" w:cs="宋体" w:hint="eastAsia"/>
                <w:i w:val="0"/>
                <w:kern w:val="2"/>
                <w:szCs w:val="24"/>
              </w:rPr>
              <w:t xml:space="preserve">（一） </w:t>
            </w:r>
            <w:r>
              <w:rPr>
                <w:rFonts w:ascii="宋体" w:eastAsia="宋体" w:hAnsi="宋体" w:cs="宋体" w:hint="eastAsia"/>
                <w:i w:val="0"/>
                <w:kern w:val="2"/>
                <w:szCs w:val="24"/>
                <w:lang w:val="en-US" w:eastAsia="zh-CN"/>
              </w:rPr>
              <w:t>居民垃圾分类行为相关研究</w:t>
            </w:r>
            <w:r>
              <w:rPr>
                <w:rFonts w:ascii="宋体" w:hAnsi="宋体" w:cs="宋体" w:hint="eastAsia"/>
              </w:rPr>
              <w:tab/>
            </w:r>
            <w:r>
              <w:rPr>
                <w:rFonts w:ascii="宋体" w:hAnsi="宋体" w:cs="宋体" w:hint="eastAsia"/>
              </w:rPr>
              <w:fldChar w:fldCharType="begin"/>
            </w:r>
            <w:r>
              <w:rPr>
                <w:rFonts w:ascii="宋体" w:hAnsi="宋体" w:cs="宋体" w:hint="eastAsia"/>
              </w:rPr>
              <w:instrText xml:space="preserve"> PAGEREF _Toc25462 </w:instrText>
            </w:r>
            <w:r>
              <w:rPr>
                <w:rFonts w:ascii="宋体" w:hAnsi="宋体" w:cs="宋体" w:hint="eastAsia"/>
              </w:rPr>
              <w:fldChar w:fldCharType="separate"/>
            </w:r>
            <w:r>
              <w:rPr>
                <w:rFonts w:ascii="宋体" w:hAnsi="宋体" w:cs="宋体" w:hint="eastAsia"/>
              </w:rPr>
              <w:t>8</w:t>
            </w:r>
            <w:r>
              <w:rPr>
                <w:rFonts w:ascii="宋体" w:hAnsi="宋体" w:cs="宋体" w:hint="eastAsia"/>
              </w:rPr>
              <w:fldChar w:fldCharType="end"/>
            </w:r>
          </w:hyperlink>
        </w:p>
        <w:p>
          <w:pPr>
            <w:pStyle w:val="TOC2"/>
            <w:tabs>
              <w:tab w:val="right" w:leader="dot" w:pos="9185"/>
            </w:tabs>
            <w:rPr>
              <w:rFonts w:ascii="宋体" w:hAnsi="宋体" w:cs="宋体" w:hint="eastAsia"/>
            </w:rPr>
          </w:pPr>
          <w:hyperlink w:anchor="_Toc32746" w:history="1">
            <w:r>
              <w:rPr>
                <w:rFonts w:ascii="宋体" w:eastAsia="宋体" w:hAnsi="宋体" w:cs="宋体" w:hint="eastAsia"/>
                <w:i w:val="0"/>
                <w:kern w:val="2"/>
                <w:szCs w:val="24"/>
              </w:rPr>
              <w:t>（二） 理论</w:t>
            </w:r>
            <w:r>
              <w:rPr>
                <w:rFonts w:ascii="宋体" w:eastAsia="宋体" w:hAnsi="宋体" w:cs="宋体" w:hint="eastAsia"/>
                <w:i w:val="0"/>
                <w:kern w:val="2"/>
                <w:szCs w:val="24"/>
                <w:lang w:val="en-US" w:eastAsia="zh-CN"/>
              </w:rPr>
              <w:t>视角</w:t>
            </w:r>
            <w:r>
              <w:rPr>
                <w:rFonts w:ascii="宋体" w:hAnsi="宋体" w:cs="宋体" w:hint="eastAsia"/>
              </w:rPr>
              <w:tab/>
            </w:r>
            <w:r>
              <w:rPr>
                <w:rFonts w:ascii="宋体" w:hAnsi="宋体" w:cs="宋体" w:hint="eastAsia"/>
              </w:rPr>
              <w:fldChar w:fldCharType="begin"/>
            </w:r>
            <w:r>
              <w:rPr>
                <w:rFonts w:ascii="宋体" w:hAnsi="宋体" w:cs="宋体" w:hint="eastAsia"/>
              </w:rPr>
              <w:instrText xml:space="preserve"> PAGEREF _Toc32746 </w:instrText>
            </w:r>
            <w:r>
              <w:rPr>
                <w:rFonts w:ascii="宋体" w:hAnsi="宋体" w:cs="宋体" w:hint="eastAsia"/>
              </w:rPr>
              <w:fldChar w:fldCharType="separate"/>
            </w:r>
            <w:r>
              <w:rPr>
                <w:rFonts w:ascii="宋体" w:hAnsi="宋体" w:cs="宋体" w:hint="eastAsia"/>
              </w:rPr>
              <w:t>10</w:t>
            </w:r>
            <w:r>
              <w:rPr>
                <w:rFonts w:ascii="宋体" w:hAnsi="宋体" w:cs="宋体" w:hint="eastAsia"/>
              </w:rPr>
              <w:fldChar w:fldCharType="end"/>
            </w:r>
          </w:hyperlink>
        </w:p>
        <w:p>
          <w:pPr>
            <w:pStyle w:val="TOC3"/>
            <w:tabs>
              <w:tab w:val="right" w:leader="dot" w:pos="9185"/>
            </w:tabs>
            <w:rPr>
              <w:rFonts w:ascii="宋体" w:hAnsi="宋体" w:cs="宋体" w:hint="eastAsia"/>
            </w:rPr>
          </w:pPr>
          <w:hyperlink w:anchor="_Toc17126" w:history="1">
            <w:r>
              <w:rPr>
                <w:rFonts w:ascii="宋体" w:eastAsia="宋体" w:hAnsi="宋体" w:cs="宋体" w:hint="eastAsia"/>
              </w:rPr>
              <w:t>1. 计划行为理论</w:t>
            </w:r>
            <w:r>
              <w:rPr>
                <w:rFonts w:ascii="宋体" w:hAnsi="宋体" w:cs="宋体" w:hint="eastAsia"/>
              </w:rPr>
              <w:tab/>
            </w:r>
            <w:r>
              <w:rPr>
                <w:rFonts w:ascii="宋体" w:hAnsi="宋体" w:cs="宋体" w:hint="eastAsia"/>
              </w:rPr>
              <w:fldChar w:fldCharType="begin"/>
            </w:r>
            <w:r>
              <w:rPr>
                <w:rFonts w:ascii="宋体" w:hAnsi="宋体" w:cs="宋体" w:hint="eastAsia"/>
              </w:rPr>
              <w:instrText xml:space="preserve"> PAGEREF _Toc17126 </w:instrText>
            </w:r>
            <w:r>
              <w:rPr>
                <w:rFonts w:ascii="宋体" w:hAnsi="宋体" w:cs="宋体" w:hint="eastAsia"/>
              </w:rPr>
              <w:fldChar w:fldCharType="separate"/>
            </w:r>
            <w:r>
              <w:rPr>
                <w:rFonts w:ascii="宋体" w:hAnsi="宋体" w:cs="宋体" w:hint="eastAsia"/>
              </w:rPr>
              <w:t>10</w:t>
            </w:r>
            <w:r>
              <w:rPr>
                <w:rFonts w:ascii="宋体" w:hAnsi="宋体" w:cs="宋体" w:hint="eastAsia"/>
              </w:rPr>
              <w:fldChar w:fldCharType="end"/>
            </w:r>
          </w:hyperlink>
        </w:p>
        <w:p>
          <w:pPr>
            <w:pStyle w:val="TOC3"/>
            <w:tabs>
              <w:tab w:val="right" w:leader="dot" w:pos="9185"/>
            </w:tabs>
            <w:rPr>
              <w:rFonts w:ascii="宋体" w:hAnsi="宋体" w:cs="宋体" w:hint="eastAsia"/>
            </w:rPr>
          </w:pPr>
          <w:hyperlink w:anchor="_Toc4372" w:history="1">
            <w:r>
              <w:rPr>
                <w:rFonts w:ascii="宋体" w:eastAsia="宋体" w:hAnsi="宋体" w:cs="宋体" w:hint="eastAsia"/>
              </w:rPr>
              <w:t>2. 态度—行为—情景理论</w:t>
            </w:r>
            <w:r>
              <w:rPr>
                <w:rFonts w:ascii="宋体" w:hAnsi="宋体" w:cs="宋体" w:hint="eastAsia"/>
              </w:rPr>
              <w:tab/>
            </w:r>
            <w:r>
              <w:rPr>
                <w:rFonts w:ascii="宋体" w:hAnsi="宋体" w:cs="宋体" w:hint="eastAsia"/>
              </w:rPr>
              <w:fldChar w:fldCharType="begin"/>
            </w:r>
            <w:r>
              <w:rPr>
                <w:rFonts w:ascii="宋体" w:hAnsi="宋体" w:cs="宋体" w:hint="eastAsia"/>
              </w:rPr>
              <w:instrText xml:space="preserve"> PAGEREF _Toc4372 </w:instrText>
            </w:r>
            <w:r>
              <w:rPr>
                <w:rFonts w:ascii="宋体" w:hAnsi="宋体" w:cs="宋体" w:hint="eastAsia"/>
              </w:rPr>
              <w:fldChar w:fldCharType="separate"/>
            </w:r>
            <w:r>
              <w:rPr>
                <w:rFonts w:ascii="宋体" w:hAnsi="宋体" w:cs="宋体" w:hint="eastAsia"/>
              </w:rPr>
              <w:t>11</w:t>
            </w:r>
            <w:r>
              <w:rPr>
                <w:rFonts w:ascii="宋体" w:hAnsi="宋体" w:cs="宋体" w:hint="eastAsia"/>
              </w:rPr>
              <w:fldChar w:fldCharType="end"/>
            </w:r>
          </w:hyperlink>
        </w:p>
        <w:p>
          <w:pPr>
            <w:pStyle w:val="TOC1"/>
            <w:tabs>
              <w:tab w:val="right" w:leader="dot" w:pos="9185"/>
            </w:tabs>
            <w:rPr>
              <w:rFonts w:ascii="宋体" w:hAnsi="宋体" w:cs="宋体" w:hint="eastAsia"/>
            </w:rPr>
          </w:pPr>
          <w:hyperlink w:anchor="_Toc151" w:history="1">
            <w:r>
              <w:rPr>
                <w:rFonts w:ascii="宋体" w:eastAsia="宋体" w:hAnsi="宋体" w:cs="宋体" w:hint="eastAsia"/>
                <w:bCs w:val="0"/>
                <w:kern w:val="2"/>
                <w:szCs w:val="36"/>
              </w:rPr>
              <w:t>三、 研究设计</w:t>
            </w:r>
            <w:r>
              <w:rPr>
                <w:rFonts w:ascii="宋体" w:hAnsi="宋体" w:cs="宋体" w:hint="eastAsia"/>
              </w:rPr>
              <w:tab/>
            </w:r>
            <w:r>
              <w:rPr>
                <w:rFonts w:ascii="宋体" w:hAnsi="宋体" w:cs="宋体" w:hint="eastAsia"/>
              </w:rPr>
              <w:fldChar w:fldCharType="begin"/>
            </w:r>
            <w:r>
              <w:rPr>
                <w:rFonts w:ascii="宋体" w:hAnsi="宋体" w:cs="宋体" w:hint="eastAsia"/>
              </w:rPr>
              <w:instrText xml:space="preserve"> PAGEREF _Toc151 </w:instrText>
            </w:r>
            <w:r>
              <w:rPr>
                <w:rFonts w:ascii="宋体" w:hAnsi="宋体" w:cs="宋体" w:hint="eastAsia"/>
              </w:rPr>
              <w:fldChar w:fldCharType="separate"/>
            </w:r>
            <w:r>
              <w:rPr>
                <w:rFonts w:ascii="宋体" w:hAnsi="宋体" w:cs="宋体" w:hint="eastAsia"/>
              </w:rPr>
              <w:t>12</w:t>
            </w:r>
            <w:r>
              <w:rPr>
                <w:rFonts w:ascii="宋体" w:hAnsi="宋体" w:cs="宋体" w:hint="eastAsia"/>
              </w:rPr>
              <w:fldChar w:fldCharType="end"/>
            </w:r>
          </w:hyperlink>
        </w:p>
        <w:p>
          <w:pPr>
            <w:pStyle w:val="TOC2"/>
            <w:tabs>
              <w:tab w:val="right" w:leader="dot" w:pos="9185"/>
            </w:tabs>
            <w:rPr>
              <w:rFonts w:ascii="宋体" w:hAnsi="宋体" w:cs="宋体" w:hint="eastAsia"/>
            </w:rPr>
          </w:pPr>
          <w:hyperlink w:anchor="_Toc1432" w:history="1">
            <w:r>
              <w:rPr>
                <w:rFonts w:ascii="宋体" w:eastAsia="宋体" w:hAnsi="宋体" w:cs="宋体" w:hint="eastAsia"/>
                <w:lang w:val="en-US" w:eastAsia="zh-CN"/>
              </w:rPr>
              <w:t>（一） 研究架构与研究假设</w:t>
            </w:r>
            <w:r>
              <w:rPr>
                <w:rFonts w:ascii="宋体" w:hAnsi="宋体" w:cs="宋体" w:hint="eastAsia"/>
              </w:rPr>
              <w:tab/>
            </w:r>
            <w:r>
              <w:rPr>
                <w:rFonts w:ascii="宋体" w:hAnsi="宋体" w:cs="宋体" w:hint="eastAsia"/>
              </w:rPr>
              <w:fldChar w:fldCharType="begin"/>
            </w:r>
            <w:r>
              <w:rPr>
                <w:rFonts w:ascii="宋体" w:hAnsi="宋体" w:cs="宋体" w:hint="eastAsia"/>
              </w:rPr>
              <w:instrText xml:space="preserve"> PAGEREF _Toc1432 </w:instrText>
            </w:r>
            <w:r>
              <w:rPr>
                <w:rFonts w:ascii="宋体" w:hAnsi="宋体" w:cs="宋体" w:hint="eastAsia"/>
              </w:rPr>
              <w:fldChar w:fldCharType="separate"/>
            </w:r>
            <w:r>
              <w:rPr>
                <w:rFonts w:ascii="宋体" w:hAnsi="宋体" w:cs="宋体" w:hint="eastAsia"/>
              </w:rPr>
              <w:t>12</w:t>
            </w:r>
            <w:r>
              <w:rPr>
                <w:rFonts w:ascii="宋体" w:hAnsi="宋体" w:cs="宋体" w:hint="eastAsia"/>
              </w:rPr>
              <w:fldChar w:fldCharType="end"/>
            </w:r>
          </w:hyperlink>
        </w:p>
        <w:p>
          <w:pPr>
            <w:pStyle w:val="TOC2"/>
            <w:tabs>
              <w:tab w:val="right" w:leader="dot" w:pos="9185"/>
            </w:tabs>
            <w:rPr>
              <w:rFonts w:ascii="宋体" w:hAnsi="宋体" w:cs="宋体" w:hint="eastAsia"/>
            </w:rPr>
          </w:pPr>
          <w:hyperlink w:anchor="_Toc5863" w:history="1">
            <w:r>
              <w:rPr>
                <w:rFonts w:ascii="宋体" w:eastAsia="宋体" w:hAnsi="宋体" w:cs="宋体" w:hint="eastAsia"/>
              </w:rPr>
              <w:t>（二） 研究工具</w:t>
            </w:r>
            <w:r>
              <w:rPr>
                <w:rFonts w:ascii="宋体" w:hAnsi="宋体" w:cs="宋体" w:hint="eastAsia"/>
              </w:rPr>
              <w:tab/>
            </w:r>
            <w:r>
              <w:rPr>
                <w:rFonts w:ascii="宋体" w:hAnsi="宋体" w:cs="宋体" w:hint="eastAsia"/>
              </w:rPr>
              <w:fldChar w:fldCharType="begin"/>
            </w:r>
            <w:r>
              <w:rPr>
                <w:rFonts w:ascii="宋体" w:hAnsi="宋体" w:cs="宋体" w:hint="eastAsia"/>
              </w:rPr>
              <w:instrText xml:space="preserve"> PAGEREF _Toc5863 </w:instrText>
            </w:r>
            <w:r>
              <w:rPr>
                <w:rFonts w:ascii="宋体" w:hAnsi="宋体" w:cs="宋体" w:hint="eastAsia"/>
              </w:rPr>
              <w:fldChar w:fldCharType="separate"/>
            </w:r>
            <w:r>
              <w:rPr>
                <w:rFonts w:ascii="宋体" w:hAnsi="宋体" w:cs="宋体" w:hint="eastAsia"/>
              </w:rPr>
              <w:t>13</w:t>
            </w:r>
            <w:r>
              <w:rPr>
                <w:rFonts w:ascii="宋体" w:hAnsi="宋体" w:cs="宋体" w:hint="eastAsia"/>
              </w:rPr>
              <w:fldChar w:fldCharType="end"/>
            </w:r>
          </w:hyperlink>
        </w:p>
        <w:p>
          <w:pPr>
            <w:pStyle w:val="TOC3"/>
            <w:tabs>
              <w:tab w:val="right" w:leader="dot" w:pos="9185"/>
            </w:tabs>
            <w:rPr>
              <w:rFonts w:ascii="宋体" w:hAnsi="宋体" w:cs="宋体" w:hint="eastAsia"/>
            </w:rPr>
          </w:pPr>
          <w:hyperlink w:anchor="_Toc28980" w:history="1">
            <w:r>
              <w:rPr>
                <w:rFonts w:ascii="宋体" w:eastAsia="宋体" w:hAnsi="宋体" w:cs="宋体" w:hint="eastAsia"/>
              </w:rPr>
              <w:t>1. 测量居民参与生活分类行为的量表</w:t>
            </w:r>
            <w:r>
              <w:rPr>
                <w:rFonts w:ascii="宋体" w:hAnsi="宋体" w:cs="宋体" w:hint="eastAsia"/>
              </w:rPr>
              <w:tab/>
            </w:r>
            <w:r>
              <w:rPr>
                <w:rFonts w:ascii="宋体" w:hAnsi="宋体" w:cs="宋体" w:hint="eastAsia"/>
              </w:rPr>
              <w:fldChar w:fldCharType="begin"/>
            </w:r>
            <w:r>
              <w:rPr>
                <w:rFonts w:ascii="宋体" w:hAnsi="宋体" w:cs="宋体" w:hint="eastAsia"/>
              </w:rPr>
              <w:instrText xml:space="preserve"> PAGEREF _Toc28980 </w:instrText>
            </w:r>
            <w:r>
              <w:rPr>
                <w:rFonts w:ascii="宋体" w:hAnsi="宋体" w:cs="宋体" w:hint="eastAsia"/>
              </w:rPr>
              <w:fldChar w:fldCharType="separate"/>
            </w:r>
            <w:r>
              <w:rPr>
                <w:rFonts w:ascii="宋体" w:hAnsi="宋体" w:cs="宋体" w:hint="eastAsia"/>
              </w:rPr>
              <w:t>13</w:t>
            </w:r>
            <w:r>
              <w:rPr>
                <w:rFonts w:ascii="宋体" w:hAnsi="宋体" w:cs="宋体" w:hint="eastAsia"/>
              </w:rPr>
              <w:fldChar w:fldCharType="end"/>
            </w:r>
          </w:hyperlink>
        </w:p>
        <w:p>
          <w:pPr>
            <w:pStyle w:val="TOC3"/>
            <w:tabs>
              <w:tab w:val="right" w:leader="dot" w:pos="9185"/>
            </w:tabs>
            <w:rPr>
              <w:rFonts w:ascii="宋体" w:hAnsi="宋体" w:cs="宋体" w:hint="eastAsia"/>
            </w:rPr>
          </w:pPr>
          <w:hyperlink w:anchor="_Toc10769" w:history="1">
            <w:r>
              <w:rPr>
                <w:rFonts w:ascii="宋体" w:eastAsia="宋体" w:hAnsi="宋体" w:cs="宋体" w:hint="eastAsia"/>
              </w:rPr>
              <w:t>2. 测量居民环境意识的量表</w:t>
            </w:r>
            <w:r>
              <w:rPr>
                <w:rFonts w:ascii="宋体" w:hAnsi="宋体" w:cs="宋体" w:hint="eastAsia"/>
              </w:rPr>
              <w:tab/>
            </w:r>
            <w:r>
              <w:rPr>
                <w:rFonts w:ascii="宋体" w:hAnsi="宋体" w:cs="宋体" w:hint="eastAsia"/>
              </w:rPr>
              <w:fldChar w:fldCharType="begin"/>
            </w:r>
            <w:r>
              <w:rPr>
                <w:rFonts w:ascii="宋体" w:hAnsi="宋体" w:cs="宋体" w:hint="eastAsia"/>
              </w:rPr>
              <w:instrText xml:space="preserve"> PAGEREF _Toc10769 </w:instrText>
            </w:r>
            <w:r>
              <w:rPr>
                <w:rFonts w:ascii="宋体" w:hAnsi="宋体" w:cs="宋体" w:hint="eastAsia"/>
              </w:rPr>
              <w:fldChar w:fldCharType="separate"/>
            </w:r>
            <w:r>
              <w:rPr>
                <w:rFonts w:ascii="宋体" w:hAnsi="宋体" w:cs="宋体" w:hint="eastAsia"/>
              </w:rPr>
              <w:t>13</w:t>
            </w:r>
            <w:r>
              <w:rPr>
                <w:rFonts w:ascii="宋体" w:hAnsi="宋体" w:cs="宋体" w:hint="eastAsia"/>
              </w:rPr>
              <w:fldChar w:fldCharType="end"/>
            </w:r>
          </w:hyperlink>
        </w:p>
        <w:p>
          <w:pPr>
            <w:pStyle w:val="TOC3"/>
            <w:tabs>
              <w:tab w:val="right" w:leader="dot" w:pos="9185"/>
            </w:tabs>
            <w:rPr>
              <w:rFonts w:ascii="宋体" w:hAnsi="宋体" w:cs="宋体" w:hint="eastAsia"/>
            </w:rPr>
          </w:pPr>
          <w:hyperlink w:anchor="_Toc4321" w:history="1">
            <w:r>
              <w:rPr>
                <w:rFonts w:ascii="宋体" w:eastAsia="宋体" w:hAnsi="宋体" w:cs="宋体" w:hint="eastAsia"/>
              </w:rPr>
              <w:t>3. 测量配套设施与社区管理影响的量表</w:t>
            </w:r>
            <w:r>
              <w:rPr>
                <w:rFonts w:ascii="宋体" w:hAnsi="宋体" w:cs="宋体" w:hint="eastAsia"/>
              </w:rPr>
              <w:tab/>
            </w:r>
            <w:r>
              <w:rPr>
                <w:rFonts w:ascii="宋体" w:hAnsi="宋体" w:cs="宋体" w:hint="eastAsia"/>
              </w:rPr>
              <w:fldChar w:fldCharType="begin"/>
            </w:r>
            <w:r>
              <w:rPr>
                <w:rFonts w:ascii="宋体" w:hAnsi="宋体" w:cs="宋体" w:hint="eastAsia"/>
              </w:rPr>
              <w:instrText xml:space="preserve"> PAGEREF _Toc4321 </w:instrText>
            </w:r>
            <w:r>
              <w:rPr>
                <w:rFonts w:ascii="宋体" w:hAnsi="宋体" w:cs="宋体" w:hint="eastAsia"/>
              </w:rPr>
              <w:fldChar w:fldCharType="separate"/>
            </w:r>
            <w:r>
              <w:rPr>
                <w:rFonts w:ascii="宋体" w:hAnsi="宋体" w:cs="宋体" w:hint="eastAsia"/>
              </w:rPr>
              <w:t>13</w:t>
            </w:r>
            <w:r>
              <w:rPr>
                <w:rFonts w:ascii="宋体" w:hAnsi="宋体" w:cs="宋体" w:hint="eastAsia"/>
              </w:rPr>
              <w:fldChar w:fldCharType="end"/>
            </w:r>
          </w:hyperlink>
        </w:p>
        <w:p>
          <w:pPr>
            <w:pStyle w:val="TOC2"/>
            <w:tabs>
              <w:tab w:val="right" w:leader="dot" w:pos="9185"/>
            </w:tabs>
            <w:rPr>
              <w:rFonts w:ascii="宋体" w:hAnsi="宋体" w:cs="宋体" w:hint="eastAsia"/>
            </w:rPr>
          </w:pPr>
          <w:hyperlink w:anchor="_Toc11814" w:history="1">
            <w:r>
              <w:rPr>
                <w:rFonts w:ascii="宋体" w:eastAsia="宋体" w:hAnsi="宋体" w:cs="宋体" w:hint="eastAsia"/>
              </w:rPr>
              <w:t>（三） 研究方法</w:t>
            </w:r>
            <w:r>
              <w:rPr>
                <w:rFonts w:ascii="宋体" w:hAnsi="宋体" w:cs="宋体" w:hint="eastAsia"/>
              </w:rPr>
              <w:tab/>
            </w:r>
            <w:r>
              <w:rPr>
                <w:rFonts w:ascii="宋体" w:hAnsi="宋体" w:cs="宋体" w:hint="eastAsia"/>
              </w:rPr>
              <w:fldChar w:fldCharType="begin"/>
            </w:r>
            <w:r>
              <w:rPr>
                <w:rFonts w:ascii="宋体" w:hAnsi="宋体" w:cs="宋体" w:hint="eastAsia"/>
              </w:rPr>
              <w:instrText xml:space="preserve"> PAGEREF _Toc11814 </w:instrText>
            </w:r>
            <w:r>
              <w:rPr>
                <w:rFonts w:ascii="宋体" w:hAnsi="宋体" w:cs="宋体" w:hint="eastAsia"/>
              </w:rPr>
              <w:fldChar w:fldCharType="separate"/>
            </w:r>
            <w:r>
              <w:rPr>
                <w:rFonts w:ascii="宋体" w:hAnsi="宋体" w:cs="宋体" w:hint="eastAsia"/>
              </w:rPr>
              <w:t>13</w:t>
            </w:r>
            <w:r>
              <w:rPr>
                <w:rFonts w:ascii="宋体" w:hAnsi="宋体" w:cs="宋体" w:hint="eastAsia"/>
              </w:rPr>
              <w:fldChar w:fldCharType="end"/>
            </w:r>
          </w:hyperlink>
        </w:p>
        <w:p>
          <w:pPr>
            <w:pStyle w:val="TOC3"/>
            <w:tabs>
              <w:tab w:val="right" w:leader="dot" w:pos="9185"/>
            </w:tabs>
            <w:rPr>
              <w:rFonts w:ascii="宋体" w:hAnsi="宋体" w:cs="宋体" w:hint="eastAsia"/>
            </w:rPr>
          </w:pPr>
          <w:hyperlink w:anchor="_Toc3943" w:history="1">
            <w:r>
              <w:rPr>
                <w:rFonts w:ascii="宋体" w:eastAsia="宋体" w:hAnsi="宋体" w:cs="宋体" w:hint="eastAsia"/>
                <w:bCs w:val="0"/>
                <w:szCs w:val="24"/>
              </w:rPr>
              <w:t xml:space="preserve">1. </w:t>
            </w:r>
            <w:r>
              <w:rPr>
                <w:rFonts w:ascii="宋体" w:eastAsia="宋体" w:hAnsi="宋体" w:cs="宋体" w:hint="eastAsia"/>
                <w:bCs w:val="0"/>
                <w:szCs w:val="24"/>
                <w:lang w:val="en-US" w:eastAsia="zh-CN"/>
              </w:rPr>
              <w:t>问卷调查</w:t>
            </w:r>
            <w:r>
              <w:rPr>
                <w:rFonts w:ascii="宋体" w:eastAsia="宋体" w:hAnsi="宋体" w:cs="宋体" w:hint="eastAsia"/>
                <w:bCs w:val="0"/>
                <w:szCs w:val="24"/>
              </w:rPr>
              <w:t>方法</w:t>
            </w:r>
            <w:r>
              <w:rPr>
                <w:rFonts w:ascii="宋体" w:hAnsi="宋体" w:cs="宋体" w:hint="eastAsia"/>
              </w:rPr>
              <w:tab/>
            </w:r>
            <w:r>
              <w:rPr>
                <w:rFonts w:ascii="宋体" w:hAnsi="宋体" w:cs="宋体" w:hint="eastAsia"/>
              </w:rPr>
              <w:fldChar w:fldCharType="begin"/>
            </w:r>
            <w:r>
              <w:rPr>
                <w:rFonts w:ascii="宋体" w:hAnsi="宋体" w:cs="宋体" w:hint="eastAsia"/>
              </w:rPr>
              <w:instrText xml:space="preserve"> PAGEREF _Toc3943 </w:instrText>
            </w:r>
            <w:r>
              <w:rPr>
                <w:rFonts w:ascii="宋体" w:hAnsi="宋体" w:cs="宋体" w:hint="eastAsia"/>
              </w:rPr>
              <w:fldChar w:fldCharType="separate"/>
            </w:r>
            <w:r>
              <w:rPr>
                <w:rFonts w:ascii="宋体" w:hAnsi="宋体" w:cs="宋体" w:hint="eastAsia"/>
              </w:rPr>
              <w:t>14</w:t>
            </w:r>
            <w:r>
              <w:rPr>
                <w:rFonts w:ascii="宋体" w:hAnsi="宋体" w:cs="宋体" w:hint="eastAsia"/>
              </w:rPr>
              <w:fldChar w:fldCharType="end"/>
            </w:r>
          </w:hyperlink>
        </w:p>
        <w:p>
          <w:pPr>
            <w:pStyle w:val="TOC3"/>
            <w:tabs>
              <w:tab w:val="right" w:leader="dot" w:pos="9185"/>
            </w:tabs>
            <w:rPr>
              <w:rFonts w:ascii="宋体" w:hAnsi="宋体" w:cs="宋体" w:hint="eastAsia"/>
            </w:rPr>
          </w:pPr>
          <w:hyperlink w:anchor="_Toc30183" w:history="1">
            <w:r>
              <w:rPr>
                <w:rFonts w:ascii="宋体" w:eastAsia="宋体" w:hAnsi="宋体" w:cs="宋体" w:hint="eastAsia"/>
                <w:bCs w:val="0"/>
                <w:szCs w:val="24"/>
              </w:rPr>
              <w:t>2. 统计分析方法</w:t>
            </w:r>
            <w:r>
              <w:rPr>
                <w:rFonts w:ascii="宋体" w:hAnsi="宋体" w:cs="宋体" w:hint="eastAsia"/>
              </w:rPr>
              <w:tab/>
            </w:r>
            <w:r>
              <w:rPr>
                <w:rFonts w:ascii="宋体" w:hAnsi="宋体" w:cs="宋体" w:hint="eastAsia"/>
              </w:rPr>
              <w:fldChar w:fldCharType="begin"/>
            </w:r>
            <w:r>
              <w:rPr>
                <w:rFonts w:ascii="宋体" w:hAnsi="宋体" w:cs="宋体" w:hint="eastAsia"/>
              </w:rPr>
              <w:instrText xml:space="preserve"> PAGEREF _Toc30183 </w:instrText>
            </w:r>
            <w:r>
              <w:rPr>
                <w:rFonts w:ascii="宋体" w:hAnsi="宋体" w:cs="宋体" w:hint="eastAsia"/>
              </w:rPr>
              <w:fldChar w:fldCharType="separate"/>
            </w:r>
            <w:r>
              <w:rPr>
                <w:rFonts w:ascii="宋体" w:hAnsi="宋体" w:cs="宋体" w:hint="eastAsia"/>
              </w:rPr>
              <w:t>14</w:t>
            </w:r>
            <w:r>
              <w:rPr>
                <w:rFonts w:ascii="宋体" w:hAnsi="宋体" w:cs="宋体" w:hint="eastAsia"/>
              </w:rPr>
              <w:fldChar w:fldCharType="end"/>
            </w:r>
          </w:hyperlink>
        </w:p>
        <w:p>
          <w:pPr>
            <w:pStyle w:val="TOC1"/>
            <w:tabs>
              <w:tab w:val="right" w:leader="dot" w:pos="9185"/>
            </w:tabs>
            <w:rPr>
              <w:rFonts w:ascii="宋体" w:hAnsi="宋体" w:cs="宋体" w:hint="eastAsia"/>
            </w:rPr>
          </w:pPr>
          <w:hyperlink w:anchor="_Toc17228" w:history="1">
            <w:r>
              <w:rPr>
                <w:rFonts w:ascii="宋体" w:eastAsia="宋体" w:hAnsi="宋体" w:cs="宋体" w:hint="eastAsia"/>
                <w:kern w:val="2"/>
                <w:szCs w:val="36"/>
              </w:rPr>
              <w:t xml:space="preserve">四、 </w:t>
            </w:r>
            <w:r>
              <w:rPr>
                <w:rFonts w:ascii="宋体" w:eastAsia="宋体" w:hAnsi="宋体" w:cs="宋体" w:hint="eastAsia"/>
                <w:bCs w:val="0"/>
                <w:kern w:val="2"/>
                <w:szCs w:val="36"/>
              </w:rPr>
              <w:t>调查结果分析</w:t>
            </w:r>
            <w:r>
              <w:rPr>
                <w:rFonts w:ascii="宋体" w:hAnsi="宋体" w:cs="宋体" w:hint="eastAsia"/>
              </w:rPr>
              <w:tab/>
            </w:r>
            <w:r>
              <w:rPr>
                <w:rFonts w:ascii="宋体" w:hAnsi="宋体" w:cs="宋体" w:hint="eastAsia"/>
              </w:rPr>
              <w:fldChar w:fldCharType="begin"/>
            </w:r>
            <w:r>
              <w:rPr>
                <w:rFonts w:ascii="宋体" w:hAnsi="宋体" w:cs="宋体" w:hint="eastAsia"/>
              </w:rPr>
              <w:instrText xml:space="preserve"> PAGEREF _Toc17228 </w:instrText>
            </w:r>
            <w:r>
              <w:rPr>
                <w:rFonts w:ascii="宋体" w:hAnsi="宋体" w:cs="宋体" w:hint="eastAsia"/>
              </w:rPr>
              <w:fldChar w:fldCharType="separate"/>
            </w:r>
            <w:r>
              <w:rPr>
                <w:rFonts w:ascii="宋体" w:hAnsi="宋体" w:cs="宋体" w:hint="eastAsia"/>
              </w:rPr>
              <w:t>14</w:t>
            </w:r>
            <w:r>
              <w:rPr>
                <w:rFonts w:ascii="宋体" w:hAnsi="宋体" w:cs="宋体" w:hint="eastAsia"/>
              </w:rPr>
              <w:fldChar w:fldCharType="end"/>
            </w:r>
          </w:hyperlink>
        </w:p>
        <w:p>
          <w:pPr>
            <w:pStyle w:val="TOC3"/>
            <w:tabs>
              <w:tab w:val="right" w:leader="dot" w:pos="9185"/>
            </w:tabs>
            <w:rPr>
              <w:rFonts w:ascii="宋体" w:hAnsi="宋体" w:cs="宋体" w:hint="eastAsia"/>
            </w:rPr>
          </w:pPr>
          <w:hyperlink w:anchor="_Toc14691" w:history="1">
            <w:r>
              <w:rPr>
                <w:rFonts w:ascii="宋体" w:eastAsia="宋体" w:hAnsi="宋体" w:cs="宋体" w:hint="eastAsia"/>
              </w:rPr>
              <w:t>1. 信度分析</w:t>
            </w:r>
            <w:r>
              <w:rPr>
                <w:rFonts w:ascii="宋体" w:hAnsi="宋体" w:cs="宋体" w:hint="eastAsia"/>
              </w:rPr>
              <w:tab/>
            </w:r>
            <w:r>
              <w:rPr>
                <w:rFonts w:ascii="宋体" w:hAnsi="宋体" w:cs="宋体" w:hint="eastAsia"/>
              </w:rPr>
              <w:fldChar w:fldCharType="begin"/>
            </w:r>
            <w:r>
              <w:rPr>
                <w:rFonts w:ascii="宋体" w:hAnsi="宋体" w:cs="宋体" w:hint="eastAsia"/>
              </w:rPr>
              <w:instrText xml:space="preserve"> PAGEREF _Toc14691 </w:instrText>
            </w:r>
            <w:r>
              <w:rPr>
                <w:rFonts w:ascii="宋体" w:hAnsi="宋体" w:cs="宋体" w:hint="eastAsia"/>
              </w:rPr>
              <w:fldChar w:fldCharType="separate"/>
            </w:r>
            <w:r>
              <w:rPr>
                <w:rFonts w:ascii="宋体" w:hAnsi="宋体" w:cs="宋体" w:hint="eastAsia"/>
              </w:rPr>
              <w:t>17</w:t>
            </w:r>
            <w:r>
              <w:rPr>
                <w:rFonts w:ascii="宋体" w:hAnsi="宋体" w:cs="宋体" w:hint="eastAsia"/>
              </w:rPr>
              <w:fldChar w:fldCharType="end"/>
            </w:r>
          </w:hyperlink>
        </w:p>
        <w:p>
          <w:pPr>
            <w:pStyle w:val="TOC3"/>
            <w:tabs>
              <w:tab w:val="right" w:leader="dot" w:pos="9185"/>
            </w:tabs>
            <w:rPr>
              <w:rFonts w:ascii="宋体" w:hAnsi="宋体" w:cs="宋体" w:hint="eastAsia"/>
            </w:rPr>
          </w:pPr>
          <w:hyperlink w:anchor="_Toc22909" w:history="1">
            <w:r>
              <w:rPr>
                <w:rFonts w:ascii="宋体" w:eastAsia="宋体" w:hAnsi="宋体" w:cs="宋体" w:hint="eastAsia"/>
              </w:rPr>
              <w:t>2. 效度分析</w:t>
            </w:r>
            <w:r>
              <w:rPr>
                <w:rFonts w:ascii="宋体" w:hAnsi="宋体" w:cs="宋体" w:hint="eastAsia"/>
              </w:rPr>
              <w:tab/>
            </w:r>
            <w:r>
              <w:rPr>
                <w:rFonts w:ascii="宋体" w:hAnsi="宋体" w:cs="宋体" w:hint="eastAsia"/>
              </w:rPr>
              <w:fldChar w:fldCharType="begin"/>
            </w:r>
            <w:r>
              <w:rPr>
                <w:rFonts w:ascii="宋体" w:hAnsi="宋体" w:cs="宋体" w:hint="eastAsia"/>
              </w:rPr>
              <w:instrText xml:space="preserve"> PAGEREF _Toc22909 </w:instrText>
            </w:r>
            <w:r>
              <w:rPr>
                <w:rFonts w:ascii="宋体" w:hAnsi="宋体" w:cs="宋体" w:hint="eastAsia"/>
              </w:rPr>
              <w:fldChar w:fldCharType="separate"/>
            </w:r>
            <w:r>
              <w:rPr>
                <w:rFonts w:ascii="宋体" w:hAnsi="宋体" w:cs="宋体" w:hint="eastAsia"/>
              </w:rPr>
              <w:t>18</w:t>
            </w:r>
            <w:r>
              <w:rPr>
                <w:rFonts w:ascii="宋体" w:hAnsi="宋体" w:cs="宋体" w:hint="eastAsia"/>
              </w:rPr>
              <w:fldChar w:fldCharType="end"/>
            </w:r>
          </w:hyperlink>
        </w:p>
        <w:p>
          <w:pPr>
            <w:pStyle w:val="TOC1"/>
            <w:tabs>
              <w:tab w:val="right" w:leader="dot" w:pos="9185"/>
            </w:tabs>
            <w:rPr>
              <w:rFonts w:ascii="宋体" w:hAnsi="宋体" w:cs="宋体" w:hint="eastAsia"/>
            </w:rPr>
            <w:sectPr>
              <w:headerReference w:type="default" r:id="rId7"/>
              <w:footerReference w:type="default" r:id="rId8"/>
              <w:pgSz w:w="11850" w:h="16783"/>
              <w:pgMar w:top="1134" w:right="1134" w:bottom="1134" w:left="1531" w:header="851" w:footer="992" w:gutter="0"/>
              <w:cols w:num="1" w:space="0"/>
              <w:docGrid w:type="lines" w:linePitch="312" w:charSpace="0"/>
            </w:sectPr>
          </w:pPr>
          <w:hyperlink w:anchor="_Toc23168" w:history="1">
            <w:r>
              <w:rPr>
                <w:rFonts w:ascii="宋体" w:eastAsia="宋体" w:hAnsi="宋体" w:cs="宋体" w:hint="eastAsia"/>
                <w:bCs w:val="0"/>
                <w:kern w:val="2"/>
                <w:szCs w:val="36"/>
              </w:rPr>
              <w:t>五、 结果讨论与建议</w:t>
            </w:r>
            <w:r>
              <w:rPr>
                <w:rFonts w:ascii="宋体" w:hAnsi="宋体" w:cs="宋体" w:hint="eastAsia"/>
              </w:rPr>
              <w:tab/>
            </w:r>
            <w:r>
              <w:rPr>
                <w:rFonts w:ascii="宋体" w:hAnsi="宋体" w:cs="宋体" w:hint="eastAsia"/>
              </w:rPr>
              <w:fldChar w:fldCharType="begin"/>
            </w:r>
            <w:r>
              <w:rPr>
                <w:rFonts w:ascii="宋体" w:hAnsi="宋体" w:cs="宋体" w:hint="eastAsia"/>
              </w:rPr>
              <w:instrText xml:space="preserve"> PAGEREF _Toc23168 </w:instrText>
            </w:r>
            <w:r>
              <w:rPr>
                <w:rFonts w:ascii="宋体" w:hAnsi="宋体" w:cs="宋体" w:hint="eastAsia"/>
              </w:rPr>
              <w:fldChar w:fldCharType="separate"/>
            </w:r>
            <w:r>
              <w:rPr>
                <w:rFonts w:ascii="宋体" w:hAnsi="宋体" w:cs="宋体" w:hint="eastAsia"/>
              </w:rPr>
              <w:t>27</w:t>
            </w:r>
            <w:r>
              <w:rPr>
                <w:rFonts w:ascii="宋体" w:hAnsi="宋体" w:cs="宋体" w:hint="eastAsia"/>
              </w:rPr>
              <w:fldChar w:fldCharType="end"/>
            </w:r>
          </w:hyperlink>
        </w:p>
      </w:sdtContent>
    </w:sdt>
    <w:sdt>
      <w:sdtPr>
        <w:rPr>
          <w:rFonts w:ascii="宋体" w:hAnsi="宋体"/>
          <w:sz w:val="21"/>
        </w:rPr>
        <w:id w:val="1608938586"/>
        <w:docPartObj>
          <w:docPartGallery w:val="Table of Contents"/>
          <w:docPartUnique/>
        </w:docPartObj>
        <w15:color w:val="DBDBDB"/>
      </w:sdtPr>
      <w:sdtEndPr>
        <w:rPr>
          <w:rFonts w:ascii="黑体" w:eastAsia="黑体" w:hAnsi="黑体" w:cs="黑体" w:hint="eastAsia"/>
          <w:color w:val="000000" w:themeColor="text1"/>
          <w:sz w:val="24"/>
          <w:szCs w:val="36"/>
          <w14:textFill>
            <w14:solidFill>
              <w14:schemeClr w14:val="tx1"/>
            </w14:solidFill>
          </w14:textFill>
        </w:rPr>
      </w:sdtEndPr>
      <w:sdtContent>
        <w:p>
          <w:pPr>
            <w:pStyle w:val="TOC2"/>
            <w:tabs>
              <w:tab w:val="right" w:leader="dot" w:pos="9185"/>
            </w:tabs>
            <w:rPr>
              <w:rFonts w:ascii="宋体" w:hAnsi="宋体" w:cs="宋体" w:hint="eastAsia"/>
            </w:rPr>
          </w:pPr>
          <w:hyperlink w:anchor="_Toc14898" w:history="1">
            <w:r>
              <w:rPr>
                <w:rFonts w:ascii="宋体" w:eastAsia="宋体" w:hAnsi="宋体" w:cs="宋体" w:hint="eastAsia"/>
              </w:rPr>
              <w:t>（一） 结果讨论</w:t>
            </w:r>
            <w:r>
              <w:rPr>
                <w:rFonts w:ascii="宋体" w:hAnsi="宋体" w:cs="宋体" w:hint="eastAsia"/>
              </w:rPr>
              <w:tab/>
            </w:r>
            <w:r>
              <w:rPr>
                <w:rFonts w:ascii="宋体" w:hAnsi="宋体" w:cs="宋体" w:hint="eastAsia"/>
              </w:rPr>
              <w:fldChar w:fldCharType="begin"/>
            </w:r>
            <w:r>
              <w:rPr>
                <w:rFonts w:ascii="宋体" w:hAnsi="宋体" w:cs="宋体" w:hint="eastAsia"/>
              </w:rPr>
              <w:instrText xml:space="preserve"> PAGEREF _Toc14898 </w:instrText>
            </w:r>
            <w:r>
              <w:rPr>
                <w:rFonts w:ascii="宋体" w:hAnsi="宋体" w:cs="宋体" w:hint="eastAsia"/>
              </w:rPr>
              <w:fldChar w:fldCharType="separate"/>
            </w:r>
            <w:r>
              <w:rPr>
                <w:rFonts w:ascii="宋体" w:hAnsi="宋体" w:cs="宋体" w:hint="eastAsia"/>
              </w:rPr>
              <w:t>27</w:t>
            </w:r>
            <w:r>
              <w:rPr>
                <w:rFonts w:ascii="宋体" w:hAnsi="宋体" w:cs="宋体" w:hint="eastAsia"/>
              </w:rPr>
              <w:fldChar w:fldCharType="end"/>
            </w:r>
          </w:hyperlink>
        </w:p>
        <w:p>
          <w:pPr>
            <w:pStyle w:val="TOC3"/>
            <w:tabs>
              <w:tab w:val="right" w:leader="dot" w:pos="9185"/>
            </w:tabs>
            <w:rPr>
              <w:rFonts w:ascii="宋体" w:hAnsi="宋体" w:cs="宋体" w:hint="eastAsia"/>
            </w:rPr>
          </w:pPr>
          <w:hyperlink w:anchor="_Toc7900" w:history="1">
            <w:r>
              <w:rPr>
                <w:rFonts w:ascii="宋体" w:hAnsi="宋体" w:cs="宋体" w:hint="default"/>
              </w:rPr>
              <w:t xml:space="preserve">1. </w:t>
            </w:r>
            <w:r>
              <w:rPr>
                <w:rFonts w:ascii="宋体" w:eastAsia="宋体" w:hAnsi="宋体" w:cs="宋体" w:hint="eastAsia"/>
              </w:rPr>
              <w:t>居民环境意识与居民生活垃圾分类行为的影响关系讨论</w:t>
            </w:r>
            <w:r>
              <w:rPr>
                <w:rFonts w:ascii="宋体" w:hAnsi="宋体" w:cs="宋体" w:hint="eastAsia"/>
              </w:rPr>
              <w:tab/>
            </w:r>
            <w:r>
              <w:rPr>
                <w:rFonts w:ascii="宋体" w:hAnsi="宋体" w:cs="宋体" w:hint="eastAsia"/>
              </w:rPr>
              <w:fldChar w:fldCharType="begin"/>
            </w:r>
            <w:r>
              <w:rPr>
                <w:rFonts w:ascii="宋体" w:hAnsi="宋体" w:cs="宋体" w:hint="eastAsia"/>
              </w:rPr>
              <w:instrText xml:space="preserve"> PAGEREF _Toc7900 </w:instrText>
            </w:r>
            <w:r>
              <w:rPr>
                <w:rFonts w:ascii="宋体" w:hAnsi="宋体" w:cs="宋体" w:hint="eastAsia"/>
              </w:rPr>
              <w:fldChar w:fldCharType="separate"/>
            </w:r>
            <w:r>
              <w:rPr>
                <w:rFonts w:ascii="宋体" w:hAnsi="宋体" w:cs="宋体" w:hint="eastAsia"/>
              </w:rPr>
              <w:t>27</w:t>
            </w:r>
            <w:r>
              <w:rPr>
                <w:rFonts w:ascii="宋体" w:hAnsi="宋体" w:cs="宋体" w:hint="eastAsia"/>
              </w:rPr>
              <w:fldChar w:fldCharType="end"/>
            </w:r>
          </w:hyperlink>
        </w:p>
        <w:p>
          <w:pPr>
            <w:pStyle w:val="TOC3"/>
            <w:tabs>
              <w:tab w:val="right" w:leader="dot" w:pos="9185"/>
            </w:tabs>
            <w:rPr>
              <w:rFonts w:ascii="宋体" w:hAnsi="宋体" w:cs="宋体" w:hint="eastAsia"/>
            </w:rPr>
          </w:pPr>
          <w:hyperlink w:anchor="_Toc8651" w:history="1">
            <w:r>
              <w:rPr>
                <w:rFonts w:ascii="宋体" w:eastAsia="宋体" w:hAnsi="宋体" w:cs="宋体" w:hint="eastAsia"/>
              </w:rPr>
              <w:t>2. 配套设施与社区管理与居民生活垃圾分类行为的影响关系讨论</w:t>
            </w:r>
            <w:r>
              <w:rPr>
                <w:rFonts w:ascii="宋体" w:hAnsi="宋体" w:cs="宋体" w:hint="eastAsia"/>
              </w:rPr>
              <w:tab/>
            </w:r>
            <w:r>
              <w:rPr>
                <w:rFonts w:ascii="宋体" w:hAnsi="宋体" w:cs="宋体" w:hint="eastAsia"/>
              </w:rPr>
              <w:fldChar w:fldCharType="begin"/>
            </w:r>
            <w:r>
              <w:rPr>
                <w:rFonts w:ascii="宋体" w:hAnsi="宋体" w:cs="宋体" w:hint="eastAsia"/>
              </w:rPr>
              <w:instrText xml:space="preserve"> PAGEREF _Toc8651 </w:instrText>
            </w:r>
            <w:r>
              <w:rPr>
                <w:rFonts w:ascii="宋体" w:hAnsi="宋体" w:cs="宋体" w:hint="eastAsia"/>
              </w:rPr>
              <w:fldChar w:fldCharType="separate"/>
            </w:r>
            <w:r>
              <w:rPr>
                <w:rFonts w:ascii="宋体" w:hAnsi="宋体" w:cs="宋体" w:hint="eastAsia"/>
              </w:rPr>
              <w:t>27</w:t>
            </w:r>
            <w:r>
              <w:rPr>
                <w:rFonts w:ascii="宋体" w:hAnsi="宋体" w:cs="宋体" w:hint="eastAsia"/>
              </w:rPr>
              <w:fldChar w:fldCharType="end"/>
            </w:r>
          </w:hyperlink>
        </w:p>
        <w:p>
          <w:pPr>
            <w:pStyle w:val="TOC2"/>
            <w:tabs>
              <w:tab w:val="right" w:leader="dot" w:pos="9185"/>
            </w:tabs>
            <w:rPr>
              <w:rFonts w:ascii="宋体" w:hAnsi="宋体" w:cs="宋体" w:hint="eastAsia"/>
            </w:rPr>
          </w:pPr>
          <w:hyperlink w:anchor="_Toc4522" w:history="1">
            <w:r>
              <w:rPr>
                <w:rFonts w:ascii="宋体" w:eastAsia="宋体" w:hAnsi="宋体" w:cs="宋体" w:hint="eastAsia"/>
              </w:rPr>
              <w:t>（二） 研究建议</w:t>
            </w:r>
            <w:r>
              <w:rPr>
                <w:rFonts w:ascii="宋体" w:hAnsi="宋体" w:cs="宋体" w:hint="eastAsia"/>
              </w:rPr>
              <w:tab/>
            </w:r>
            <w:r>
              <w:rPr>
                <w:rFonts w:ascii="宋体" w:hAnsi="宋体" w:cs="宋体" w:hint="eastAsia"/>
              </w:rPr>
              <w:fldChar w:fldCharType="begin"/>
            </w:r>
            <w:r>
              <w:rPr>
                <w:rFonts w:ascii="宋体" w:hAnsi="宋体" w:cs="宋体" w:hint="eastAsia"/>
              </w:rPr>
              <w:instrText xml:space="preserve"> PAGEREF _Toc4522 </w:instrText>
            </w:r>
            <w:r>
              <w:rPr>
                <w:rFonts w:ascii="宋体" w:hAnsi="宋体" w:cs="宋体" w:hint="eastAsia"/>
              </w:rPr>
              <w:fldChar w:fldCharType="separate"/>
            </w:r>
            <w:r>
              <w:rPr>
                <w:rFonts w:ascii="宋体" w:hAnsi="宋体" w:cs="宋体" w:hint="eastAsia"/>
              </w:rPr>
              <w:t>28</w:t>
            </w:r>
            <w:r>
              <w:rPr>
                <w:rFonts w:ascii="宋体" w:hAnsi="宋体" w:cs="宋体" w:hint="eastAsia"/>
              </w:rPr>
              <w:fldChar w:fldCharType="end"/>
            </w:r>
          </w:hyperlink>
        </w:p>
        <w:p>
          <w:pPr>
            <w:pStyle w:val="TOC3"/>
            <w:tabs>
              <w:tab w:val="right" w:leader="dot" w:pos="9185"/>
            </w:tabs>
            <w:rPr>
              <w:rFonts w:ascii="宋体" w:hAnsi="宋体" w:cs="宋体" w:hint="eastAsia"/>
            </w:rPr>
          </w:pPr>
          <w:hyperlink w:anchor="_Toc30139" w:history="1">
            <w:r>
              <w:rPr>
                <w:rFonts w:ascii="宋体" w:eastAsia="宋体" w:hAnsi="宋体" w:cs="宋体" w:hint="eastAsia"/>
              </w:rPr>
              <w:t>1. 完善配套设施</w:t>
            </w:r>
            <w:r>
              <w:rPr>
                <w:rFonts w:ascii="宋体" w:hAnsi="宋体" w:cs="宋体" w:hint="eastAsia"/>
              </w:rPr>
              <w:tab/>
            </w:r>
            <w:r>
              <w:rPr>
                <w:rFonts w:ascii="宋体" w:hAnsi="宋体" w:cs="宋体" w:hint="eastAsia"/>
              </w:rPr>
              <w:fldChar w:fldCharType="begin"/>
            </w:r>
            <w:r>
              <w:rPr>
                <w:rFonts w:ascii="宋体" w:hAnsi="宋体" w:cs="宋体" w:hint="eastAsia"/>
              </w:rPr>
              <w:instrText xml:space="preserve"> PAGEREF _Toc30139 </w:instrText>
            </w:r>
            <w:r>
              <w:rPr>
                <w:rFonts w:ascii="宋体" w:hAnsi="宋体" w:cs="宋体" w:hint="eastAsia"/>
              </w:rPr>
              <w:fldChar w:fldCharType="separate"/>
            </w:r>
            <w:r>
              <w:rPr>
                <w:rFonts w:ascii="宋体" w:hAnsi="宋体" w:cs="宋体" w:hint="eastAsia"/>
              </w:rPr>
              <w:t>28</w:t>
            </w:r>
            <w:r>
              <w:rPr>
                <w:rFonts w:ascii="宋体" w:hAnsi="宋体" w:cs="宋体" w:hint="eastAsia"/>
              </w:rPr>
              <w:fldChar w:fldCharType="end"/>
            </w:r>
          </w:hyperlink>
        </w:p>
        <w:p>
          <w:pPr>
            <w:pStyle w:val="TOC3"/>
            <w:tabs>
              <w:tab w:val="right" w:leader="dot" w:pos="9185"/>
            </w:tabs>
            <w:rPr>
              <w:rFonts w:ascii="宋体" w:hAnsi="宋体" w:cs="宋体" w:hint="eastAsia"/>
            </w:rPr>
          </w:pPr>
          <w:hyperlink w:anchor="_Toc5489" w:history="1">
            <w:r>
              <w:rPr>
                <w:rFonts w:ascii="宋体" w:eastAsia="宋体" w:hAnsi="宋体" w:cs="宋体" w:hint="eastAsia"/>
              </w:rPr>
              <w:t>2. 加强宣传教育</w:t>
            </w:r>
            <w:r>
              <w:rPr>
                <w:rFonts w:ascii="宋体" w:hAnsi="宋体" w:cs="宋体" w:hint="eastAsia"/>
              </w:rPr>
              <w:tab/>
            </w:r>
            <w:r>
              <w:rPr>
                <w:rFonts w:ascii="宋体" w:hAnsi="宋体" w:cs="宋体" w:hint="eastAsia"/>
              </w:rPr>
              <w:fldChar w:fldCharType="begin"/>
            </w:r>
            <w:r>
              <w:rPr>
                <w:rFonts w:ascii="宋体" w:hAnsi="宋体" w:cs="宋体" w:hint="eastAsia"/>
              </w:rPr>
              <w:instrText xml:space="preserve"> PAGEREF _Toc5489 </w:instrText>
            </w:r>
            <w:r>
              <w:rPr>
                <w:rFonts w:ascii="宋体" w:hAnsi="宋体" w:cs="宋体" w:hint="eastAsia"/>
              </w:rPr>
              <w:fldChar w:fldCharType="separate"/>
            </w:r>
            <w:r>
              <w:rPr>
                <w:rFonts w:ascii="宋体" w:hAnsi="宋体" w:cs="宋体" w:hint="eastAsia"/>
              </w:rPr>
              <w:t>28</w:t>
            </w:r>
            <w:r>
              <w:rPr>
                <w:rFonts w:ascii="宋体" w:hAnsi="宋体" w:cs="宋体" w:hint="eastAsia"/>
              </w:rPr>
              <w:fldChar w:fldCharType="end"/>
            </w:r>
          </w:hyperlink>
        </w:p>
        <w:p>
          <w:pPr>
            <w:pStyle w:val="TOC1"/>
            <w:tabs>
              <w:tab w:val="right" w:leader="dot" w:pos="9185"/>
            </w:tabs>
            <w:rPr>
              <w:rFonts w:ascii="宋体" w:hAnsi="宋体" w:cs="宋体" w:hint="eastAsia"/>
            </w:rPr>
          </w:pPr>
          <w:hyperlink w:anchor="_Toc24003" w:history="1">
            <w:r>
              <w:rPr>
                <w:rFonts w:ascii="宋体" w:eastAsia="宋体" w:hAnsi="宋体" w:cs="宋体" w:hint="eastAsia"/>
                <w:bCs/>
                <w:kern w:val="2"/>
                <w:szCs w:val="30"/>
                <w:lang w:val="en-US" w:eastAsia="zh-CN"/>
              </w:rPr>
              <w:t>附</w:t>
            </w:r>
            <w:r>
              <w:rPr>
                <w:rFonts w:ascii="宋体" w:eastAsia="宋体" w:hAnsi="宋体" w:cs="宋体" w:hint="eastAsia"/>
                <w:bCs/>
                <w:kern w:val="2"/>
                <w:szCs w:val="30"/>
                <w:lang w:val="en-US"/>
              </w:rPr>
              <w:t xml:space="preserve"> </w:t>
            </w:r>
            <w:r>
              <w:rPr>
                <w:rFonts w:ascii="宋体" w:eastAsia="宋体" w:hAnsi="宋体" w:cs="宋体" w:hint="eastAsia"/>
                <w:bCs/>
                <w:kern w:val="2"/>
                <w:szCs w:val="30"/>
                <w:lang w:val="en-US" w:eastAsia="zh-CN"/>
              </w:rPr>
              <w:t>录</w:t>
            </w:r>
            <w:r>
              <w:rPr>
                <w:rFonts w:ascii="宋体" w:hAnsi="宋体" w:cs="宋体" w:hint="eastAsia"/>
              </w:rPr>
              <w:tab/>
            </w:r>
            <w:r>
              <w:rPr>
                <w:rFonts w:ascii="宋体" w:hAnsi="宋体" w:cs="宋体" w:hint="eastAsia"/>
              </w:rPr>
              <w:fldChar w:fldCharType="begin"/>
            </w:r>
            <w:r>
              <w:rPr>
                <w:rFonts w:ascii="宋体" w:hAnsi="宋体" w:cs="宋体" w:hint="eastAsia"/>
              </w:rPr>
              <w:instrText xml:space="preserve"> PAGEREF _Toc24003 </w:instrText>
            </w:r>
            <w:r>
              <w:rPr>
                <w:rFonts w:ascii="宋体" w:hAnsi="宋体" w:cs="宋体" w:hint="eastAsia"/>
              </w:rPr>
              <w:fldChar w:fldCharType="separate"/>
            </w:r>
            <w:r>
              <w:rPr>
                <w:rFonts w:ascii="宋体" w:hAnsi="宋体" w:cs="宋体" w:hint="eastAsia"/>
              </w:rPr>
              <w:t>32</w:t>
            </w:r>
            <w:r>
              <w:rPr>
                <w:rFonts w:ascii="宋体" w:hAnsi="宋体" w:cs="宋体" w:hint="eastAsia"/>
              </w:rPr>
              <w:fldChar w:fldCharType="end"/>
            </w:r>
          </w:hyperlink>
        </w:p>
        <w:p>
          <w:pPr>
            <w:ind w:firstLine="0" w:firstLineChars="0"/>
            <w:rPr>
              <w:rFonts w:ascii="Times New Roman" w:hAnsi="Times New Roman" w:cs="Times New Roman"/>
              <w:color w:val="000000" w:themeColor="text1"/>
              <w14:textFill>
                <w14:solidFill>
                  <w14:schemeClr w14:val="tx1"/>
                </w14:solidFill>
              </w14:textFill>
            </w:rPr>
          </w:pPr>
          <w:r>
            <w:rPr>
              <w:rFonts w:ascii="宋体" w:hAnsi="宋体" w:cs="宋体" w:hint="eastAsia"/>
              <w:color w:val="000000" w:themeColor="text1"/>
              <w:szCs w:val="24"/>
              <w14:textFill>
                <w14:solidFill>
                  <w14:schemeClr w14:val="tx1"/>
                </w14:solidFill>
              </w14:textFill>
            </w:rPr>
            <w:fldChar w:fldCharType="end"/>
          </w:r>
        </w:p>
      </w:sdtContent>
    </w:sdt>
    <w:p>
      <w:pPr>
        <w:ind w:firstLine="0" w:firstLineChars="0"/>
        <w:rPr>
          <w:rFonts w:ascii="Times New Roman" w:hAnsi="Times New Roman" w:cs="Times New Roman"/>
          <w:color w:val="000000" w:themeColor="text1"/>
          <w14:textFill>
            <w14:solidFill>
              <w14:schemeClr w14:val="tx1"/>
            </w14:solidFill>
          </w14:textFill>
        </w:rPr>
      </w:pPr>
    </w:p>
    <w:p>
      <w:pPr>
        <w:pStyle w:val="Heading1"/>
        <w:numPr>
          <w:ilvl w:val="0"/>
          <w:numId w:val="1"/>
        </w:numPr>
        <w:spacing w:before="312" w:beforeLines="100" w:after="156" w:afterLines="50"/>
        <w:ind w:firstLine="420"/>
        <w:jc w:val="center"/>
        <w:rPr>
          <w:rFonts w:ascii="黑体" w:eastAsia="黑体" w:hAnsi="黑体" w:cs="黑体"/>
          <w:sz w:val="36"/>
          <w:szCs w:val="36"/>
        </w:rPr>
      </w:pPr>
      <w:bookmarkStart w:id="1" w:name="_Toc14833"/>
      <w:bookmarkStart w:id="2" w:name="_Toc1230"/>
      <w:bookmarkStart w:id="3" w:name="_Toc24285"/>
      <w:bookmarkStart w:id="4" w:name="_Toc3920"/>
      <w:bookmarkStart w:id="5" w:name="_Toc15624"/>
      <w:bookmarkStart w:id="6" w:name="_Toc5080"/>
      <w:r>
        <w:rPr>
          <w:rFonts w:ascii="黑体" w:eastAsia="黑体" w:hAnsi="黑体" w:cs="黑体" w:hint="eastAsia"/>
          <w:b w:val="0"/>
          <w:color w:val="auto"/>
          <w:kern w:val="2"/>
          <w:sz w:val="36"/>
          <w:szCs w:val="36"/>
        </w:rPr>
        <w:t xml:space="preserve"> </w:t>
      </w:r>
      <w:bookmarkStart w:id="7" w:name="_Toc27649"/>
      <w:bookmarkStart w:id="8" w:name="_Toc7431"/>
      <w:bookmarkStart w:id="9" w:name="_Toc1100"/>
      <w:bookmarkStart w:id="10" w:name="_Toc15419"/>
      <w:bookmarkStart w:id="11" w:name="_Toc7474"/>
      <w:bookmarkStart w:id="12" w:name="_Toc5766"/>
      <w:bookmarkStart w:id="13" w:name="_Toc28066"/>
      <w:bookmarkStart w:id="14" w:name="_Toc23101"/>
      <w:bookmarkStart w:id="15" w:name="_Toc20357"/>
      <w:bookmarkStart w:id="16" w:name="_Toc7044"/>
      <w:r>
        <w:rPr>
          <w:rFonts w:ascii="黑体" w:eastAsia="黑体" w:hAnsi="黑体" w:cs="黑体" w:hint="eastAsia"/>
          <w:b w:val="0"/>
          <w:color w:val="auto"/>
          <w:kern w:val="2"/>
          <w:sz w:val="36"/>
          <w:szCs w:val="36"/>
        </w:rPr>
        <w:t>绪论</w:t>
      </w: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p>
    <w:p>
      <w:pPr>
        <w:pStyle w:val="Heading2"/>
        <w:numPr>
          <w:ilvl w:val="0"/>
          <w:numId w:val="2"/>
        </w:numPr>
        <w:spacing w:before="156" w:beforeLines="50"/>
        <w:ind w:firstLine="420"/>
        <w:rPr>
          <w:rFonts w:ascii="黑体" w:eastAsia="黑体" w:hAnsi="宋体" w:cs="Times New Roman"/>
          <w:b w:val="0"/>
          <w:i w:val="0"/>
          <w:color w:val="auto"/>
          <w:kern w:val="2"/>
          <w:sz w:val="24"/>
          <w:szCs w:val="24"/>
        </w:rPr>
      </w:pPr>
      <w:bookmarkStart w:id="17" w:name="_Toc11994"/>
      <w:bookmarkStart w:id="18" w:name="_Toc7242"/>
      <w:bookmarkStart w:id="19" w:name="_Toc5148"/>
      <w:bookmarkStart w:id="20" w:name="_Toc17371"/>
      <w:bookmarkStart w:id="21" w:name="_Toc14169"/>
      <w:bookmarkStart w:id="22" w:name="_Toc13292"/>
      <w:r>
        <w:rPr>
          <w:rFonts w:ascii="黑体" w:eastAsia="黑体" w:hAnsi="宋体" w:cs="Times New Roman" w:hint="eastAsia"/>
          <w:b w:val="0"/>
          <w:i w:val="0"/>
          <w:color w:val="auto"/>
          <w:kern w:val="2"/>
          <w:sz w:val="24"/>
          <w:szCs w:val="24"/>
        </w:rPr>
        <w:t xml:space="preserve"> </w:t>
      </w:r>
      <w:bookmarkStart w:id="23" w:name="_Toc31542"/>
      <w:bookmarkStart w:id="24" w:name="_Toc24722"/>
      <w:bookmarkStart w:id="25" w:name="_Toc18676"/>
      <w:bookmarkStart w:id="26" w:name="_Toc17329"/>
      <w:bookmarkStart w:id="27" w:name="_Toc27303"/>
      <w:bookmarkStart w:id="28" w:name="_Toc26131"/>
      <w:bookmarkStart w:id="29" w:name="_Toc27758"/>
      <w:bookmarkStart w:id="30" w:name="_Toc27254"/>
      <w:bookmarkStart w:id="31" w:name="_Toc1940"/>
      <w:bookmarkStart w:id="32" w:name="_Toc25998"/>
      <w:r>
        <w:rPr>
          <w:rFonts w:ascii="黑体" w:eastAsia="黑体" w:hAnsi="宋体" w:cs="Times New Roman" w:hint="eastAsia"/>
          <w:b w:val="0"/>
          <w:i w:val="0"/>
          <w:color w:val="auto"/>
          <w:kern w:val="2"/>
          <w:sz w:val="24"/>
          <w:szCs w:val="24"/>
        </w:rPr>
        <w:t>研究背景</w:t>
      </w:r>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p>
    <w:p>
      <w:pPr>
        <w:spacing w:after="156" w:afterLines="50"/>
        <w:ind w:firstLine="480"/>
        <w:rPr>
          <w:rFonts w:ascii="宋体" w:hAnsi="宋体" w:cs="宋体"/>
        </w:rPr>
      </w:pPr>
      <w:r>
        <w:rPr>
          <w:rFonts w:ascii="宋体" w:hAnsi="宋体" w:cs="宋体" w:hint="eastAsia"/>
        </w:rPr>
        <w:t>随着经济和社会的快速发展，人们生活水平不断提高的同时，生活垃圾产生量也不断剧增。</w:t>
      </w:r>
      <w:r>
        <w:rPr>
          <w:rFonts w:ascii="宋体" w:hAnsi="宋体" w:cs="宋体"/>
        </w:rPr>
        <w:t>据</w:t>
      </w:r>
      <w:r>
        <w:rPr>
          <w:rFonts w:ascii="宋体" w:hAnsi="宋体" w:cs="宋体" w:hint="eastAsia"/>
        </w:rPr>
        <w:t>了解</w:t>
      </w:r>
      <w:r>
        <w:rPr>
          <w:rFonts w:ascii="宋体" w:hAnsi="宋体" w:cs="宋体"/>
        </w:rPr>
        <w:t>，</w:t>
      </w:r>
      <w:r>
        <w:rPr>
          <w:rFonts w:ascii="宋体" w:hAnsi="宋体" w:cs="宋体" w:hint="eastAsia"/>
        </w:rPr>
        <w:t>全世界的</w:t>
      </w:r>
      <w:r>
        <w:rPr>
          <w:rFonts w:ascii="宋体" w:hAnsi="宋体" w:cs="宋体"/>
        </w:rPr>
        <w:t>城市垃圾年产量</w:t>
      </w:r>
      <w:r>
        <w:rPr>
          <w:rFonts w:ascii="宋体" w:hAnsi="宋体" w:cs="宋体" w:hint="eastAsia"/>
        </w:rPr>
        <w:t>正以</w:t>
      </w:r>
      <w:r>
        <w:rPr>
          <w:rFonts w:ascii="宋体" w:hAnsi="宋体" w:cs="宋体"/>
        </w:rPr>
        <w:t>每年8.42%的速度</w:t>
      </w:r>
      <w:r>
        <w:rPr>
          <w:rFonts w:ascii="宋体" w:hAnsi="宋体" w:cs="宋体" w:hint="eastAsia"/>
        </w:rPr>
        <w:t>迅速增长</w:t>
      </w:r>
      <w:r>
        <w:rPr>
          <w:rFonts w:ascii="宋体" w:hAnsi="宋体" w:cs="宋体"/>
        </w:rPr>
        <w:t>，</w:t>
      </w:r>
      <w:r>
        <w:rPr>
          <w:rFonts w:ascii="宋体" w:hAnsi="宋体" w:cs="宋体" w:hint="eastAsia"/>
        </w:rPr>
        <w:t>并且</w:t>
      </w:r>
      <w:r>
        <w:rPr>
          <w:rFonts w:ascii="宋体" w:hAnsi="宋体" w:cs="宋体"/>
        </w:rPr>
        <w:t>每年产生约450亿吨垃圾。</w:t>
      </w:r>
      <w:r>
        <w:rPr>
          <w:rFonts w:ascii="宋体" w:hAnsi="宋体" w:cs="宋体" w:hint="eastAsia"/>
          <w:vertAlign w:val="superscript"/>
        </w:rPr>
        <w:t>[1]</w:t>
      </w:r>
      <w:r>
        <w:rPr>
          <w:rFonts w:ascii="宋体" w:hAnsi="宋体" w:cs="宋体"/>
        </w:rPr>
        <w:t>。在我国668坐地市级</w:t>
      </w:r>
      <w:r>
        <w:rPr>
          <w:rFonts w:ascii="宋体" w:hAnsi="宋体" w:cs="宋体" w:hint="eastAsia"/>
        </w:rPr>
        <w:t>的</w:t>
      </w:r>
      <w:r>
        <w:rPr>
          <w:rFonts w:ascii="宋体" w:hAnsi="宋体" w:cs="宋体"/>
        </w:rPr>
        <w:t>城市</w:t>
      </w:r>
      <w:r>
        <w:rPr>
          <w:rFonts w:ascii="宋体" w:hAnsi="宋体" w:cs="宋体" w:hint="eastAsia"/>
        </w:rPr>
        <w:t>里</w:t>
      </w:r>
      <w:r>
        <w:rPr>
          <w:rFonts w:ascii="宋体" w:hAnsi="宋体" w:cs="宋体"/>
        </w:rPr>
        <w:t>，</w:t>
      </w:r>
      <w:r>
        <w:rPr>
          <w:rFonts w:ascii="宋体" w:hAnsi="宋体" w:cs="宋体" w:hint="eastAsia"/>
        </w:rPr>
        <w:t>“垃圾围城”</w:t>
      </w:r>
      <w:r>
        <w:rPr>
          <w:rFonts w:ascii="宋体" w:hAnsi="宋体" w:cs="宋体"/>
        </w:rPr>
        <w:t>的</w:t>
      </w:r>
      <w:r>
        <w:rPr>
          <w:rFonts w:ascii="宋体" w:hAnsi="宋体" w:cs="宋体" w:hint="eastAsia"/>
        </w:rPr>
        <w:t>就高达</w:t>
      </w:r>
      <w:r>
        <w:rPr>
          <w:rFonts w:ascii="宋体" w:hAnsi="宋体" w:cs="宋体"/>
        </w:rPr>
        <w:t>三分之二，</w:t>
      </w:r>
      <w:r>
        <w:rPr>
          <w:rFonts w:ascii="宋体" w:hAnsi="宋体" w:cs="宋体" w:hint="eastAsia"/>
        </w:rPr>
        <w:t>将近四分之一没有垃圾填埋堆放地</w:t>
      </w:r>
      <w:r>
        <w:rPr>
          <w:rFonts w:ascii="宋体" w:hAnsi="宋体" w:cs="宋体" w:hint="eastAsia"/>
          <w:vertAlign w:val="superscript"/>
        </w:rPr>
        <w:t>[2]</w:t>
      </w:r>
      <w:r>
        <w:rPr>
          <w:rFonts w:ascii="宋体" w:hAnsi="宋体" w:cs="宋体"/>
        </w:rPr>
        <w:t>。“垃圾围城”</w:t>
      </w:r>
      <w:r>
        <w:rPr>
          <w:rFonts w:ascii="宋体" w:hAnsi="宋体" w:cs="宋体" w:hint="eastAsia"/>
        </w:rPr>
        <w:t>造成</w:t>
      </w:r>
      <w:r>
        <w:rPr>
          <w:rFonts w:ascii="宋体" w:hAnsi="宋体" w:cs="宋体"/>
        </w:rPr>
        <w:t>的环境问题</w:t>
      </w:r>
      <w:r>
        <w:rPr>
          <w:rFonts w:ascii="宋体" w:hAnsi="宋体" w:cs="宋体" w:hint="eastAsia"/>
        </w:rPr>
        <w:t>，</w:t>
      </w:r>
      <w:r>
        <w:rPr>
          <w:rFonts w:ascii="宋体" w:hAnsi="宋体" w:cs="宋体"/>
        </w:rPr>
        <w:t>威胁</w:t>
      </w:r>
      <w:r>
        <w:rPr>
          <w:rFonts w:ascii="宋体" w:hAnsi="宋体" w:cs="宋体" w:hint="eastAsia"/>
        </w:rPr>
        <w:t>到了居民们的</w:t>
      </w:r>
      <w:r>
        <w:rPr>
          <w:rFonts w:ascii="宋体" w:hAnsi="宋体" w:cs="宋体"/>
        </w:rPr>
        <w:t>健康，</w:t>
      </w:r>
      <w:r>
        <w:rPr>
          <w:rFonts w:ascii="宋体" w:hAnsi="宋体" w:cs="宋体" w:hint="eastAsia"/>
        </w:rPr>
        <w:t>也影响到了</w:t>
      </w:r>
      <w:r>
        <w:rPr>
          <w:rFonts w:ascii="宋体" w:hAnsi="宋体" w:cs="宋体"/>
        </w:rPr>
        <w:t>城市</w:t>
      </w:r>
      <w:r>
        <w:rPr>
          <w:rFonts w:ascii="宋体" w:hAnsi="宋体" w:cs="宋体" w:hint="eastAsia"/>
        </w:rPr>
        <w:t>的</w:t>
      </w:r>
      <w:r>
        <w:rPr>
          <w:rFonts w:ascii="宋体" w:hAnsi="宋体" w:cs="宋体"/>
        </w:rPr>
        <w:t>可持续发展。</w:t>
      </w:r>
    </w:p>
    <w:p>
      <w:pPr>
        <w:spacing w:after="156" w:afterLines="50"/>
        <w:ind w:firstLine="480"/>
        <w:rPr>
          <w:rFonts w:ascii="宋体" w:hAnsi="宋体" w:cs="宋体" w:hint="default"/>
        </w:rPr>
      </w:pPr>
      <w:r>
        <w:rPr>
          <w:rFonts w:ascii="宋体" w:hAnsi="宋体" w:cs="宋体"/>
        </w:rPr>
        <w:t>2016年12月，第十四次会议</w:t>
      </w:r>
      <w:r>
        <w:rPr>
          <w:rFonts w:ascii="宋体" w:hAnsi="宋体" w:cs="宋体" w:hint="eastAsia"/>
          <w:lang w:val="en-US" w:eastAsia="zh-CN"/>
        </w:rPr>
        <w:t>上</w:t>
      </w:r>
      <w:r>
        <w:rPr>
          <w:rFonts w:ascii="宋体" w:hAnsi="宋体" w:cs="宋体"/>
        </w:rPr>
        <w:t>习近平总书记</w:t>
      </w:r>
      <w:r>
        <w:rPr>
          <w:rFonts w:ascii="宋体" w:hAnsi="宋体" w:cs="宋体" w:hint="eastAsia"/>
        </w:rPr>
        <w:t>要</w:t>
      </w:r>
      <w:r>
        <w:rPr>
          <w:rFonts w:ascii="宋体" w:hAnsi="宋体" w:cs="宋体" w:hint="eastAsia"/>
          <w:lang w:val="en-US" w:eastAsia="zh-CN"/>
        </w:rPr>
        <w:t>求城市</w:t>
      </w:r>
      <w:r>
        <w:rPr>
          <w:rFonts w:ascii="宋体" w:hAnsi="宋体" w:cs="宋体" w:hint="eastAsia"/>
        </w:rPr>
        <w:t>推行垃圾分类制度</w:t>
      </w:r>
      <w:r>
        <w:rPr>
          <w:rFonts w:ascii="宋体" w:hAnsi="宋体" w:cs="宋体"/>
        </w:rPr>
        <w:t>。2017年3月</w:t>
      </w:r>
      <w:r>
        <w:rPr>
          <w:rFonts w:ascii="宋体" w:hAnsi="宋体" w:cs="宋体" w:hint="eastAsia"/>
        </w:rPr>
        <w:t>30日</w:t>
      </w:r>
      <w:r>
        <w:rPr>
          <w:rFonts w:ascii="宋体" w:hAnsi="宋体" w:cs="宋体"/>
        </w:rPr>
        <w:t>，《</w:t>
      </w:r>
      <w:r>
        <w:rPr>
          <w:rFonts w:ascii="宋体" w:hAnsi="宋体" w:cs="宋体" w:hint="eastAsia"/>
          <w:lang w:val="en-US" w:eastAsia="zh-CN"/>
        </w:rPr>
        <w:t>方案</w:t>
      </w:r>
      <w:r>
        <w:rPr>
          <w:rFonts w:ascii="宋体" w:hAnsi="宋体" w:cs="宋体"/>
        </w:rPr>
        <w:t>》</w:t>
      </w:r>
      <w:r>
        <w:rPr>
          <w:rFonts w:ascii="宋体" w:hAnsi="宋体" w:cs="宋体" w:hint="eastAsia"/>
          <w:lang w:eastAsia="zh-CN"/>
        </w:rPr>
        <w:t>（</w:t>
      </w:r>
      <w:r>
        <w:rPr>
          <w:rFonts w:ascii="宋体" w:hAnsi="宋体" w:cs="宋体" w:hint="eastAsia"/>
          <w:lang w:val="en-US" w:eastAsia="zh-CN"/>
        </w:rPr>
        <w:t>这里指《</w:t>
      </w:r>
      <w:r>
        <w:rPr>
          <w:rFonts w:ascii="宋体" w:hAnsi="宋体" w:cs="宋体"/>
        </w:rPr>
        <w:t>生活垃圾分类制度实施方案</w:t>
      </w:r>
      <w:r>
        <w:rPr>
          <w:rFonts w:ascii="宋体" w:hAnsi="宋体" w:cs="宋体" w:hint="eastAsia"/>
          <w:lang w:eastAsia="zh-CN"/>
        </w:rPr>
        <w:t>》）</w:t>
      </w:r>
      <w:r>
        <w:rPr>
          <w:rFonts w:ascii="宋体" w:hAnsi="宋体" w:cs="宋体" w:hint="eastAsia"/>
          <w:lang w:val="en-US" w:eastAsia="zh-CN"/>
        </w:rPr>
        <w:t>中，实现生活垃圾强制分类的有</w:t>
      </w:r>
      <w:r>
        <w:rPr>
          <w:rFonts w:ascii="宋体" w:hAnsi="宋体" w:cs="宋体"/>
        </w:rPr>
        <w:t>46个</w:t>
      </w:r>
      <w:r>
        <w:rPr>
          <w:rFonts w:ascii="宋体" w:hAnsi="宋体" w:cs="宋体" w:hint="eastAsia"/>
        </w:rPr>
        <w:t>试点</w:t>
      </w:r>
      <w:r>
        <w:rPr>
          <w:rFonts w:ascii="宋体" w:hAnsi="宋体" w:cs="宋体"/>
        </w:rPr>
        <w:t>城市</w:t>
      </w:r>
      <w:r>
        <w:rPr>
          <w:rFonts w:ascii="宋体" w:hAnsi="宋体" w:cs="宋体" w:hint="eastAsia"/>
          <w:lang w:eastAsia="zh-CN"/>
        </w:rPr>
        <w:t>，</w:t>
      </w:r>
      <w:r>
        <w:rPr>
          <w:rFonts w:ascii="宋体" w:hAnsi="宋体" w:cs="宋体" w:hint="eastAsia"/>
          <w:lang w:val="en-US" w:eastAsia="zh-CN"/>
        </w:rPr>
        <w:t>并要求在2020年完善好相应的法律法规体系。</w:t>
      </w:r>
    </w:p>
    <w:p>
      <w:pPr>
        <w:spacing w:after="156" w:afterLines="50"/>
        <w:ind w:firstLine="480"/>
        <w:rPr>
          <w:rFonts w:ascii="宋体" w:hAnsi="宋体" w:cs="宋体"/>
        </w:rPr>
      </w:pPr>
      <w:r>
        <w:rPr>
          <w:rFonts w:ascii="宋体" w:hAnsi="宋体" w:cs="宋体" w:hint="eastAsia"/>
          <w:lang w:eastAsia="zh-CN"/>
        </w:rPr>
        <w:t>桂林</w:t>
      </w:r>
      <w:r>
        <w:rPr>
          <w:rFonts w:ascii="宋体" w:hAnsi="宋体" w:cs="宋体" w:hint="eastAsia"/>
        </w:rPr>
        <w:t>市</w:t>
      </w:r>
      <w:r>
        <w:rPr>
          <w:rFonts w:ascii="宋体" w:hAnsi="宋体" w:cs="宋体" w:hint="eastAsia"/>
          <w:lang w:val="en-US" w:eastAsia="zh-CN"/>
        </w:rPr>
        <w:t>于</w:t>
      </w:r>
      <w:r>
        <w:rPr>
          <w:rFonts w:ascii="宋体" w:hAnsi="宋体" w:cs="宋体" w:hint="eastAsia"/>
        </w:rPr>
        <w:t>2014年</w:t>
      </w:r>
      <w:r>
        <w:rPr>
          <w:rFonts w:ascii="宋体" w:hAnsi="宋体" w:cs="宋体" w:hint="eastAsia"/>
          <w:lang w:val="en-US" w:eastAsia="zh-CN"/>
        </w:rPr>
        <w:t>开始实施生活垃圾分类</w:t>
      </w:r>
      <w:r>
        <w:rPr>
          <w:rFonts w:ascii="宋体" w:hAnsi="宋体" w:cs="宋体" w:hint="eastAsia"/>
        </w:rPr>
        <w:t>，但垃圾分类工作仍然徘徊不前。通过走访发现，</w:t>
      </w:r>
      <w:r>
        <w:rPr>
          <w:rFonts w:ascii="宋体" w:hAnsi="宋体" w:cs="宋体" w:hint="eastAsia"/>
          <w:lang w:eastAsia="zh-CN"/>
        </w:rPr>
        <w:t>桂林</w:t>
      </w:r>
      <w:r>
        <w:rPr>
          <w:rFonts w:ascii="宋体" w:hAnsi="宋体" w:cs="宋体" w:hint="eastAsia"/>
        </w:rPr>
        <w:t>市试点小区内都有分类桶以及宣传栏、宣传海报等，</w:t>
      </w:r>
      <w:r>
        <w:rPr>
          <w:rFonts w:ascii="宋体" w:hAnsi="宋体" w:cs="宋体" w:hint="eastAsia"/>
          <w:lang w:val="en-US" w:eastAsia="zh-CN"/>
        </w:rPr>
        <w:t>然而能正确进行垃圾分类的居民较少</w:t>
      </w:r>
      <w:r>
        <w:rPr>
          <w:rFonts w:ascii="宋体" w:hAnsi="宋体" w:cs="宋体" w:hint="eastAsia"/>
        </w:rPr>
        <w:t>；小区内垃圾分类</w:t>
      </w:r>
      <w:r>
        <w:rPr>
          <w:rFonts w:ascii="宋体" w:hAnsi="宋体" w:cs="宋体" w:hint="eastAsia"/>
          <w:lang w:val="en-US" w:eastAsia="zh-CN"/>
        </w:rPr>
        <w:t>相关知识</w:t>
      </w:r>
      <w:r>
        <w:rPr>
          <w:rFonts w:ascii="宋体" w:hAnsi="宋体" w:cs="宋体" w:hint="eastAsia"/>
        </w:rPr>
        <w:t>宣传力度</w:t>
      </w:r>
      <w:r>
        <w:rPr>
          <w:rFonts w:ascii="宋体" w:hAnsi="宋体" w:cs="宋体" w:hint="eastAsia"/>
          <w:lang w:val="en-US" w:eastAsia="zh-CN"/>
        </w:rPr>
        <w:t>不足</w:t>
      </w:r>
      <w:r>
        <w:rPr>
          <w:rFonts w:ascii="宋体" w:hAnsi="宋体" w:cs="宋体" w:hint="eastAsia"/>
        </w:rPr>
        <w:t>，宣传栏形同虚设，宣传海报不显眼，</w:t>
      </w:r>
      <w:r>
        <w:rPr>
          <w:rFonts w:ascii="宋体" w:hAnsi="宋体" w:cs="宋体" w:hint="eastAsia"/>
          <w:lang w:val="en-US" w:eastAsia="zh-CN"/>
        </w:rPr>
        <w:t>居民对垃圾分类的相关知识了解较少</w:t>
      </w:r>
      <w:r>
        <w:rPr>
          <w:rFonts w:ascii="宋体" w:hAnsi="宋体" w:cs="宋体" w:hint="eastAsia"/>
        </w:rPr>
        <w:t>；</w:t>
      </w:r>
      <w:r>
        <w:rPr>
          <w:rFonts w:ascii="宋体" w:hAnsi="宋体" w:cs="宋体" w:hint="eastAsia"/>
          <w:lang w:val="en-US" w:eastAsia="zh-CN"/>
        </w:rPr>
        <w:t>大多数</w:t>
      </w:r>
      <w:r>
        <w:rPr>
          <w:rFonts w:ascii="宋体" w:hAnsi="宋体" w:cs="宋体" w:hint="eastAsia"/>
        </w:rPr>
        <w:t>居民表示垃圾分类设施离家较远、分类麻烦，不愿意将生活垃圾分类后再倾倒；对于垃圾分类，仅仅有年轻人了解，中老年人并不了解也表示不懂这方面的知识。以上发现都一定程度上反映了居民环境意识、社区设施管理、宣传力度存在的问题。</w:t>
      </w:r>
      <w:r>
        <w:rPr>
          <w:rFonts w:ascii="宋体" w:hAnsi="宋体" w:cs="宋体" w:hint="eastAsia"/>
          <w:lang w:val="en-US" w:eastAsia="zh-CN"/>
        </w:rPr>
        <w:t>居民在生活垃圾分类方面发挥着很大作用，他们的行为决定着</w:t>
      </w:r>
      <w:r>
        <w:rPr>
          <w:rFonts w:ascii="宋体" w:hAnsi="宋体" w:cs="宋体" w:hint="eastAsia"/>
        </w:rPr>
        <w:t>垃圾分类</w:t>
      </w:r>
      <w:r>
        <w:rPr>
          <w:rFonts w:ascii="宋体" w:hAnsi="宋体" w:cs="宋体" w:hint="eastAsia"/>
          <w:lang w:val="en-US" w:eastAsia="zh-CN"/>
        </w:rPr>
        <w:t>能否</w:t>
      </w:r>
      <w:r>
        <w:rPr>
          <w:rFonts w:ascii="宋体" w:hAnsi="宋体" w:cs="宋体" w:hint="eastAsia"/>
        </w:rPr>
        <w:t>有效实施，</w:t>
      </w:r>
      <w:r>
        <w:rPr>
          <w:rFonts w:ascii="宋体" w:hAnsi="宋体" w:cs="宋体"/>
        </w:rPr>
        <w:t>改变城市生活垃圾分类</w:t>
      </w:r>
      <w:r>
        <w:rPr>
          <w:rFonts w:ascii="宋体" w:hAnsi="宋体" w:cs="宋体" w:hint="eastAsia"/>
        </w:rPr>
        <w:t>行为是当下最紧急的任务</w:t>
      </w:r>
      <w:r>
        <w:rPr>
          <w:rFonts w:ascii="宋体" w:hAnsi="宋体" w:cs="宋体"/>
        </w:rPr>
        <w:t>。</w:t>
      </w:r>
    </w:p>
    <w:p>
      <w:pPr>
        <w:pStyle w:val="Heading2"/>
        <w:numPr>
          <w:ilvl w:val="0"/>
          <w:numId w:val="2"/>
        </w:numPr>
        <w:spacing w:before="156" w:beforeLines="50"/>
        <w:ind w:firstLine="420"/>
        <w:rPr>
          <w:rFonts w:ascii="黑体" w:eastAsia="黑体" w:hAnsi="宋体" w:cs="Times New Roman"/>
          <w:b w:val="0"/>
          <w:i w:val="0"/>
          <w:color w:val="auto"/>
          <w:kern w:val="2"/>
          <w:sz w:val="24"/>
          <w:szCs w:val="24"/>
        </w:rPr>
      </w:pPr>
      <w:bookmarkStart w:id="33" w:name="_Toc2964"/>
      <w:bookmarkStart w:id="34" w:name="_Toc21394"/>
      <w:bookmarkStart w:id="35" w:name="_Toc25548"/>
      <w:bookmarkStart w:id="36" w:name="_Toc14859"/>
      <w:bookmarkStart w:id="37" w:name="_Toc3426"/>
      <w:bookmarkStart w:id="38" w:name="_Toc31903"/>
      <w:bookmarkStart w:id="39" w:name="_Toc666"/>
      <w:bookmarkStart w:id="40" w:name="_Toc32180"/>
      <w:bookmarkStart w:id="41" w:name="_Toc26018"/>
      <w:bookmarkStart w:id="42" w:name="_Toc1429"/>
      <w:bookmarkStart w:id="43" w:name="_Toc7874"/>
      <w:bookmarkStart w:id="44" w:name="_Toc23067"/>
      <w:bookmarkStart w:id="45" w:name="_Toc19106"/>
      <w:bookmarkStart w:id="46" w:name="_Toc5837"/>
      <w:bookmarkStart w:id="47" w:name="_Toc3670"/>
      <w:bookmarkStart w:id="48" w:name="_Toc11311"/>
      <w:r>
        <w:rPr>
          <w:rFonts w:ascii="黑体" w:eastAsia="黑体" w:hAnsi="宋体" w:cs="Times New Roman" w:hint="eastAsia"/>
          <w:b w:val="0"/>
          <w:i w:val="0"/>
          <w:color w:val="auto"/>
          <w:kern w:val="2"/>
          <w:sz w:val="24"/>
          <w:szCs w:val="24"/>
        </w:rPr>
        <w:t>研究意义</w:t>
      </w:r>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p>
    <w:p>
      <w:pPr>
        <w:numPr>
          <w:ilvl w:val="0"/>
          <w:numId w:val="3"/>
        </w:numPr>
        <w:ind w:left="0" w:firstLine="425" w:firstLineChars="0"/>
        <w:jc w:val="left"/>
        <w:rPr>
          <w:rFonts w:ascii="黑体" w:eastAsia="黑体" w:hAnsi="宋体" w:cs="Times New Roman"/>
          <w:szCs w:val="24"/>
        </w:rPr>
        <w:sectPr>
          <w:headerReference w:type="default" r:id="rId9"/>
          <w:footerReference w:type="default" r:id="rId10"/>
          <w:type w:val="nextPage"/>
          <w:pgSz w:w="11850" w:h="16783"/>
          <w:pgMar w:top="1134" w:right="1134" w:bottom="1134" w:left="1531" w:header="851" w:footer="992" w:gutter="0"/>
          <w:pgNumType w:start="2"/>
          <w:cols w:num="1" w:space="0"/>
          <w:titlePg w:val="0"/>
          <w:docGrid w:type="lines" w:linePitch="312" w:charSpace="0"/>
        </w:sectPr>
      </w:pPr>
      <w:r>
        <w:rPr>
          <w:rFonts w:ascii="黑体" w:eastAsia="黑体" w:hAnsi="宋体" w:cs="Times New Roman" w:hint="eastAsia"/>
          <w:szCs w:val="24"/>
        </w:rPr>
        <w:t>理论意义</w:t>
      </w:r>
    </w:p>
    <w:p>
      <w:pPr>
        <w:spacing w:after="156" w:afterLines="50"/>
        <w:ind w:firstLine="480"/>
        <w:rPr>
          <w:rStyle w:val="CommentReference"/>
        </w:rPr>
      </w:pPr>
      <w:r>
        <w:rPr>
          <w:rFonts w:ascii="宋体" w:hAnsi="宋体" w:cs="宋体" w:hint="eastAsia"/>
        </w:rPr>
        <w:t>在已有文献中显示，关于居民生活垃圾分类行为的研究主要集中在理论分析层面，实证分析层面比较缺乏。因此本文结合计划行为理论和态度—行为—情景理论对居民生活垃圾分类的影响因素进行分析研究，通过数据样本的收集，对提出的假设进行验证，分析社会层面、个人心理层面、政策层面与分类行为之间的关系，因地制宜的探索出符合</w:t>
      </w:r>
      <w:r>
        <w:rPr>
          <w:rFonts w:ascii="宋体" w:hAnsi="宋体" w:cs="宋体" w:hint="eastAsia"/>
          <w:lang w:eastAsia="zh-CN"/>
        </w:rPr>
        <w:t>桂林</w:t>
      </w:r>
      <w:r>
        <w:rPr>
          <w:rFonts w:ascii="宋体" w:hAnsi="宋体" w:cs="宋体" w:hint="eastAsia"/>
        </w:rPr>
        <w:t>市生活垃圾分类发展需要的管理体系。希望本文的设计思路和结论可以为之后的研究提供有用依据。</w:t>
      </w:r>
    </w:p>
    <w:p>
      <w:pPr>
        <w:numPr>
          <w:ilvl w:val="0"/>
          <w:numId w:val="27"/>
        </w:numPr>
        <w:ind w:firstLine="425" w:firstLineChars="0"/>
        <w:jc w:val="left"/>
        <w:rPr>
          <w:rFonts w:ascii="黑体" w:eastAsia="黑体" w:hAnsi="宋体" w:cs="Times New Roman"/>
          <w:szCs w:val="24"/>
        </w:rPr>
      </w:pPr>
      <w:r>
        <w:rPr>
          <w:rFonts w:ascii="黑体" w:eastAsia="黑体" w:hAnsi="宋体" w:cs="Times New Roman" w:hint="eastAsia"/>
          <w:szCs w:val="24"/>
        </w:rPr>
        <w:t>现实意义</w:t>
      </w:r>
    </w:p>
    <w:p>
      <w:pPr>
        <w:spacing w:after="156" w:afterLines="50"/>
        <w:ind w:firstLine="480"/>
        <w:rPr>
          <w:rFonts w:ascii="宋体" w:hAnsi="宋体" w:cs="宋体"/>
        </w:rPr>
      </w:pPr>
      <w:r>
        <w:rPr>
          <w:rFonts w:ascii="宋体" w:hAnsi="宋体" w:cs="宋体" w:hint="eastAsia"/>
        </w:rPr>
        <w:t>我国政府</w:t>
      </w:r>
      <w:r>
        <w:rPr>
          <w:rFonts w:ascii="宋体" w:hAnsi="宋体" w:cs="宋体" w:hint="eastAsia"/>
          <w:lang w:val="en-US" w:eastAsia="zh-CN"/>
        </w:rPr>
        <w:t>虽然</w:t>
      </w:r>
      <w:r>
        <w:rPr>
          <w:rFonts w:ascii="宋体" w:hAnsi="宋体" w:cs="宋体" w:hint="eastAsia"/>
        </w:rPr>
        <w:t>意识到垃圾分类</w:t>
      </w:r>
      <w:r>
        <w:rPr>
          <w:rFonts w:ascii="宋体" w:hAnsi="宋体" w:cs="宋体" w:hint="eastAsia"/>
          <w:lang w:val="en-US" w:eastAsia="zh-CN"/>
        </w:rPr>
        <w:t>的</w:t>
      </w:r>
      <w:r>
        <w:rPr>
          <w:rFonts w:ascii="宋体" w:hAnsi="宋体" w:cs="宋体" w:hint="eastAsia"/>
        </w:rPr>
        <w:t>重要性，为缓解此问题也提出了</w:t>
      </w:r>
      <w:r>
        <w:rPr>
          <w:rFonts w:ascii="宋体" w:hAnsi="宋体" w:cs="宋体" w:hint="eastAsia"/>
          <w:lang w:val="en-US" w:eastAsia="zh-CN"/>
        </w:rPr>
        <w:t>相应的措施</w:t>
      </w:r>
      <w:r>
        <w:rPr>
          <w:rFonts w:ascii="宋体" w:hAnsi="宋体" w:cs="宋体" w:hint="eastAsia"/>
        </w:rPr>
        <w:t>，但城市居民垃圾分类的行为并没有改善，主要还是因为不清楚哪种措施对于促进垃圾分类行为的影响更大。本</w:t>
      </w:r>
      <w:r>
        <w:rPr>
          <w:rFonts w:ascii="宋体" w:hAnsi="宋体" w:cs="宋体" w:hint="eastAsia"/>
          <w:lang w:val="en-US" w:eastAsia="zh-CN"/>
        </w:rPr>
        <w:t>文</w:t>
      </w:r>
      <w:r>
        <w:rPr>
          <w:rFonts w:ascii="宋体" w:hAnsi="宋体" w:cs="宋体" w:hint="eastAsia"/>
        </w:rPr>
        <w:t>对影响垃圾分类行为</w:t>
      </w:r>
      <w:r>
        <w:rPr>
          <w:rFonts w:ascii="宋体" w:hAnsi="宋体" w:cs="宋体" w:hint="eastAsia"/>
          <w:lang w:val="en-US" w:eastAsia="zh-CN"/>
        </w:rPr>
        <w:t>的</w:t>
      </w:r>
      <w:r>
        <w:rPr>
          <w:rFonts w:ascii="宋体" w:hAnsi="宋体" w:cs="宋体" w:hint="eastAsia"/>
        </w:rPr>
        <w:t>因素</w:t>
      </w:r>
      <w:r>
        <w:rPr>
          <w:rFonts w:ascii="宋体" w:hAnsi="宋体" w:cs="宋体" w:hint="eastAsia"/>
          <w:lang w:val="en-US" w:eastAsia="zh-CN"/>
        </w:rPr>
        <w:t>进行</w:t>
      </w:r>
      <w:r>
        <w:rPr>
          <w:rFonts w:ascii="宋体" w:hAnsi="宋体" w:cs="宋体" w:hint="eastAsia"/>
        </w:rPr>
        <w:t>分析，得出各个影响因素在居民生活垃圾分类行为中的作用，对于未来的垃圾分类行为有积极意义。对于</w:t>
      </w:r>
      <w:r>
        <w:rPr>
          <w:rFonts w:ascii="宋体" w:hAnsi="宋体" w:cs="宋体" w:hint="eastAsia"/>
          <w:lang w:eastAsia="zh-CN"/>
        </w:rPr>
        <w:t>桂林</w:t>
      </w:r>
      <w:r>
        <w:rPr>
          <w:rFonts w:ascii="宋体" w:hAnsi="宋体" w:cs="宋体" w:hint="eastAsia"/>
        </w:rPr>
        <w:t>市而言，可以为今后</w:t>
      </w:r>
      <w:r>
        <w:rPr>
          <w:rFonts w:ascii="宋体" w:hAnsi="宋体" w:cs="宋体" w:hint="eastAsia"/>
          <w:lang w:eastAsia="zh-CN"/>
        </w:rPr>
        <w:t>桂林</w:t>
      </w:r>
      <w:r>
        <w:rPr>
          <w:rFonts w:ascii="宋体" w:hAnsi="宋体" w:cs="宋体" w:hint="eastAsia"/>
        </w:rPr>
        <w:t>市全面推行垃圾分类政策提供有益的参考</w:t>
      </w:r>
      <w:r>
        <w:rPr>
          <w:rFonts w:ascii="宋体" w:hAnsi="宋体" w:cs="宋体" w:hint="eastAsia"/>
          <w:lang w:eastAsia="zh-CN"/>
        </w:rPr>
        <w:t>。</w:t>
      </w:r>
    </w:p>
    <w:p>
      <w:pPr>
        <w:pStyle w:val="Heading2"/>
        <w:numPr>
          <w:ilvl w:val="0"/>
          <w:numId w:val="2"/>
        </w:numPr>
        <w:spacing w:before="156" w:beforeLines="50"/>
        <w:ind w:firstLine="420"/>
        <w:rPr>
          <w:rFonts w:ascii="黑体" w:eastAsia="黑体" w:hAnsi="宋体" w:cs="Times New Roman"/>
          <w:b w:val="0"/>
          <w:i w:val="0"/>
          <w:color w:val="auto"/>
          <w:kern w:val="2"/>
          <w:sz w:val="24"/>
          <w:szCs w:val="24"/>
        </w:rPr>
      </w:pPr>
      <w:bookmarkStart w:id="49" w:name="_Toc9489"/>
      <w:bookmarkStart w:id="50" w:name="_Toc20565"/>
      <w:bookmarkStart w:id="51" w:name="_Toc14594"/>
      <w:bookmarkStart w:id="52" w:name="_Toc25416"/>
      <w:bookmarkStart w:id="53" w:name="_Toc15502"/>
      <w:bookmarkStart w:id="54" w:name="_Toc17880"/>
      <w:bookmarkStart w:id="55" w:name="_Toc18248"/>
      <w:bookmarkStart w:id="56" w:name="_Toc1586"/>
      <w:bookmarkStart w:id="57" w:name="_Toc8261"/>
      <w:bookmarkStart w:id="58" w:name="_Toc4703"/>
      <w:bookmarkStart w:id="59" w:name="_Toc29962"/>
      <w:bookmarkStart w:id="60" w:name="_Toc10819"/>
      <w:bookmarkStart w:id="61" w:name="_Toc3115"/>
      <w:bookmarkStart w:id="62" w:name="_Toc21019"/>
      <w:bookmarkStart w:id="63" w:name="_Toc13779"/>
      <w:bookmarkStart w:id="64" w:name="_Toc6464"/>
      <w:r>
        <w:rPr>
          <w:rFonts w:ascii="黑体" w:eastAsia="黑体" w:hAnsi="宋体" w:cs="Times New Roman" w:hint="eastAsia"/>
          <w:b w:val="0"/>
          <w:i w:val="0"/>
          <w:color w:val="auto"/>
          <w:kern w:val="2"/>
          <w:sz w:val="24"/>
          <w:szCs w:val="24"/>
        </w:rPr>
        <w:t>研究内容</w:t>
      </w:r>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p>
    <w:p>
      <w:pPr>
        <w:spacing w:after="156" w:afterLines="50"/>
        <w:ind w:firstLine="480"/>
        <w:rPr>
          <w:rFonts w:ascii="宋体" w:hAnsi="宋体" w:cs="宋体"/>
        </w:rPr>
      </w:pPr>
      <w:r>
        <w:rPr>
          <w:rFonts w:ascii="宋体" w:hAnsi="宋体" w:cs="宋体" w:hint="eastAsia"/>
          <w:lang w:val="en-US" w:eastAsia="zh-CN"/>
        </w:rPr>
        <w:t>本文以城市居民生活垃圾分类行为的影响因素为研究内容，</w:t>
      </w:r>
      <w:r>
        <w:rPr>
          <w:rFonts w:ascii="宋体" w:hAnsi="宋体" w:cs="宋体"/>
        </w:rPr>
        <w:t>以</w:t>
      </w:r>
      <w:r>
        <w:rPr>
          <w:rFonts w:ascii="宋体" w:hAnsi="宋体" w:cs="宋体" w:hint="eastAsia"/>
          <w:lang w:eastAsia="zh-CN"/>
        </w:rPr>
        <w:t>桂林</w:t>
      </w:r>
      <w:r>
        <w:rPr>
          <w:rFonts w:ascii="宋体" w:hAnsi="宋体" w:cs="宋体" w:hint="eastAsia"/>
        </w:rPr>
        <w:t>市垃圾分类试点小区</w:t>
      </w:r>
      <w:r>
        <w:rPr>
          <w:rFonts w:ascii="宋体" w:hAnsi="宋体" w:cs="宋体" w:hint="eastAsia"/>
          <w:lang w:val="en-US" w:eastAsia="zh-CN"/>
        </w:rPr>
        <w:t>居民</w:t>
      </w:r>
      <w:r>
        <w:rPr>
          <w:rFonts w:ascii="宋体" w:hAnsi="宋体" w:cs="宋体"/>
        </w:rPr>
        <w:t>为</w:t>
      </w:r>
      <w:r>
        <w:rPr>
          <w:rFonts w:ascii="宋体" w:hAnsi="宋体" w:cs="宋体" w:hint="eastAsia"/>
          <w:lang w:val="en-US" w:eastAsia="zh-CN"/>
        </w:rPr>
        <w:t>研究样本进行调查</w:t>
      </w:r>
      <w:r>
        <w:rPr>
          <w:rFonts w:ascii="宋体" w:hAnsi="宋体" w:cs="宋体" w:hint="eastAsia"/>
        </w:rPr>
        <w:t>，</w:t>
      </w:r>
      <w:r>
        <w:rPr>
          <w:rFonts w:ascii="宋体" w:hAnsi="宋体" w:cs="宋体" w:hint="eastAsia"/>
          <w:lang w:val="en-US" w:eastAsia="zh-CN"/>
        </w:rPr>
        <w:t>具体包括以下几个方面内容：</w:t>
      </w:r>
    </w:p>
    <w:p>
      <w:pPr>
        <w:numPr>
          <w:ilvl w:val="0"/>
          <w:numId w:val="4"/>
        </w:numPr>
        <w:spacing w:after="156" w:afterLines="50"/>
        <w:ind w:firstLine="480"/>
        <w:rPr>
          <w:rFonts w:ascii="宋体" w:hAnsi="宋体" w:cs="宋体"/>
        </w:rPr>
      </w:pPr>
      <w:r>
        <w:rPr>
          <w:rFonts w:ascii="宋体" w:hAnsi="宋体" w:cs="宋体" w:hint="eastAsia"/>
          <w:lang w:val="en-US" w:eastAsia="zh-CN"/>
        </w:rPr>
        <w:t>绪论：对</w:t>
      </w:r>
      <w:r>
        <w:rPr>
          <w:rFonts w:ascii="宋体" w:hAnsi="宋体" w:cs="宋体" w:hint="eastAsia"/>
        </w:rPr>
        <w:t>选题的背景和意义</w:t>
      </w:r>
      <w:r>
        <w:rPr>
          <w:rFonts w:ascii="宋体" w:hAnsi="宋体" w:cs="宋体"/>
        </w:rPr>
        <w:t>，研究</w:t>
      </w:r>
      <w:r>
        <w:rPr>
          <w:rFonts w:ascii="宋体" w:hAnsi="宋体" w:cs="宋体" w:hint="eastAsia"/>
        </w:rPr>
        <w:t>内容</w:t>
      </w:r>
      <w:r>
        <w:rPr>
          <w:rFonts w:ascii="宋体" w:hAnsi="宋体" w:cs="宋体" w:hint="eastAsia"/>
          <w:lang w:val="en-US" w:eastAsia="zh-CN"/>
        </w:rPr>
        <w:t>和步骤</w:t>
      </w:r>
      <w:r>
        <w:rPr>
          <w:rFonts w:ascii="宋体" w:hAnsi="宋体" w:cs="宋体"/>
        </w:rPr>
        <w:t>、</w:t>
      </w:r>
      <w:r>
        <w:rPr>
          <w:rFonts w:ascii="宋体" w:hAnsi="宋体" w:cs="宋体" w:hint="eastAsia"/>
        </w:rPr>
        <w:t>研究的创新点与不足</w:t>
      </w:r>
      <w:r>
        <w:rPr>
          <w:rFonts w:ascii="宋体" w:hAnsi="宋体" w:cs="宋体" w:hint="eastAsia"/>
          <w:lang w:val="en-US" w:eastAsia="zh-CN"/>
        </w:rPr>
        <w:t>进行阐述。</w:t>
      </w:r>
    </w:p>
    <w:p>
      <w:pPr>
        <w:numPr>
          <w:ilvl w:val="0"/>
          <w:numId w:val="4"/>
        </w:numPr>
        <w:spacing w:after="156" w:afterLines="50"/>
        <w:ind w:firstLine="480"/>
        <w:rPr>
          <w:lang w:val="zh-TW" w:eastAsia="zh-TW"/>
        </w:rPr>
      </w:pPr>
      <w:r>
        <w:rPr>
          <w:rFonts w:ascii="宋体" w:hAnsi="宋体" w:cs="宋体" w:hint="eastAsia"/>
          <w:lang w:val="en-US" w:eastAsia="zh-CN"/>
        </w:rPr>
        <w:t>文献综述：收集其他学者的理论经验，对国内外研究文献材料进行简要评述。</w:t>
      </w:r>
    </w:p>
    <w:p>
      <w:pPr>
        <w:numPr>
          <w:ilvl w:val="0"/>
          <w:numId w:val="4"/>
        </w:numPr>
        <w:spacing w:after="156" w:afterLines="50"/>
        <w:ind w:firstLine="480"/>
        <w:rPr>
          <w:rFonts w:ascii="宋体" w:hAnsi="宋体" w:cs="宋体"/>
        </w:rPr>
      </w:pPr>
      <w:r>
        <w:rPr>
          <w:rFonts w:ascii="宋体" w:hAnsi="宋体" w:cs="宋体" w:hint="eastAsia"/>
          <w:lang w:val="en-US" w:eastAsia="zh-CN"/>
        </w:rPr>
        <w:t>研究设计：主要有研究假设、研究的工具和研究方法。以</w:t>
      </w:r>
      <w:r>
        <w:rPr>
          <w:lang w:val="zh-TW" w:eastAsia="zh-TW"/>
        </w:rPr>
        <w:t>研究的问题</w:t>
      </w:r>
      <w:r>
        <w:rPr>
          <w:rFonts w:hint="eastAsia"/>
          <w:lang w:val="en-US" w:eastAsia="zh-CN"/>
        </w:rPr>
        <w:t>来</w:t>
      </w:r>
      <w:r>
        <w:rPr>
          <w:lang w:val="zh-TW" w:eastAsia="zh-TW"/>
        </w:rPr>
        <w:t xml:space="preserve">架构本文的研究假设，同时详细描述调查的整个过程使用的工具和方法，讲述本文研究方法是如何在文章中得到具体运用的，并设计调查问卷和确定调查程序。 </w:t>
      </w:r>
    </w:p>
    <w:p>
      <w:pPr>
        <w:numPr>
          <w:ilvl w:val="0"/>
          <w:numId w:val="4"/>
        </w:numPr>
        <w:spacing w:after="156" w:afterLines="50"/>
        <w:ind w:firstLine="480"/>
        <w:rPr>
          <w:rFonts w:ascii="宋体" w:hAnsi="宋体" w:cs="宋体"/>
        </w:rPr>
      </w:pPr>
      <w:r>
        <w:rPr>
          <w:rFonts w:ascii="宋体" w:hAnsi="宋体" w:cs="宋体" w:hint="eastAsia"/>
          <w:lang w:val="en-US" w:eastAsia="zh-CN"/>
        </w:rPr>
        <w:t>调查数据结果分析：</w:t>
      </w:r>
      <w:r>
        <w:rPr>
          <w:lang w:val="zh-TW" w:eastAsia="zh-TW"/>
        </w:rPr>
        <w:t>调查数据结果分析</w:t>
      </w:r>
      <w:r>
        <w:rPr>
          <w:rFonts w:hint="eastAsia"/>
          <w:lang w:val="zh-TW" w:eastAsia="zh-TW"/>
        </w:rPr>
        <w:t>：</w:t>
      </w:r>
      <w:r>
        <w:rPr>
          <w:rFonts w:hint="eastAsia"/>
          <w:lang w:val="en-US" w:eastAsia="zh-CN"/>
        </w:rPr>
        <w:t>整理收集到的样本数据</w:t>
      </w:r>
      <w:r>
        <w:rPr>
          <w:lang w:val="zh-TW" w:eastAsia="zh-TW"/>
        </w:rPr>
        <w:t>，运用</w:t>
      </w:r>
      <w:r>
        <w:rPr>
          <w:rFonts w:ascii="Times New Roman" w:hAnsi="Times New Roman" w:cs="Times New Roman"/>
        </w:rPr>
        <w:t>SPSS</w:t>
      </w:r>
      <w:r>
        <w:rPr>
          <w:lang w:val="zh-TW" w:eastAsia="zh-TW"/>
        </w:rPr>
        <w:t>统计分析软件对样本进行描述性统计分析、信度与效度检验和</w:t>
      </w:r>
      <w:r>
        <w:rPr>
          <w:rFonts w:hint="eastAsia"/>
          <w:lang w:val="en-US" w:eastAsia="zh-CN"/>
        </w:rPr>
        <w:t>相关分析、回归分析</w:t>
      </w:r>
      <w:r>
        <w:rPr>
          <w:lang w:val="zh-TW" w:eastAsia="zh-TW"/>
        </w:rPr>
        <w:t xml:space="preserve">，验证相关变量之间的关系。 </w:t>
      </w:r>
    </w:p>
    <w:p>
      <w:pPr>
        <w:numPr>
          <w:ilvl w:val="0"/>
          <w:numId w:val="4"/>
        </w:numPr>
        <w:spacing w:after="156" w:afterLines="50"/>
        <w:ind w:firstLine="480"/>
        <w:rPr>
          <w:rFonts w:ascii="宋体" w:hAnsi="宋体" w:cs="宋体"/>
        </w:rPr>
      </w:pPr>
      <w:r>
        <w:rPr>
          <w:rFonts w:ascii="宋体" w:hAnsi="宋体" w:cs="宋体" w:hint="eastAsia"/>
          <w:lang w:val="en-US" w:eastAsia="zh-CN"/>
        </w:rPr>
        <w:t>结果与讨论:对调查研究成果进行汇总讨论，</w:t>
      </w:r>
      <w:r>
        <w:rPr>
          <w:rFonts w:ascii="宋体" w:hAnsi="宋体" w:cs="宋体"/>
        </w:rPr>
        <w:t>提出</w:t>
      </w:r>
      <w:r>
        <w:rPr>
          <w:rFonts w:ascii="宋体" w:hAnsi="宋体" w:cs="宋体" w:hint="eastAsia"/>
        </w:rPr>
        <w:t>对</w:t>
      </w:r>
      <w:r>
        <w:rPr>
          <w:rFonts w:ascii="宋体" w:hAnsi="宋体" w:cs="宋体" w:hint="eastAsia"/>
          <w:lang w:eastAsia="zh-CN"/>
        </w:rPr>
        <w:t>桂林</w:t>
      </w:r>
      <w:r>
        <w:rPr>
          <w:rFonts w:ascii="宋体" w:hAnsi="宋体" w:cs="宋体" w:hint="eastAsia"/>
        </w:rPr>
        <w:t>市居民生活垃圾分类行为有</w:t>
      </w:r>
      <w:r>
        <w:rPr>
          <w:rFonts w:ascii="宋体" w:hAnsi="宋体" w:cs="宋体" w:hint="eastAsia"/>
          <w:lang w:val="en-US" w:eastAsia="zh-CN"/>
        </w:rPr>
        <w:t>促进作用</w:t>
      </w:r>
      <w:r>
        <w:rPr>
          <w:rFonts w:ascii="宋体" w:hAnsi="宋体" w:cs="宋体" w:hint="eastAsia"/>
        </w:rPr>
        <w:t>的</w:t>
      </w:r>
      <w:r>
        <w:rPr>
          <w:rFonts w:ascii="宋体" w:hAnsi="宋体" w:cs="宋体" w:hint="eastAsia"/>
          <w:lang w:val="en-US" w:eastAsia="zh-CN"/>
        </w:rPr>
        <w:t>合理建议。</w:t>
      </w:r>
    </w:p>
    <w:p>
      <w:pPr>
        <w:pStyle w:val="Heading2"/>
        <w:numPr>
          <w:ilvl w:val="0"/>
          <w:numId w:val="2"/>
        </w:numPr>
        <w:spacing w:before="156" w:beforeLines="50"/>
        <w:ind w:firstLine="420"/>
        <w:rPr>
          <w:rFonts w:ascii="黑体" w:eastAsia="黑体" w:hAnsi="宋体" w:cs="Times New Roman" w:hint="eastAsia"/>
          <w:b w:val="0"/>
          <w:i w:val="0"/>
          <w:color w:val="auto"/>
          <w:kern w:val="2"/>
          <w:sz w:val="24"/>
          <w:szCs w:val="24"/>
        </w:rPr>
      </w:pPr>
      <w:bookmarkStart w:id="65" w:name="_Toc27334"/>
      <w:bookmarkStart w:id="66" w:name="_Toc17172"/>
      <w:bookmarkStart w:id="67" w:name="_Toc21124"/>
      <w:bookmarkStart w:id="68" w:name="_Toc15739"/>
      <w:bookmarkStart w:id="69" w:name="_Toc19318"/>
      <w:bookmarkStart w:id="70" w:name="_Toc17191"/>
      <w:bookmarkStart w:id="71" w:name="_Toc20066"/>
      <w:bookmarkStart w:id="72" w:name="_Toc10780"/>
      <w:bookmarkStart w:id="73" w:name="_Toc16180"/>
      <w:bookmarkStart w:id="74" w:name="_Toc15924"/>
      <w:r>
        <w:rPr>
          <w:rFonts w:ascii="黑体" w:eastAsia="黑体" w:hAnsi="宋体" w:cs="Times New Roman" w:hint="eastAsia"/>
          <w:b w:val="0"/>
          <w:i w:val="0"/>
          <w:color w:val="auto"/>
          <w:kern w:val="2"/>
          <w:sz w:val="24"/>
          <w:szCs w:val="24"/>
          <w:lang w:val="en-US" w:eastAsia="zh-CN"/>
        </w:rPr>
        <w:t>研究步骤</w:t>
      </w:r>
      <w:bookmarkEnd w:id="65"/>
      <w:bookmarkEnd w:id="66"/>
      <w:bookmarkEnd w:id="67"/>
      <w:bookmarkEnd w:id="68"/>
      <w:bookmarkEnd w:id="69"/>
      <w:bookmarkEnd w:id="70"/>
      <w:bookmarkEnd w:id="71"/>
      <w:bookmarkEnd w:id="72"/>
      <w:bookmarkEnd w:id="73"/>
      <w:bookmarkEnd w:id="74"/>
    </w:p>
    <w:p>
      <w:pPr>
        <w:spacing w:after="156" w:afterLines="50"/>
        <w:ind w:firstLine="480"/>
        <w:rPr>
          <w:rFonts w:ascii="宋体" w:hAnsi="宋体" w:cs="宋体" w:hint="eastAsia"/>
        </w:rPr>
        <w:sectPr>
          <w:headerReference w:type="default" r:id="rId11"/>
          <w:footerReference w:type="default" r:id="rId12"/>
          <w:type w:val="nextPage"/>
          <w:pgSz w:w="11850" w:h="16783"/>
          <w:pgMar w:top="1134" w:right="1134" w:bottom="1134" w:left="1531" w:header="851" w:footer="992" w:gutter="0"/>
          <w:pgNumType w:start="3"/>
          <w:cols w:num="1" w:space="0"/>
          <w:titlePg w:val="0"/>
          <w:docGrid w:type="lines" w:linePitch="312" w:charSpace="0"/>
        </w:sectPr>
      </w:pPr>
      <w:r>
        <w:rPr>
          <w:rFonts w:ascii="宋体" w:eastAsia="宋体" w:hAnsi="宋体" w:cs="宋体" w:hint="eastAsia"/>
          <w:b w:val="0"/>
          <w:i w:val="0"/>
          <w:kern w:val="2"/>
          <w:sz w:val="24"/>
          <w:szCs w:val="22"/>
          <w:lang w:val="en-US" w:eastAsia="zh-CN"/>
        </w:rPr>
        <w:t>本文研究步骤图下（图</w:t>
      </w:r>
      <w:r>
        <w:rPr>
          <w:rFonts w:ascii="宋体" w:hAnsi="宋体" w:cs="宋体" w:hint="eastAsia"/>
          <w:b w:val="0"/>
          <w:i w:val="0"/>
          <w:kern w:val="2"/>
          <w:sz w:val="24"/>
          <w:szCs w:val="22"/>
          <w:lang w:val="en-US" w:eastAsia="zh-CN"/>
        </w:rPr>
        <w:t>1</w:t>
      </w:r>
      <w:r>
        <w:rPr>
          <w:rFonts w:ascii="宋体" w:eastAsia="宋体" w:hAnsi="宋体" w:cs="宋体" w:hint="eastAsia"/>
          <w:b w:val="0"/>
          <w:i w:val="0"/>
          <w:kern w:val="2"/>
          <w:sz w:val="24"/>
          <w:szCs w:val="22"/>
          <w:lang w:val="en-US" w:eastAsia="zh-CN"/>
        </w:rPr>
        <w:t>）</w:t>
      </w:r>
    </w:p>
    <w:p>
      <w:pPr>
        <w:spacing w:after="156" w:afterLines="50"/>
        <w:ind w:firstLine="480"/>
        <w:jc w:val="center"/>
        <w:rPr>
          <w:rFonts w:ascii="宋体" w:hAnsi="宋体" w:cs="宋体" w:hint="default"/>
        </w:rPr>
      </w:pPr>
      <w:r>
        <w:rPr>
          <w:rFonts w:ascii="宋体" w:hAnsi="宋体" w:cs="宋体" w:hint="default"/>
          <w:lang w:val="en-US" w:eastAsia="zh-CN"/>
        </w:rPr>
        <w:drawing>
          <wp:inline distT="0" distB="0" distL="114300" distR="114300">
            <wp:extent cx="4267200" cy="3162300"/>
            <wp:effectExtent l="0" t="0" r="0" b="0"/>
            <wp:docPr id="21" name="图片 21" descr="未命名文件(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未命名文件(1)"/>
                    <pic:cNvPicPr>
                      <a:picLocks noChangeAspect="1"/>
                    </pic:cNvPicPr>
                  </pic:nvPicPr>
                  <pic:blipFill>
                    <a:blip xmlns:r="http://schemas.openxmlformats.org/officeDocument/2006/relationships" r:embed="rId13"/>
                    <a:stretch>
                      <a:fillRect/>
                    </a:stretch>
                  </pic:blipFill>
                  <pic:spPr>
                    <a:xfrm>
                      <a:off x="0" y="0"/>
                      <a:ext cx="4267200" cy="3162300"/>
                    </a:xfrm>
                    <a:prstGeom prst="rect">
                      <a:avLst/>
                    </a:prstGeom>
                  </pic:spPr>
                </pic:pic>
              </a:graphicData>
            </a:graphic>
          </wp:inline>
        </w:drawing>
      </w:r>
    </w:p>
    <w:p>
      <w:pPr>
        <w:jc w:val="center"/>
        <w:rPr>
          <w:rFonts w:hint="default"/>
        </w:rPr>
      </w:pPr>
      <w:bookmarkStart w:id="75" w:name="_Toc31318"/>
      <w:bookmarkStart w:id="76" w:name="_Toc21173"/>
      <w:bookmarkStart w:id="77" w:name="_Toc20327"/>
      <w:bookmarkStart w:id="78" w:name="_Toc11458"/>
      <w:bookmarkStart w:id="79" w:name="_Toc16757"/>
      <w:bookmarkStart w:id="80" w:name="_Toc9098"/>
      <w:bookmarkStart w:id="81" w:name="_Toc8205"/>
      <w:bookmarkStart w:id="82" w:name="_Toc12943"/>
      <w:bookmarkStart w:id="83" w:name="_Toc18739"/>
      <w:bookmarkStart w:id="84" w:name="_Toc7643"/>
      <w:r>
        <w:rPr>
          <w:rFonts w:hint="default"/>
          <w:lang w:val="en-US" w:eastAsia="zh-CN"/>
        </w:rPr>
        <w:t>图</w:t>
      </w:r>
      <w:r>
        <w:rPr>
          <w:rFonts w:hint="eastAsia"/>
          <w:lang w:val="en-US" w:eastAsia="zh-CN"/>
        </w:rPr>
        <w:t>1</w:t>
      </w:r>
      <w:r>
        <w:rPr>
          <w:rFonts w:hint="default"/>
          <w:lang w:val="en-US" w:eastAsia="zh-CN"/>
        </w:rPr>
        <w:t xml:space="preserve"> 研究步骤图</w:t>
      </w:r>
      <w:bookmarkEnd w:id="75"/>
      <w:bookmarkEnd w:id="76"/>
      <w:bookmarkEnd w:id="77"/>
      <w:bookmarkEnd w:id="78"/>
    </w:p>
    <w:p>
      <w:pPr>
        <w:pStyle w:val="Heading2"/>
        <w:numPr>
          <w:ilvl w:val="0"/>
          <w:numId w:val="2"/>
        </w:numPr>
        <w:spacing w:before="156" w:beforeLines="50"/>
        <w:ind w:firstLine="420"/>
        <w:rPr>
          <w:rFonts w:ascii="黑体" w:eastAsia="黑体" w:hAnsi="宋体" w:cs="Times New Roman" w:hint="eastAsia"/>
          <w:b w:val="0"/>
          <w:i w:val="0"/>
          <w:color w:val="auto"/>
          <w:kern w:val="2"/>
          <w:sz w:val="24"/>
          <w:szCs w:val="24"/>
        </w:rPr>
      </w:pPr>
      <w:r>
        <w:rPr>
          <w:rFonts w:ascii="黑体" w:eastAsia="黑体" w:hAnsi="宋体" w:cs="Times New Roman" w:hint="eastAsia"/>
          <w:b w:val="0"/>
          <w:i w:val="0"/>
          <w:color w:val="auto"/>
          <w:kern w:val="2"/>
          <w:sz w:val="24"/>
          <w:szCs w:val="24"/>
        </w:rPr>
        <w:t xml:space="preserve"> </w:t>
      </w:r>
      <w:bookmarkStart w:id="85" w:name="_Toc32450"/>
      <w:bookmarkStart w:id="86" w:name="_Toc20817"/>
      <w:bookmarkStart w:id="87" w:name="_Toc25857"/>
      <w:bookmarkStart w:id="88" w:name="_Toc27391"/>
      <w:bookmarkStart w:id="89" w:name="_Toc2532"/>
      <w:bookmarkStart w:id="90" w:name="_Toc4859"/>
      <w:bookmarkStart w:id="91" w:name="_Toc19968"/>
      <w:bookmarkStart w:id="92" w:name="_Toc32044"/>
      <w:bookmarkStart w:id="93" w:name="_Toc11351"/>
      <w:bookmarkStart w:id="94" w:name="_Toc32510"/>
      <w:r>
        <w:rPr>
          <w:rFonts w:ascii="黑体" w:eastAsia="黑体" w:hAnsi="宋体" w:cs="Times New Roman" w:hint="eastAsia"/>
          <w:b w:val="0"/>
          <w:i w:val="0"/>
          <w:color w:val="auto"/>
          <w:kern w:val="2"/>
          <w:sz w:val="24"/>
          <w:szCs w:val="24"/>
        </w:rPr>
        <w:t>创新点与不足</w:t>
      </w:r>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p>
    <w:p>
      <w:pPr>
        <w:spacing w:after="156" w:afterLines="50"/>
        <w:ind w:firstLine="480"/>
        <w:rPr>
          <w:rFonts w:ascii="宋体" w:hAnsi="宋体" w:cs="宋体"/>
        </w:rPr>
      </w:pPr>
      <w:r>
        <w:rPr>
          <w:rFonts w:ascii="宋体" w:hAnsi="宋体" w:cs="宋体" w:hint="eastAsia"/>
        </w:rPr>
        <w:t>本研究的创新点</w:t>
      </w:r>
      <w:r>
        <w:rPr>
          <w:rFonts w:ascii="宋体" w:hAnsi="宋体" w:cs="宋体" w:hint="eastAsia"/>
          <w:lang w:val="en-US" w:eastAsia="zh-CN"/>
        </w:rPr>
        <w:t>有</w:t>
      </w:r>
      <w:r>
        <w:rPr>
          <w:rFonts w:ascii="宋体" w:hAnsi="宋体" w:cs="宋体" w:hint="eastAsia"/>
        </w:rPr>
        <w:t>两个方面：第一是</w:t>
      </w:r>
      <w:r>
        <w:rPr>
          <w:rFonts w:ascii="宋体" w:hAnsi="宋体" w:cs="宋体"/>
        </w:rPr>
        <w:t>本研究除了居民心理和情景因素这两个影响因素维度</w:t>
      </w:r>
      <w:r>
        <w:rPr>
          <w:rFonts w:ascii="宋体" w:hAnsi="宋体" w:cs="宋体" w:hint="eastAsia"/>
        </w:rPr>
        <w:t>，</w:t>
      </w:r>
      <w:r>
        <w:rPr>
          <w:rFonts w:ascii="宋体" w:hAnsi="宋体" w:cs="宋体"/>
        </w:rPr>
        <w:t>还尝试地引入垃圾分类参与主体维度，主要有社区</w:t>
      </w:r>
      <w:r>
        <w:rPr>
          <w:rFonts w:ascii="宋体" w:hAnsi="宋体" w:cs="宋体" w:hint="eastAsia"/>
        </w:rPr>
        <w:t>管理、政府宣传</w:t>
      </w:r>
      <w:r>
        <w:rPr>
          <w:rFonts w:ascii="宋体" w:hAnsi="宋体" w:cs="宋体"/>
        </w:rPr>
        <w:t>。</w:t>
      </w:r>
      <w:r>
        <w:rPr>
          <w:rFonts w:ascii="宋体" w:hAnsi="宋体" w:cs="宋体" w:hint="eastAsia"/>
        </w:rPr>
        <w:t>第二是研究对象的创新，本研究主要以试点小区的居民为主要研究对象，能从试点小区中得到一些对政策有用的改进意见，也对</w:t>
      </w:r>
      <w:r>
        <w:rPr>
          <w:rFonts w:ascii="宋体" w:hAnsi="宋体" w:cs="宋体" w:hint="eastAsia"/>
          <w:lang w:val="en-US" w:eastAsia="zh-CN"/>
        </w:rPr>
        <w:t>研究</w:t>
      </w:r>
      <w:r>
        <w:rPr>
          <w:rFonts w:ascii="宋体" w:hAnsi="宋体" w:cs="宋体" w:hint="eastAsia"/>
          <w:lang w:eastAsia="zh-CN"/>
        </w:rPr>
        <w:t>桂林</w:t>
      </w:r>
      <w:r>
        <w:rPr>
          <w:rFonts w:ascii="宋体" w:hAnsi="宋体" w:cs="宋体" w:hint="eastAsia"/>
        </w:rPr>
        <w:t>市城市生活垃圾分类行为的影响因素具有一定的参考性。</w:t>
      </w:r>
    </w:p>
    <w:p>
      <w:pPr>
        <w:ind w:firstLine="480"/>
      </w:pPr>
      <w:r>
        <w:rPr>
          <w:rFonts w:hint="eastAsia"/>
        </w:rPr>
        <w:t>本研究的不足表现在，第一是研究只对</w:t>
      </w:r>
      <w:r>
        <w:rPr>
          <w:rFonts w:hint="eastAsia"/>
          <w:lang w:eastAsia="zh-CN"/>
        </w:rPr>
        <w:t>桂林</w:t>
      </w:r>
      <w:r>
        <w:rPr>
          <w:rFonts w:hint="eastAsia"/>
        </w:rPr>
        <w:t>市试点小区进行调查，代表性不足。第二是受时间的影响，专业性不强，本文收集的研究信息不够全面，对结果分析可能会有一定的影响。</w:t>
      </w:r>
    </w:p>
    <w:p>
      <w:pPr>
        <w:pStyle w:val="Heading1"/>
        <w:numPr>
          <w:ilvl w:val="0"/>
          <w:numId w:val="1"/>
        </w:numPr>
        <w:spacing w:before="312" w:beforeLines="100" w:after="156" w:afterLines="50"/>
        <w:ind w:firstLine="420"/>
        <w:jc w:val="center"/>
        <w:rPr>
          <w:rFonts w:ascii="黑体" w:eastAsia="黑体" w:hAnsi="黑体" w:cs="黑体" w:hint="eastAsia"/>
          <w:b w:val="0"/>
          <w:bCs w:val="0"/>
          <w:color w:val="auto"/>
          <w:kern w:val="2"/>
          <w:sz w:val="36"/>
          <w:szCs w:val="36"/>
        </w:rPr>
      </w:pPr>
      <w:bookmarkStart w:id="95" w:name="_Toc19927"/>
      <w:bookmarkStart w:id="96" w:name="_Toc331"/>
      <w:bookmarkStart w:id="97" w:name="_Toc29097"/>
      <w:bookmarkStart w:id="98" w:name="_Toc9279"/>
      <w:bookmarkStart w:id="99" w:name="_Toc5695"/>
      <w:bookmarkStart w:id="100" w:name="_Toc6454"/>
      <w:r>
        <w:rPr>
          <w:rFonts w:ascii="黑体" w:eastAsia="黑体" w:hAnsi="黑体" w:cs="黑体" w:hint="eastAsia"/>
          <w:b w:val="0"/>
          <w:bCs w:val="0"/>
          <w:color w:val="auto"/>
          <w:kern w:val="2"/>
          <w:sz w:val="36"/>
          <w:szCs w:val="36"/>
        </w:rPr>
        <w:t xml:space="preserve"> </w:t>
      </w:r>
      <w:bookmarkStart w:id="101" w:name="_Toc8181"/>
      <w:bookmarkStart w:id="102" w:name="_Toc26125"/>
      <w:bookmarkStart w:id="103" w:name="_Toc3123"/>
      <w:bookmarkStart w:id="104" w:name="_Toc13185"/>
      <w:bookmarkStart w:id="105" w:name="_Toc3697"/>
      <w:bookmarkStart w:id="106" w:name="_Toc16751"/>
      <w:bookmarkStart w:id="107" w:name="_Toc11807"/>
      <w:bookmarkStart w:id="108" w:name="_Toc27673"/>
      <w:bookmarkStart w:id="109" w:name="_Toc483"/>
      <w:bookmarkStart w:id="110" w:name="_Toc13146"/>
      <w:r>
        <w:rPr>
          <w:rFonts w:ascii="黑体" w:eastAsia="黑体" w:hAnsi="黑体" w:cs="黑体" w:hint="eastAsia"/>
          <w:b w:val="0"/>
          <w:bCs w:val="0"/>
          <w:color w:val="auto"/>
          <w:kern w:val="2"/>
          <w:sz w:val="36"/>
          <w:szCs w:val="36"/>
        </w:rPr>
        <w:t>文献综述与理论视角</w:t>
      </w:r>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p>
    <w:p>
      <w:pPr>
        <w:pStyle w:val="Heading2"/>
        <w:numPr>
          <w:ilvl w:val="0"/>
          <w:numId w:val="5"/>
        </w:numPr>
        <w:spacing w:before="156" w:beforeLines="50"/>
        <w:ind w:firstLine="420"/>
        <w:rPr>
          <w:rFonts w:ascii="黑体" w:eastAsia="黑体" w:hAnsi="宋体" w:cs="Times New Roman"/>
          <w:b w:val="0"/>
          <w:i w:val="0"/>
          <w:color w:val="auto"/>
          <w:kern w:val="2"/>
          <w:sz w:val="24"/>
          <w:szCs w:val="24"/>
        </w:rPr>
      </w:pPr>
      <w:bookmarkStart w:id="111" w:name="_Toc25462"/>
      <w:bookmarkStart w:id="112" w:name="_Toc29288"/>
      <w:bookmarkStart w:id="113" w:name="_Toc15949"/>
      <w:bookmarkStart w:id="114" w:name="_Toc30903"/>
      <w:bookmarkStart w:id="115" w:name="_Toc22469"/>
      <w:bookmarkStart w:id="116" w:name="_Toc23233"/>
      <w:bookmarkStart w:id="117" w:name="_Toc296"/>
      <w:bookmarkStart w:id="118" w:name="_Toc15958"/>
      <w:bookmarkStart w:id="119" w:name="_Toc13772"/>
      <w:bookmarkStart w:id="120" w:name="_Toc673"/>
      <w:bookmarkStart w:id="121" w:name="_Toc24498"/>
      <w:bookmarkStart w:id="122" w:name="_Toc22437"/>
      <w:bookmarkStart w:id="123" w:name="_Toc6434"/>
      <w:bookmarkStart w:id="124" w:name="_Toc10014"/>
      <w:bookmarkStart w:id="125" w:name="_Toc8432"/>
      <w:bookmarkStart w:id="126" w:name="_Toc10613"/>
      <w:r>
        <w:rPr>
          <w:rFonts w:ascii="黑体" w:eastAsia="黑体" w:hAnsi="宋体" w:cs="Times New Roman" w:hint="eastAsia"/>
          <w:b w:val="0"/>
          <w:i w:val="0"/>
          <w:color w:val="auto"/>
          <w:kern w:val="2"/>
          <w:sz w:val="24"/>
          <w:szCs w:val="24"/>
          <w:lang w:val="en-US" w:eastAsia="zh-CN"/>
        </w:rPr>
        <w:t>居民垃圾分类行为相关研究</w:t>
      </w:r>
      <w:bookmarkEnd w:id="111"/>
      <w:bookmarkEnd w:id="112"/>
      <w:bookmarkEnd w:id="113"/>
      <w:bookmarkEnd w:id="114"/>
      <w:bookmarkEnd w:id="115"/>
      <w:bookmarkEnd w:id="116"/>
      <w:bookmarkEnd w:id="117"/>
      <w:bookmarkEnd w:id="118"/>
      <w:bookmarkEnd w:id="119"/>
      <w:bookmarkEnd w:id="120"/>
      <w:bookmarkEnd w:id="121"/>
      <w:bookmarkEnd w:id="122"/>
      <w:bookmarkEnd w:id="123"/>
    </w:p>
    <w:p>
      <w:pPr>
        <w:numPr>
          <w:ilvl w:val="0"/>
          <w:numId w:val="6"/>
        </w:numPr>
        <w:ind w:left="0" w:firstLine="425" w:firstLineChars="0"/>
        <w:jc w:val="left"/>
        <w:rPr>
          <w:rFonts w:ascii="黑体" w:eastAsia="黑体" w:hAnsi="宋体" w:cs="Times New Roman"/>
          <w:szCs w:val="24"/>
        </w:rPr>
      </w:pPr>
      <w:r>
        <w:rPr>
          <w:rFonts w:ascii="黑体" w:eastAsia="黑体" w:hAnsi="宋体" w:cs="Times New Roman" w:hint="eastAsia"/>
          <w:szCs w:val="24"/>
        </w:rPr>
        <w:t>国外城市居民生活垃圾分类行为研究综述</w:t>
      </w:r>
    </w:p>
    <w:p>
      <w:pPr>
        <w:numPr>
          <w:ilvl w:val="0"/>
          <w:numId w:val="7"/>
        </w:numPr>
        <w:ind w:left="0" w:firstLine="425" w:firstLineChars="0"/>
        <w:jc w:val="left"/>
        <w:rPr>
          <w:rFonts w:ascii="黑体" w:eastAsia="黑体" w:hAnsi="宋体" w:cs="Times New Roman"/>
          <w:szCs w:val="24"/>
        </w:rPr>
      </w:pPr>
      <w:r>
        <w:rPr>
          <w:rFonts w:ascii="黑体" w:eastAsia="黑体" w:hAnsi="宋体" w:cs="Times New Roman" w:hint="eastAsia"/>
          <w:szCs w:val="24"/>
        </w:rPr>
        <w:t>个体内在因素的研究</w:t>
      </w:r>
    </w:p>
    <w:p>
      <w:pPr>
        <w:spacing w:after="156" w:afterLines="50"/>
        <w:ind w:firstLine="480"/>
        <w:rPr>
          <w:rFonts w:ascii="宋体" w:hAnsi="宋体" w:cs="宋体"/>
        </w:rPr>
        <w:sectPr>
          <w:headerReference w:type="default" r:id="rId14"/>
          <w:footerReference w:type="default" r:id="rId15"/>
          <w:type w:val="nextPage"/>
          <w:pgSz w:w="11850" w:h="16783"/>
          <w:pgMar w:top="1134" w:right="1134" w:bottom="1134" w:left="1531" w:header="851" w:footer="992" w:gutter="0"/>
          <w:pgNumType w:start="4"/>
          <w:cols w:num="1" w:space="0"/>
          <w:titlePg w:val="0"/>
          <w:docGrid w:type="lines" w:linePitch="312" w:charSpace="0"/>
        </w:sectPr>
      </w:pPr>
      <w:r>
        <w:rPr>
          <w:rFonts w:ascii="宋体" w:hAnsi="宋体" w:cs="宋体" w:hint="eastAsia"/>
        </w:rPr>
        <w:t>国外学者对于居民垃圾分类行为的探索大多以行为学、心理学、社会学为基础，基本上都认为居民的行为与环境意识和环境态度有关联</w:t>
      </w:r>
      <w:r>
        <w:rPr>
          <w:rFonts w:ascii="宋体" w:hAnsi="宋体" w:cs="宋体" w:hint="eastAsia"/>
          <w:vertAlign w:val="superscript"/>
        </w:rPr>
        <w:t>[3]</w:t>
      </w:r>
      <w:r>
        <w:rPr>
          <w:rFonts w:ascii="宋体" w:hAnsi="宋体" w:cs="宋体" w:hint="eastAsia"/>
        </w:rPr>
        <w:t>。Werner（1998）在研究居民垃圾回收行为时发现，居民的态度</w:t>
      </w:r>
      <w:r>
        <w:rPr>
          <w:rFonts w:ascii="宋体" w:hAnsi="宋体" w:cs="宋体" w:hint="eastAsia"/>
          <w:lang w:val="en-US" w:eastAsia="zh-CN"/>
        </w:rPr>
        <w:t>影响</w:t>
      </w:r>
      <w:r>
        <w:rPr>
          <w:rFonts w:ascii="宋体" w:hAnsi="宋体" w:cs="宋体" w:hint="eastAsia"/>
        </w:rPr>
        <w:t>他们的环境行为。如果居民的环境态度是消极的，那么他们就会产生消极的环境行为，反之则产生积极的环境行为</w:t>
      </w:r>
      <w:r>
        <w:rPr>
          <w:rFonts w:ascii="宋体" w:hAnsi="宋体" w:cs="宋体" w:hint="eastAsia"/>
          <w:vertAlign w:val="superscript"/>
        </w:rPr>
        <w:t>[4]</w:t>
      </w:r>
      <w:r>
        <w:rPr>
          <w:rFonts w:ascii="宋体" w:hAnsi="宋体" w:cs="宋体" w:hint="eastAsia"/>
        </w:rPr>
        <w:t>。Hogg</w:t>
      </w:r>
      <w:r>
        <w:rPr>
          <w:rFonts w:ascii="宋体" w:hAnsi="宋体" w:cs="宋体" w:hint="eastAsia"/>
        </w:rPr>
        <w:t xml:space="preserve"> M</w:t>
      </w:r>
    </w:p>
    <w:p>
      <w:pPr>
        <w:spacing w:after="156" w:afterLines="50"/>
        <w:ind w:firstLine="480"/>
        <w:rPr>
          <w:rFonts w:ascii="宋体" w:hAnsi="宋体" w:cs="宋体"/>
        </w:rPr>
      </w:pPr>
      <w:r>
        <w:rPr>
          <w:rFonts w:ascii="宋体" w:hAnsi="宋体" w:cs="宋体" w:hint="eastAsia"/>
        </w:rPr>
        <w:t xml:space="preserve"> A（2016）则认为，垃圾分类的</w:t>
      </w:r>
      <w:r>
        <w:rPr>
          <w:rFonts w:ascii="宋体" w:hAnsi="宋体" w:cs="宋体" w:hint="eastAsia"/>
          <w:lang w:val="en-US" w:eastAsia="zh-CN"/>
        </w:rPr>
        <w:t>经验知识可以</w:t>
      </w:r>
      <w:r>
        <w:rPr>
          <w:rFonts w:ascii="宋体" w:hAnsi="宋体" w:cs="宋体" w:hint="eastAsia"/>
        </w:rPr>
        <w:t>影响居民垃圾分类的行为。居民</w:t>
      </w:r>
      <w:r>
        <w:rPr>
          <w:rFonts w:ascii="宋体" w:hAnsi="宋体" w:cs="宋体" w:hint="eastAsia"/>
          <w:lang w:val="en-US" w:eastAsia="zh-CN"/>
        </w:rPr>
        <w:t>如果有</w:t>
      </w:r>
      <w:r>
        <w:rPr>
          <w:rFonts w:ascii="宋体" w:hAnsi="宋体" w:cs="宋体" w:hint="eastAsia"/>
        </w:rPr>
        <w:t>垃圾分类经验，就</w:t>
      </w:r>
      <w:r>
        <w:rPr>
          <w:rFonts w:ascii="宋体" w:hAnsi="宋体" w:cs="宋体" w:hint="eastAsia"/>
          <w:lang w:val="en-US" w:eastAsia="zh-CN"/>
        </w:rPr>
        <w:t>会更积极的参与垃圾分类</w:t>
      </w:r>
      <w:r>
        <w:rPr>
          <w:rFonts w:ascii="宋体" w:hAnsi="宋体" w:cs="宋体" w:hint="eastAsia"/>
          <w:vertAlign w:val="superscript"/>
        </w:rPr>
        <w:t>[5]</w:t>
      </w:r>
      <w:r>
        <w:rPr>
          <w:rFonts w:ascii="宋体" w:hAnsi="宋体" w:cs="宋体" w:hint="eastAsia"/>
        </w:rPr>
        <w:t>。Karim Ghani（2013）认为只有在居民认为进行垃圾分类行为能够产生积极影响时，才会进行垃圾分类。政府和有关部门应该针对不同的社会群体，</w:t>
      </w:r>
      <w:r>
        <w:rPr>
          <w:rFonts w:ascii="宋体" w:hAnsi="宋体" w:cs="宋体" w:hint="eastAsia"/>
          <w:lang w:val="en-US" w:eastAsia="zh-CN"/>
        </w:rPr>
        <w:t>设置相应的</w:t>
      </w:r>
      <w:r>
        <w:rPr>
          <w:rFonts w:ascii="宋体" w:hAnsi="宋体" w:cs="宋体" w:hint="eastAsia"/>
        </w:rPr>
        <w:t>垃圾分类方案，保障居民的参与度</w:t>
      </w:r>
      <w:r>
        <w:rPr>
          <w:rFonts w:ascii="宋体" w:hAnsi="宋体" w:cs="宋体" w:hint="eastAsia"/>
          <w:vertAlign w:val="superscript"/>
        </w:rPr>
        <w:t>[6]</w:t>
      </w:r>
      <w:r>
        <w:rPr>
          <w:rFonts w:ascii="宋体" w:hAnsi="宋体" w:cs="宋体" w:hint="eastAsia"/>
        </w:rPr>
        <w:t>。Tadesse（2009）指出，发展中国家居民的年龄、受教育程度、家庭收入等因素影响其环境的关注度以及垃圾分类行为</w:t>
      </w:r>
      <w:r>
        <w:rPr>
          <w:rFonts w:ascii="宋体" w:hAnsi="宋体" w:cs="宋体" w:hint="eastAsia"/>
          <w:vertAlign w:val="superscript"/>
        </w:rPr>
        <w:t>[7]</w:t>
      </w:r>
      <w:r>
        <w:rPr>
          <w:rFonts w:ascii="宋体" w:hAnsi="宋体" w:cs="宋体" w:hint="eastAsia"/>
        </w:rPr>
        <w:t>。</w:t>
      </w:r>
    </w:p>
    <w:p>
      <w:pPr>
        <w:numPr>
          <w:ilvl w:val="0"/>
          <w:numId w:val="7"/>
        </w:numPr>
        <w:ind w:left="0" w:firstLine="425" w:firstLineChars="0"/>
        <w:jc w:val="left"/>
        <w:rPr>
          <w:rFonts w:ascii="黑体" w:eastAsia="黑体" w:hAnsi="宋体" w:cs="Times New Roman"/>
          <w:szCs w:val="24"/>
        </w:rPr>
      </w:pPr>
      <w:r>
        <w:rPr>
          <w:rFonts w:ascii="黑体" w:eastAsia="黑体" w:hAnsi="宋体" w:cs="Times New Roman" w:hint="eastAsia"/>
          <w:szCs w:val="24"/>
        </w:rPr>
        <w:t>外在因素的研究</w:t>
      </w:r>
    </w:p>
    <w:p>
      <w:pPr>
        <w:spacing w:after="156" w:afterLines="50"/>
        <w:ind w:firstLine="480"/>
        <w:rPr>
          <w:rFonts w:ascii="宋体" w:hAnsi="宋体" w:cs="宋体" w:hint="eastAsia"/>
        </w:rPr>
      </w:pPr>
      <w:r>
        <w:rPr>
          <w:rFonts w:ascii="宋体" w:hAnsi="宋体" w:cs="宋体" w:hint="eastAsia"/>
        </w:rPr>
        <w:t>国外学者</w:t>
      </w:r>
      <w:r>
        <w:rPr>
          <w:rFonts w:ascii="宋体" w:hAnsi="宋体" w:cs="宋体" w:hint="eastAsia"/>
          <w:lang w:val="en-US" w:eastAsia="zh-CN"/>
        </w:rPr>
        <w:t>在</w:t>
      </w:r>
      <w:r>
        <w:rPr>
          <w:rFonts w:ascii="宋体" w:hAnsi="宋体" w:cs="宋体" w:hint="eastAsia"/>
        </w:rPr>
        <w:t>影响</w:t>
      </w:r>
      <w:r>
        <w:rPr>
          <w:rFonts w:ascii="宋体" w:hAnsi="宋体" w:cs="宋体" w:hint="eastAsia"/>
          <w:lang w:val="en-US" w:eastAsia="zh-CN"/>
        </w:rPr>
        <w:t>垃圾分类行为</w:t>
      </w:r>
      <w:r>
        <w:rPr>
          <w:rFonts w:ascii="宋体" w:hAnsi="宋体" w:cs="宋体" w:hint="eastAsia"/>
        </w:rPr>
        <w:t>因素</w:t>
      </w:r>
      <w:r>
        <w:rPr>
          <w:rFonts w:ascii="宋体" w:hAnsi="宋体" w:cs="宋体" w:hint="eastAsia"/>
          <w:lang w:val="en-US" w:eastAsia="zh-CN"/>
        </w:rPr>
        <w:t>方面的</w:t>
      </w:r>
      <w:r>
        <w:rPr>
          <w:rFonts w:ascii="宋体" w:hAnsi="宋体" w:cs="宋体" w:hint="eastAsia"/>
        </w:rPr>
        <w:t>研究，</w:t>
      </w:r>
      <w:r>
        <w:rPr>
          <w:rFonts w:ascii="宋体" w:hAnsi="宋体" w:cs="宋体" w:hint="eastAsia"/>
          <w:lang w:val="en-US" w:eastAsia="zh-CN"/>
        </w:rPr>
        <w:t>大都</w:t>
      </w:r>
      <w:r>
        <w:rPr>
          <w:rFonts w:ascii="宋体" w:hAnsi="宋体" w:cs="宋体" w:hint="eastAsia"/>
        </w:rPr>
        <w:t>以计划行为理论为基础。Ankinee Kirakozian（2015），发现家庭环境偏好对居民垃圾分类回收行为具有决定性的影响，垃圾分类回收设施的距离与容量对居民的垃圾分类回收行为具有显著负面影响</w:t>
      </w:r>
      <w:r>
        <w:rPr>
          <w:rFonts w:ascii="宋体" w:hAnsi="宋体" w:cs="宋体" w:hint="eastAsia"/>
          <w:vertAlign w:val="superscript"/>
        </w:rPr>
        <w:t>[8]</w:t>
      </w:r>
      <w:r>
        <w:rPr>
          <w:rFonts w:ascii="宋体" w:hAnsi="宋体" w:cs="宋体" w:hint="eastAsia"/>
        </w:rPr>
        <w:t>。J Starr和C Nicolson（2015）调查结果</w:t>
      </w:r>
      <w:r>
        <w:rPr>
          <w:rFonts w:ascii="宋体" w:hAnsi="宋体" w:cs="宋体" w:hint="eastAsia"/>
          <w:lang w:val="en-US" w:eastAsia="zh-CN"/>
        </w:rPr>
        <w:t>表明收入能够影响居民的垃圾分类行为，学历</w:t>
      </w:r>
      <w:r>
        <w:rPr>
          <w:rFonts w:ascii="宋体" w:hAnsi="宋体" w:cs="宋体" w:hint="eastAsia"/>
        </w:rPr>
        <w:t>与年龄</w:t>
      </w:r>
      <w:r>
        <w:rPr>
          <w:rFonts w:ascii="宋体" w:hAnsi="宋体" w:cs="宋体" w:hint="eastAsia"/>
          <w:lang w:val="en-US" w:eastAsia="zh-CN"/>
        </w:rPr>
        <w:t>也会对</w:t>
      </w:r>
      <w:r>
        <w:rPr>
          <w:rFonts w:ascii="宋体" w:hAnsi="宋体" w:cs="宋体" w:hint="eastAsia"/>
        </w:rPr>
        <w:t>居民的垃圾分类行为</w:t>
      </w:r>
      <w:r>
        <w:rPr>
          <w:rFonts w:ascii="宋体" w:hAnsi="宋体" w:cs="宋体" w:hint="eastAsia"/>
          <w:lang w:val="en-US" w:eastAsia="zh-CN"/>
        </w:rPr>
        <w:t>产生</w:t>
      </w:r>
      <w:r>
        <w:rPr>
          <w:rFonts w:ascii="宋体" w:hAnsi="宋体" w:cs="宋体" w:hint="eastAsia"/>
        </w:rPr>
        <w:t>影响</w:t>
      </w:r>
      <w:r>
        <w:rPr>
          <w:rFonts w:ascii="宋体" w:hAnsi="宋体" w:cs="宋体" w:hint="eastAsia"/>
          <w:vertAlign w:val="superscript"/>
        </w:rPr>
        <w:t>[9]</w:t>
      </w:r>
      <w:r>
        <w:rPr>
          <w:rFonts w:ascii="宋体" w:hAnsi="宋体" w:cs="宋体" w:hint="eastAsia"/>
        </w:rPr>
        <w:t>。此外，Barr S（2013）研究发现垃圾分类设施、垃圾箱的设置地点与居民居住地之间的距离，</w:t>
      </w:r>
      <w:r>
        <w:rPr>
          <w:rFonts w:ascii="宋体" w:hAnsi="宋体" w:cs="宋体" w:hint="eastAsia"/>
          <w:lang w:val="en-US" w:eastAsia="zh-CN"/>
        </w:rPr>
        <w:t>会影响到居民垃圾分类的意愿。</w:t>
      </w:r>
      <w:r>
        <w:rPr>
          <w:rFonts w:ascii="宋体" w:hAnsi="宋体" w:cs="宋体" w:hint="eastAsia"/>
        </w:rPr>
        <w:t xml:space="preserve"> 为居民提供的分类垃圾箱越多，垃圾箱离居民居住地越近，</w:t>
      </w:r>
      <w:r>
        <w:rPr>
          <w:rFonts w:ascii="宋体" w:hAnsi="宋体" w:cs="宋体" w:hint="eastAsia"/>
          <w:lang w:val="en-US" w:eastAsia="zh-CN"/>
        </w:rPr>
        <w:t>居民越积极的进行垃圾分类</w:t>
      </w:r>
      <w:r>
        <w:rPr>
          <w:rFonts w:ascii="宋体" w:hAnsi="宋体" w:cs="宋体" w:hint="eastAsia"/>
          <w:vertAlign w:val="superscript"/>
        </w:rPr>
        <w:t>[10]</w:t>
      </w:r>
      <w:r>
        <w:rPr>
          <w:rFonts w:ascii="宋体" w:hAnsi="宋体" w:cs="宋体" w:hint="eastAsia"/>
        </w:rPr>
        <w:t>。</w:t>
      </w:r>
    </w:p>
    <w:p>
      <w:pPr>
        <w:numPr>
          <w:ilvl w:val="0"/>
          <w:numId w:val="6"/>
        </w:numPr>
        <w:spacing w:after="100" w:afterAutospacing="1"/>
        <w:ind w:left="425" w:firstLine="0" w:firstLineChars="0"/>
        <w:jc w:val="left"/>
        <w:rPr>
          <w:rFonts w:ascii="黑体" w:eastAsia="黑体" w:hAnsi="宋体" w:cs="Times New Roman" w:hint="eastAsia"/>
          <w:b w:val="0"/>
          <w:i w:val="0"/>
          <w:szCs w:val="24"/>
        </w:rPr>
      </w:pPr>
      <w:bookmarkStart w:id="127" w:name="_Toc12564"/>
      <w:bookmarkStart w:id="128" w:name="_Toc13038"/>
      <w:bookmarkStart w:id="129" w:name="_Toc14815"/>
      <w:r>
        <w:rPr>
          <w:rFonts w:ascii="黑体" w:eastAsia="黑体" w:hAnsi="宋体" w:cs="Times New Roman" w:hint="eastAsia"/>
          <w:b w:val="0"/>
          <w:i w:val="0"/>
          <w:kern w:val="2"/>
          <w:sz w:val="24"/>
          <w:szCs w:val="24"/>
        </w:rPr>
        <w:t>国内研究现状</w:t>
      </w:r>
      <w:bookmarkEnd w:id="127"/>
      <w:bookmarkEnd w:id="128"/>
      <w:bookmarkEnd w:id="129"/>
    </w:p>
    <w:p>
      <w:pPr>
        <w:numPr>
          <w:ilvl w:val="0"/>
          <w:numId w:val="8"/>
        </w:numPr>
        <w:ind w:left="0" w:firstLine="425" w:firstLineChars="0"/>
        <w:jc w:val="left"/>
        <w:rPr>
          <w:rFonts w:ascii="黑体" w:eastAsia="黑体" w:hAnsi="宋体" w:cs="Times New Roman"/>
          <w:szCs w:val="24"/>
        </w:rPr>
      </w:pPr>
      <w:r>
        <w:rPr>
          <w:rFonts w:ascii="黑体" w:eastAsia="黑体" w:hAnsi="宋体" w:cs="Times New Roman" w:hint="eastAsia"/>
          <w:szCs w:val="24"/>
        </w:rPr>
        <w:t>个体内在因素的研究</w:t>
      </w:r>
    </w:p>
    <w:p>
      <w:pPr>
        <w:spacing w:after="156" w:afterLines="50"/>
        <w:ind w:firstLine="480"/>
        <w:rPr>
          <w:rFonts w:ascii="宋体" w:hAnsi="宋体" w:cs="宋体"/>
        </w:rPr>
      </w:pPr>
      <w:r>
        <w:rPr>
          <w:rFonts w:ascii="宋体" w:hAnsi="宋体" w:cs="宋体"/>
        </w:rPr>
        <w:t>柳艳、日飒飒</w:t>
      </w:r>
      <w:r>
        <w:rPr>
          <w:rFonts w:ascii="宋体" w:hAnsi="宋体" w:cs="宋体" w:hint="eastAsia"/>
        </w:rPr>
        <w:t>（2015）</w:t>
      </w:r>
      <w:r>
        <w:rPr>
          <w:rFonts w:ascii="宋体" w:hAnsi="宋体" w:cs="宋体"/>
        </w:rPr>
        <w:t>从城市居民认知</w:t>
      </w:r>
      <w:r>
        <w:rPr>
          <w:rFonts w:ascii="宋体" w:hAnsi="宋体" w:cs="宋体" w:hint="eastAsia"/>
        </w:rPr>
        <w:t>心理</w:t>
      </w:r>
      <w:r>
        <w:rPr>
          <w:rFonts w:ascii="宋体" w:hAnsi="宋体" w:cs="宋体"/>
        </w:rPr>
        <w:t>结构方面对城市生活垃圾分类行为问题进行了研究。认为在认知层面，居民</w:t>
      </w:r>
      <w:r>
        <w:rPr>
          <w:rFonts w:ascii="宋体" w:hAnsi="宋体" w:cs="宋体" w:hint="eastAsia"/>
        </w:rPr>
        <w:t>们</w:t>
      </w:r>
      <w:r>
        <w:rPr>
          <w:rFonts w:ascii="宋体" w:hAnsi="宋体" w:cs="宋体"/>
        </w:rPr>
        <w:t>无法形成对目前垃圾分类方法的清晰认识；在行为层面，居民</w:t>
      </w:r>
      <w:r>
        <w:rPr>
          <w:rFonts w:ascii="宋体" w:hAnsi="宋体" w:cs="宋体" w:hint="eastAsia"/>
        </w:rPr>
        <w:t>还未形成科学</w:t>
      </w:r>
      <w:r>
        <w:rPr>
          <w:rFonts w:ascii="宋体" w:hAnsi="宋体" w:cs="宋体"/>
        </w:rPr>
        <w:t>分类</w:t>
      </w:r>
      <w:r>
        <w:rPr>
          <w:rFonts w:ascii="宋体" w:hAnsi="宋体" w:cs="宋体" w:hint="eastAsia"/>
        </w:rPr>
        <w:t>的行为意识</w:t>
      </w:r>
      <w:r>
        <w:rPr>
          <w:rFonts w:ascii="宋体" w:hAnsi="宋体" w:cs="宋体"/>
        </w:rPr>
        <w:t>，政府</w:t>
      </w:r>
      <w:r>
        <w:rPr>
          <w:rFonts w:ascii="宋体" w:hAnsi="宋体" w:cs="宋体" w:hint="eastAsia"/>
        </w:rPr>
        <w:t>和有关部门应该对</w:t>
      </w:r>
      <w:r>
        <w:rPr>
          <w:rFonts w:ascii="宋体" w:hAnsi="宋体" w:cs="宋体"/>
        </w:rPr>
        <w:t>居民进行垃圾分类知识</w:t>
      </w:r>
      <w:r>
        <w:rPr>
          <w:rFonts w:ascii="宋体" w:hAnsi="宋体" w:cs="宋体" w:hint="eastAsia"/>
        </w:rPr>
        <w:t>以及</w:t>
      </w:r>
      <w:r>
        <w:rPr>
          <w:rFonts w:ascii="宋体" w:hAnsi="宋体" w:cs="宋体"/>
        </w:rPr>
        <w:t>常识的宣传教育</w:t>
      </w:r>
      <w:r>
        <w:rPr>
          <w:rFonts w:ascii="宋体" w:hAnsi="宋体" w:cs="宋体" w:hint="eastAsia"/>
          <w:vertAlign w:val="superscript"/>
        </w:rPr>
        <w:t>[11]</w:t>
      </w:r>
      <w:r>
        <w:rPr>
          <w:rFonts w:ascii="宋体" w:hAnsi="宋体" w:cs="宋体" w:hint="eastAsia"/>
        </w:rPr>
        <w:t>。</w:t>
      </w:r>
      <w:r>
        <w:rPr>
          <w:rFonts w:ascii="宋体" w:hAnsi="宋体" w:cs="宋体"/>
        </w:rPr>
        <w:t>谢红</w:t>
      </w:r>
      <w:r>
        <w:rPr>
          <w:rFonts w:ascii="宋体" w:hAnsi="宋体" w:cs="宋体" w:hint="eastAsia"/>
        </w:rPr>
        <w:t>（2014）</w:t>
      </w:r>
      <w:r>
        <w:rPr>
          <w:rFonts w:ascii="宋体" w:hAnsi="宋体" w:cs="宋体"/>
        </w:rPr>
        <w:t>认为</w:t>
      </w:r>
      <w:r>
        <w:rPr>
          <w:rFonts w:ascii="宋体" w:hAnsi="宋体" w:cs="宋体" w:hint="eastAsia"/>
        </w:rPr>
        <w:t>以往的</w:t>
      </w:r>
      <w:r>
        <w:rPr>
          <w:rFonts w:ascii="宋体" w:hAnsi="宋体" w:cs="宋体"/>
        </w:rPr>
        <w:t>垃圾处理方式，</w:t>
      </w:r>
      <w:r>
        <w:rPr>
          <w:rFonts w:ascii="宋体" w:hAnsi="宋体" w:cs="宋体" w:hint="eastAsia"/>
          <w:lang w:val="en-US" w:eastAsia="zh-CN"/>
        </w:rPr>
        <w:t>满足不了资源利用的需要</w:t>
      </w:r>
      <w:r>
        <w:rPr>
          <w:rFonts w:ascii="宋体" w:hAnsi="宋体" w:cs="宋体"/>
        </w:rPr>
        <w:t>，科学的方法</w:t>
      </w:r>
      <w:r>
        <w:rPr>
          <w:rFonts w:ascii="宋体" w:hAnsi="宋体" w:cs="宋体" w:hint="eastAsia"/>
          <w:lang w:val="en-US" w:eastAsia="zh-CN"/>
        </w:rPr>
        <w:t>就是进行垃圾分类</w:t>
      </w:r>
      <w:r>
        <w:rPr>
          <w:rFonts w:ascii="宋体" w:hAnsi="宋体" w:cs="宋体" w:hint="eastAsia"/>
          <w:vertAlign w:val="superscript"/>
        </w:rPr>
        <w:t>[12]</w:t>
      </w:r>
      <w:r>
        <w:rPr>
          <w:rFonts w:ascii="宋体" w:hAnsi="宋体" w:cs="宋体"/>
        </w:rPr>
        <w:t>。</w:t>
      </w:r>
      <w:r>
        <w:rPr>
          <w:rFonts w:ascii="宋体" w:hAnsi="宋体" w:cs="宋体" w:hint="eastAsia"/>
        </w:rPr>
        <w:t>吴书超（2011）认为，居民的年龄、环保意识和垃圾分类知识掌握程度对垃圾分类行为有着显著影响</w:t>
      </w:r>
      <w:r>
        <w:rPr>
          <w:rFonts w:ascii="宋体" w:hAnsi="宋体" w:cs="宋体" w:hint="eastAsia"/>
          <w:vertAlign w:val="superscript"/>
        </w:rPr>
        <w:t>[13]</w:t>
      </w:r>
      <w:r>
        <w:rPr>
          <w:rFonts w:ascii="宋体" w:hAnsi="宋体" w:cs="宋体" w:hint="eastAsia"/>
        </w:rPr>
        <w:t>。郝明月（2009）运用数据分析，</w:t>
      </w:r>
      <w:r>
        <w:rPr>
          <w:rFonts w:ascii="宋体" w:hAnsi="宋体" w:cs="宋体" w:hint="eastAsia"/>
          <w:lang w:val="en-US" w:eastAsia="zh-CN"/>
        </w:rPr>
        <w:t>检验</w:t>
      </w:r>
      <w:r>
        <w:rPr>
          <w:rFonts w:ascii="宋体" w:hAnsi="宋体" w:cs="宋体" w:hint="eastAsia"/>
        </w:rPr>
        <w:t>居民环境意识和环境行为之间的相关</w:t>
      </w:r>
      <w:r>
        <w:rPr>
          <w:rFonts w:ascii="宋体" w:hAnsi="宋体" w:cs="宋体" w:hint="eastAsia"/>
          <w:lang w:val="en-US" w:eastAsia="zh-CN"/>
        </w:rPr>
        <w:t>关系</w:t>
      </w:r>
      <w:r>
        <w:rPr>
          <w:rFonts w:ascii="宋体" w:hAnsi="宋体" w:cs="宋体" w:hint="eastAsia"/>
        </w:rPr>
        <w:t>，发现积极的环境意识可以推动环境行为的改善</w:t>
      </w:r>
      <w:r>
        <w:rPr>
          <w:rFonts w:ascii="宋体" w:hAnsi="宋体" w:cs="宋体" w:hint="eastAsia"/>
          <w:vertAlign w:val="superscript"/>
        </w:rPr>
        <w:t>[14]</w:t>
      </w:r>
      <w:r>
        <w:rPr>
          <w:rFonts w:ascii="宋体" w:hAnsi="宋体" w:cs="宋体" w:hint="eastAsia"/>
        </w:rPr>
        <w:t>。</w:t>
      </w:r>
    </w:p>
    <w:p>
      <w:pPr>
        <w:numPr>
          <w:ilvl w:val="0"/>
          <w:numId w:val="8"/>
        </w:numPr>
        <w:ind w:left="0" w:firstLine="425" w:firstLineChars="0"/>
        <w:jc w:val="left"/>
        <w:rPr>
          <w:rFonts w:ascii="黑体" w:eastAsia="黑体" w:hAnsi="宋体" w:cs="Times New Roman"/>
          <w:szCs w:val="24"/>
        </w:rPr>
      </w:pPr>
      <w:r>
        <w:rPr>
          <w:rFonts w:ascii="黑体" w:eastAsia="黑体" w:hAnsi="宋体" w:cs="Times New Roman" w:hint="eastAsia"/>
          <w:szCs w:val="24"/>
        </w:rPr>
        <w:t>外在因素的研究</w:t>
      </w:r>
    </w:p>
    <w:p>
      <w:pPr>
        <w:spacing w:after="156" w:afterLines="50"/>
        <w:ind w:firstLine="480"/>
        <w:rPr>
          <w:rFonts w:ascii="宋体" w:hAnsi="宋体" w:cs="宋体"/>
        </w:rPr>
        <w:sectPr>
          <w:headerReference w:type="default" r:id="rId16"/>
          <w:footerReference w:type="default" r:id="rId17"/>
          <w:type w:val="nextPage"/>
          <w:pgSz w:w="11850" w:h="16783"/>
          <w:pgMar w:top="1134" w:right="1134" w:bottom="1134" w:left="1531" w:header="851" w:footer="992" w:gutter="0"/>
          <w:pgNumType w:start="5"/>
          <w:cols w:num="1" w:space="0"/>
          <w:titlePg w:val="0"/>
          <w:docGrid w:type="lines" w:linePitch="312" w:charSpace="0"/>
        </w:sectPr>
      </w:pPr>
      <w:r>
        <w:rPr>
          <w:rFonts w:ascii="宋体" w:hAnsi="宋体" w:cs="宋体" w:hint="eastAsia"/>
        </w:rPr>
        <w:t>主要</w:t>
      </w:r>
      <w:r>
        <w:rPr>
          <w:rFonts w:ascii="宋体" w:hAnsi="宋体" w:cs="宋体" w:hint="eastAsia"/>
          <w:lang w:val="en-US" w:eastAsia="zh-CN"/>
        </w:rPr>
        <w:t>以</w:t>
      </w:r>
      <w:r>
        <w:rPr>
          <w:rFonts w:ascii="宋体" w:hAnsi="宋体" w:cs="宋体" w:hint="eastAsia"/>
        </w:rPr>
        <w:t>计划行为理论</w:t>
      </w:r>
      <w:r>
        <w:rPr>
          <w:rFonts w:ascii="宋体" w:hAnsi="宋体" w:cs="宋体" w:hint="eastAsia"/>
          <w:lang w:val="en-US" w:eastAsia="zh-CN"/>
        </w:rPr>
        <w:t>为基础</w:t>
      </w:r>
      <w:r>
        <w:rPr>
          <w:rFonts w:ascii="宋体" w:hAnsi="宋体" w:cs="宋体" w:hint="eastAsia"/>
        </w:rPr>
        <w:t>，从行为态度、主观规范、感知行为控制等方面</w:t>
      </w:r>
      <w:r>
        <w:rPr>
          <w:rFonts w:ascii="宋体" w:hAnsi="宋体" w:cs="宋体" w:hint="eastAsia"/>
          <w:lang w:val="en-US" w:eastAsia="zh-CN"/>
        </w:rPr>
        <w:t>分析影响因素</w:t>
      </w:r>
      <w:r>
        <w:rPr>
          <w:rFonts w:ascii="宋体" w:hAnsi="宋体" w:cs="宋体" w:hint="eastAsia"/>
        </w:rPr>
        <w:t>。曲英</w:t>
      </w:r>
      <w:r>
        <w:rPr>
          <w:rFonts w:ascii="宋体" w:hAnsi="宋体" w:cs="宋体" w:hint="eastAsia"/>
          <w:lang w:eastAsia="zh-CN"/>
        </w:rPr>
        <w:t>（</w:t>
      </w:r>
      <w:r>
        <w:rPr>
          <w:rFonts w:ascii="宋体" w:hAnsi="宋体" w:cs="宋体" w:hint="eastAsia"/>
          <w:lang w:val="en-US" w:eastAsia="zh-CN"/>
        </w:rPr>
        <w:t>2008）</w:t>
      </w:r>
      <w:r>
        <w:rPr>
          <w:rFonts w:ascii="宋体" w:hAnsi="宋体" w:cs="宋体" w:hint="eastAsia"/>
        </w:rPr>
        <w:t>研究表明，利己的环境价值对于行为意向的影响力是最大的</w:t>
      </w:r>
      <w:r>
        <w:rPr>
          <w:rFonts w:ascii="宋体" w:hAnsi="宋体" w:cs="宋体" w:hint="eastAsia"/>
          <w:vertAlign w:val="superscript"/>
        </w:rPr>
        <w:t>[15]</w:t>
      </w:r>
      <w:r>
        <w:rPr>
          <w:rFonts w:ascii="宋体" w:hAnsi="宋体" w:cs="宋体" w:hint="eastAsia"/>
        </w:rPr>
        <w:t>。尹洁林等（2016）研究发现，</w:t>
      </w:r>
      <w:r>
        <w:rPr>
          <w:rFonts w:ascii="宋体" w:hAnsi="宋体" w:cs="宋体" w:hint="eastAsia"/>
          <w:lang w:val="en-US" w:eastAsia="zh-CN"/>
        </w:rPr>
        <w:t>垃圾分类设施是否完善会影响居民进行垃圾分类行为。</w:t>
      </w:r>
      <w:r>
        <w:rPr>
          <w:rFonts w:ascii="宋体" w:hAnsi="宋体" w:cs="宋体" w:hint="eastAsia"/>
        </w:rPr>
        <w:t>完善</w:t>
      </w:r>
      <w:r>
        <w:rPr>
          <w:rFonts w:ascii="宋体" w:hAnsi="宋体" w:cs="宋体" w:hint="eastAsia"/>
          <w:lang w:val="en-US" w:eastAsia="zh-CN"/>
        </w:rPr>
        <w:t>社区内的</w:t>
      </w:r>
      <w:r>
        <w:rPr>
          <w:rFonts w:ascii="宋体" w:hAnsi="宋体" w:cs="宋体" w:hint="eastAsia"/>
        </w:rPr>
        <w:t>垃圾分类</w:t>
      </w:r>
      <w:r>
        <w:rPr>
          <w:rFonts w:ascii="宋体" w:hAnsi="宋体" w:cs="宋体" w:hint="eastAsia"/>
          <w:lang w:val="en-US" w:eastAsia="zh-CN"/>
        </w:rPr>
        <w:t>基础</w:t>
      </w:r>
      <w:r>
        <w:rPr>
          <w:rFonts w:ascii="宋体" w:hAnsi="宋体" w:cs="宋体" w:hint="eastAsia"/>
        </w:rPr>
        <w:t>设施，</w:t>
      </w:r>
      <w:r>
        <w:rPr>
          <w:rFonts w:ascii="宋体" w:hAnsi="宋体" w:cs="宋体" w:hint="eastAsia"/>
          <w:lang w:val="en-US" w:eastAsia="zh-CN"/>
        </w:rPr>
        <w:t>可以</w:t>
      </w:r>
      <w:r>
        <w:rPr>
          <w:rFonts w:ascii="宋体" w:hAnsi="宋体" w:cs="宋体" w:hint="eastAsia"/>
        </w:rPr>
        <w:t>促进</w:t>
      </w:r>
      <w:r>
        <w:rPr>
          <w:rFonts w:ascii="宋体" w:hAnsi="宋体" w:cs="宋体" w:hint="eastAsia"/>
          <w:lang w:val="en-US" w:eastAsia="zh-CN"/>
        </w:rPr>
        <w:t>居民的</w:t>
      </w:r>
      <w:r>
        <w:rPr>
          <w:rFonts w:ascii="宋体" w:hAnsi="宋体" w:cs="宋体" w:hint="eastAsia"/>
        </w:rPr>
        <w:t>垃圾分类行为</w:t>
      </w:r>
      <w:r>
        <w:rPr>
          <w:rFonts w:ascii="宋体" w:hAnsi="宋体" w:cs="宋体" w:hint="eastAsia"/>
          <w:vertAlign w:val="superscript"/>
        </w:rPr>
        <w:t>[16]</w:t>
      </w:r>
    </w:p>
    <w:p>
      <w:pPr>
        <w:spacing w:after="156" w:afterLines="50"/>
        <w:ind w:firstLine="480"/>
        <w:rPr>
          <w:rFonts w:ascii="宋体" w:hAnsi="宋体" w:cs="宋体"/>
        </w:rPr>
      </w:pPr>
      <w:r>
        <w:rPr>
          <w:rFonts w:ascii="宋体" w:hAnsi="宋体" w:cs="宋体" w:hint="eastAsia"/>
        </w:rPr>
        <w:t>。尹昕等（2017）认为，居民生活区域分布的生活垃圾分类设施的数量和距离、便利程度等对于居民的生活垃圾分类行为具有显著的影响</w:t>
      </w:r>
      <w:r>
        <w:rPr>
          <w:rFonts w:ascii="宋体" w:hAnsi="宋体" w:cs="宋体" w:hint="eastAsia"/>
          <w:vertAlign w:val="superscript"/>
        </w:rPr>
        <w:t>[17]</w:t>
      </w:r>
      <w:r>
        <w:rPr>
          <w:rFonts w:ascii="宋体" w:hAnsi="宋体" w:cs="宋体" w:hint="eastAsia"/>
        </w:rPr>
        <w:t>。</w:t>
      </w:r>
      <w:r>
        <w:rPr>
          <w:rFonts w:ascii="宋体" w:hAnsi="宋体" w:cs="宋体"/>
        </w:rPr>
        <w:t>陈绍军、李如春等学者</w:t>
      </w:r>
      <w:r>
        <w:rPr>
          <w:rFonts w:ascii="宋体" w:hAnsi="宋体" w:cs="宋体" w:hint="eastAsia"/>
        </w:rPr>
        <w:t>（2015）</w:t>
      </w:r>
      <w:r>
        <w:rPr>
          <w:rFonts w:ascii="宋体" w:hAnsi="宋体" w:cs="宋体"/>
        </w:rPr>
        <w:t>调查了垃圾收集的各种潜在影响因素，强调了加强供给机制、垃圾分类设施、长效机制和适当教育建设的重要性</w:t>
      </w:r>
      <w:r>
        <w:rPr>
          <w:rFonts w:ascii="宋体" w:hAnsi="宋体" w:cs="宋体" w:hint="eastAsia"/>
          <w:vertAlign w:val="superscript"/>
        </w:rPr>
        <w:t>[18]</w:t>
      </w:r>
      <w:r>
        <w:rPr>
          <w:rFonts w:ascii="宋体" w:hAnsi="宋体" w:cs="宋体"/>
        </w:rPr>
        <w:t>。宋丽娟，刘博雅，夏田</w:t>
      </w:r>
      <w:r>
        <w:rPr>
          <w:rFonts w:ascii="宋体" w:hAnsi="宋体" w:cs="宋体" w:hint="eastAsia"/>
        </w:rPr>
        <w:t>（2013）</w:t>
      </w:r>
      <w:r>
        <w:rPr>
          <w:rFonts w:ascii="宋体" w:hAnsi="宋体" w:cs="宋体"/>
        </w:rPr>
        <w:t>研究认为，居民年龄、文化程度等社会人口变量，对垃圾分类的认识</w:t>
      </w:r>
      <w:r>
        <w:rPr>
          <w:rFonts w:ascii="宋体" w:hAnsi="宋体" w:cs="宋体" w:hint="eastAsia"/>
          <w:lang w:eastAsia="zh-CN"/>
        </w:rPr>
        <w:t>、</w:t>
      </w:r>
      <w:r>
        <w:rPr>
          <w:rFonts w:ascii="宋体" w:hAnsi="宋体" w:cs="宋体" w:hint="eastAsia"/>
          <w:lang w:val="en-US" w:eastAsia="zh-CN"/>
        </w:rPr>
        <w:t>居民分类行为有影响</w:t>
      </w:r>
      <w:r>
        <w:rPr>
          <w:rFonts w:ascii="宋体" w:hAnsi="宋体" w:cs="宋体"/>
        </w:rPr>
        <w:t>。</w:t>
      </w:r>
      <w:r>
        <w:rPr>
          <w:rFonts w:ascii="宋体" w:hAnsi="宋体" w:cs="宋体" w:hint="eastAsia"/>
          <w:vertAlign w:val="superscript"/>
        </w:rPr>
        <w:t>[19]</w:t>
      </w:r>
      <w:r>
        <w:rPr>
          <w:rFonts w:ascii="宋体" w:hAnsi="宋体" w:cs="宋体"/>
        </w:rPr>
        <w:t>。</w:t>
      </w:r>
    </w:p>
    <w:p>
      <w:pPr>
        <w:numPr>
          <w:ilvl w:val="0"/>
          <w:numId w:val="6"/>
        </w:numPr>
        <w:spacing w:after="100" w:afterAutospacing="1"/>
        <w:ind w:left="425" w:firstLine="0" w:firstLineChars="0"/>
        <w:jc w:val="left"/>
        <w:rPr>
          <w:rFonts w:ascii="黑体" w:eastAsia="黑体" w:hAnsi="宋体" w:cs="Times New Roman" w:hint="eastAsia"/>
          <w:b w:val="0"/>
          <w:i w:val="0"/>
          <w:szCs w:val="24"/>
        </w:rPr>
      </w:pPr>
      <w:bookmarkStart w:id="130" w:name="_Toc29262"/>
      <w:bookmarkStart w:id="131" w:name="_Toc13994"/>
      <w:bookmarkStart w:id="132" w:name="_Toc11392"/>
      <w:r>
        <w:rPr>
          <w:rFonts w:ascii="黑体" w:eastAsia="黑体" w:hAnsi="宋体" w:cs="Times New Roman" w:hint="default"/>
          <w:b w:val="0"/>
          <w:i w:val="0"/>
          <w:kern w:val="2"/>
          <w:sz w:val="24"/>
          <w:szCs w:val="24"/>
        </w:rPr>
        <w:t>文献评述</w:t>
      </w:r>
      <w:bookmarkEnd w:id="130"/>
      <w:bookmarkEnd w:id="131"/>
      <w:bookmarkEnd w:id="132"/>
    </w:p>
    <w:p>
      <w:pPr>
        <w:spacing w:after="156" w:afterLines="50"/>
        <w:ind w:firstLine="480"/>
      </w:pPr>
      <w:r>
        <w:rPr>
          <w:rFonts w:ascii="宋体" w:hAnsi="宋体" w:cs="宋体" w:hint="eastAsia"/>
          <w:lang w:val="en-US" w:eastAsia="zh-CN"/>
        </w:rPr>
        <w:t>综合国内外研究状况</w:t>
      </w:r>
      <w:r>
        <w:rPr>
          <w:rFonts w:ascii="宋体" w:hAnsi="宋体" w:cs="宋体" w:hint="eastAsia"/>
        </w:rPr>
        <w:t>，</w:t>
      </w:r>
      <w:r>
        <w:rPr>
          <w:rFonts w:ascii="宋体" w:hAnsi="宋体" w:cs="宋体" w:hint="eastAsia"/>
          <w:lang w:val="en-US" w:eastAsia="zh-CN"/>
        </w:rPr>
        <w:t>可以看出</w:t>
      </w:r>
      <w:r>
        <w:rPr>
          <w:rFonts w:ascii="宋体" w:hAnsi="宋体" w:cs="宋体"/>
        </w:rPr>
        <w:t>国外</w:t>
      </w:r>
      <w:r>
        <w:rPr>
          <w:rFonts w:ascii="宋体" w:hAnsi="宋体" w:cs="宋体" w:hint="eastAsia"/>
        </w:rPr>
        <w:t>学者</w:t>
      </w:r>
      <w:r>
        <w:rPr>
          <w:rFonts w:ascii="宋体" w:hAnsi="宋体" w:cs="宋体"/>
        </w:rPr>
        <w:t>对</w:t>
      </w:r>
      <w:r>
        <w:rPr>
          <w:rFonts w:ascii="宋体" w:hAnsi="宋体" w:cs="宋体" w:hint="eastAsia"/>
        </w:rPr>
        <w:t>于</w:t>
      </w:r>
      <w:r>
        <w:rPr>
          <w:rFonts w:ascii="宋体" w:hAnsi="宋体" w:cs="宋体"/>
        </w:rPr>
        <w:t>垃圾</w:t>
      </w:r>
      <w:r>
        <w:rPr>
          <w:rFonts w:ascii="宋体" w:hAnsi="宋体" w:cs="宋体" w:hint="eastAsia"/>
        </w:rPr>
        <w:t>分类的</w:t>
      </w:r>
      <w:r>
        <w:rPr>
          <w:rFonts w:ascii="宋体" w:hAnsi="宋体" w:cs="宋体"/>
        </w:rPr>
        <w:t>问题了解较早，并</w:t>
      </w:r>
      <w:r>
        <w:rPr>
          <w:rFonts w:ascii="宋体" w:hAnsi="宋体" w:cs="宋体" w:hint="eastAsia"/>
        </w:rPr>
        <w:t>早已</w:t>
      </w:r>
      <w:r>
        <w:rPr>
          <w:rFonts w:ascii="宋体" w:hAnsi="宋体" w:cs="宋体"/>
        </w:rPr>
        <w:t>形成了一个相对比较的研究成果体系</w:t>
      </w:r>
      <w:r>
        <w:rPr>
          <w:rFonts w:ascii="宋体" w:hAnsi="宋体" w:cs="宋体" w:hint="eastAsia"/>
        </w:rPr>
        <w:t>，但也需要补充，国外学者大多站在发达国家的角度进行研究，对于发展中国家</w:t>
      </w:r>
      <w:r>
        <w:rPr>
          <w:rFonts w:ascii="宋体" w:hAnsi="宋体" w:cs="宋体" w:hint="eastAsia"/>
          <w:lang w:val="en-US" w:eastAsia="zh-CN"/>
        </w:rPr>
        <w:t>生活</w:t>
      </w:r>
      <w:r>
        <w:rPr>
          <w:rFonts w:ascii="宋体" w:hAnsi="宋体" w:cs="宋体" w:hint="eastAsia"/>
        </w:rPr>
        <w:t>垃圾分类行为</w:t>
      </w:r>
      <w:r>
        <w:rPr>
          <w:rFonts w:ascii="宋体" w:hAnsi="宋体" w:cs="宋体" w:hint="eastAsia"/>
          <w:lang w:val="en-US" w:eastAsia="zh-CN"/>
        </w:rPr>
        <w:t>的</w:t>
      </w:r>
      <w:r>
        <w:rPr>
          <w:rFonts w:ascii="宋体" w:hAnsi="宋体" w:cs="宋体" w:hint="eastAsia"/>
        </w:rPr>
        <w:t>研究</w:t>
      </w:r>
      <w:r>
        <w:rPr>
          <w:rFonts w:ascii="宋体" w:hAnsi="宋体" w:cs="宋体" w:hint="eastAsia"/>
          <w:lang w:val="en-US" w:eastAsia="zh-CN"/>
        </w:rPr>
        <w:t>不足</w:t>
      </w:r>
      <w:r>
        <w:rPr>
          <w:rFonts w:ascii="宋体" w:hAnsi="宋体" w:cs="宋体" w:hint="eastAsia"/>
        </w:rPr>
        <w:t>。国内学者在不同视角</w:t>
      </w:r>
      <w:r>
        <w:rPr>
          <w:rFonts w:ascii="宋体" w:hAnsi="宋体" w:cs="宋体" w:hint="eastAsia"/>
          <w:lang w:val="en-US" w:eastAsia="zh-CN"/>
        </w:rPr>
        <w:t>研究影响</w:t>
      </w:r>
      <w:r>
        <w:rPr>
          <w:rFonts w:ascii="宋体" w:hAnsi="宋体" w:cs="宋体" w:hint="eastAsia"/>
        </w:rPr>
        <w:t>城市生活垃圾分类行为</w:t>
      </w:r>
      <w:r>
        <w:rPr>
          <w:rFonts w:ascii="宋体" w:hAnsi="宋体" w:cs="宋体" w:hint="eastAsia"/>
          <w:lang w:val="en-US" w:eastAsia="zh-CN"/>
        </w:rPr>
        <w:t>的</w:t>
      </w:r>
      <w:r>
        <w:rPr>
          <w:rFonts w:ascii="宋体" w:hAnsi="宋体" w:cs="宋体" w:hint="eastAsia"/>
        </w:rPr>
        <w:t>因素，但是都集中于经济较为发达的地区，能收集到的意见</w:t>
      </w:r>
      <w:r>
        <w:rPr>
          <w:rFonts w:ascii="宋体" w:hAnsi="宋体" w:cs="宋体" w:hint="eastAsia"/>
          <w:lang w:val="en-US" w:eastAsia="zh-CN"/>
        </w:rPr>
        <w:t>不全面</w:t>
      </w:r>
      <w:r>
        <w:rPr>
          <w:rFonts w:ascii="宋体" w:hAnsi="宋体" w:cs="宋体" w:hint="eastAsia"/>
        </w:rPr>
        <w:t>。因此，本</w:t>
      </w:r>
      <w:r>
        <w:rPr>
          <w:rFonts w:ascii="宋体" w:hAnsi="宋体" w:cs="宋体" w:hint="eastAsia"/>
          <w:lang w:val="en-US" w:eastAsia="zh-CN"/>
        </w:rPr>
        <w:t>文结合国内外学者的经验</w:t>
      </w:r>
      <w:r>
        <w:rPr>
          <w:rFonts w:ascii="宋体" w:hAnsi="宋体" w:cs="宋体" w:hint="eastAsia"/>
        </w:rPr>
        <w:t>，选取了</w:t>
      </w:r>
      <w:r>
        <w:rPr>
          <w:rFonts w:ascii="宋体" w:hAnsi="宋体" w:cs="宋体" w:hint="eastAsia"/>
          <w:lang w:eastAsia="zh-CN"/>
        </w:rPr>
        <w:t>桂林</w:t>
      </w:r>
      <w:r>
        <w:rPr>
          <w:rFonts w:ascii="宋体" w:hAnsi="宋体" w:cs="宋体" w:hint="eastAsia"/>
        </w:rPr>
        <w:t>市试点小区居民为调查对象，</w:t>
      </w:r>
      <w:r>
        <w:rPr>
          <w:rFonts w:ascii="宋体" w:hAnsi="宋体" w:cs="宋体" w:hint="eastAsia"/>
          <w:lang w:val="en-US" w:eastAsia="zh-CN"/>
        </w:rPr>
        <w:t>对影响</w:t>
      </w:r>
      <w:r>
        <w:rPr>
          <w:rFonts w:ascii="宋体" w:hAnsi="宋体" w:cs="宋体" w:hint="eastAsia"/>
        </w:rPr>
        <w:t>城市生活垃圾分类行为的因素</w:t>
      </w:r>
      <w:r>
        <w:rPr>
          <w:rFonts w:ascii="宋体" w:hAnsi="宋体" w:cs="宋体" w:hint="eastAsia"/>
          <w:lang w:val="en-US" w:eastAsia="zh-CN"/>
        </w:rPr>
        <w:t>进行研究</w:t>
      </w:r>
      <w:r>
        <w:rPr>
          <w:rFonts w:ascii="宋体" w:hAnsi="宋体" w:cs="宋体" w:hint="eastAsia"/>
        </w:rPr>
        <w:t>。</w:t>
      </w:r>
      <w:r>
        <w:rPr>
          <w:rFonts w:ascii="宋体" w:hAnsi="宋体" w:cs="宋体" w:hint="eastAsia"/>
          <w:lang w:eastAsia="zh-CN"/>
        </w:rPr>
        <w:t>桂林</w:t>
      </w:r>
      <w:r>
        <w:rPr>
          <w:rFonts w:ascii="宋体" w:hAnsi="宋体" w:cs="宋体"/>
        </w:rPr>
        <w:t>市城市居民分类行为的影响是</w:t>
      </w:r>
      <w:r>
        <w:rPr>
          <w:rFonts w:ascii="宋体" w:hAnsi="宋体" w:cs="宋体" w:hint="eastAsia"/>
        </w:rPr>
        <w:t>比较</w:t>
      </w:r>
      <w:r>
        <w:rPr>
          <w:rFonts w:ascii="宋体" w:hAnsi="宋体" w:cs="宋体"/>
        </w:rPr>
        <w:t>一项前沿研究，具有重要的理论和现实意义，对我国其他</w:t>
      </w:r>
      <w:r>
        <w:rPr>
          <w:rFonts w:ascii="宋体" w:hAnsi="宋体" w:cs="宋体" w:hint="eastAsia"/>
        </w:rPr>
        <w:t>地区</w:t>
      </w:r>
      <w:r>
        <w:rPr>
          <w:rFonts w:ascii="宋体" w:hAnsi="宋体" w:cs="宋体"/>
        </w:rPr>
        <w:t>开展垃圾分类工作</w:t>
      </w:r>
      <w:r>
        <w:rPr>
          <w:rFonts w:ascii="宋体" w:hAnsi="宋体" w:cs="宋体" w:hint="eastAsia"/>
        </w:rPr>
        <w:t>也</w:t>
      </w:r>
      <w:r>
        <w:rPr>
          <w:rFonts w:ascii="宋体" w:hAnsi="宋体" w:cs="宋体"/>
        </w:rPr>
        <w:t>具有参考价值。</w:t>
      </w:r>
    </w:p>
    <w:p>
      <w:pPr>
        <w:ind w:firstLine="0" w:firstLineChars="0"/>
        <w:outlineLvl w:val="1"/>
        <w:rPr>
          <w:rFonts w:ascii="黑体" w:eastAsia="黑体" w:hAnsi="黑体" w:cs="黑体" w:hint="eastAsia"/>
        </w:rPr>
      </w:pPr>
    </w:p>
    <w:bookmarkEnd w:id="124"/>
    <w:bookmarkEnd w:id="125"/>
    <w:bookmarkEnd w:id="126"/>
    <w:p>
      <w:pPr>
        <w:pStyle w:val="Heading2"/>
        <w:numPr>
          <w:ilvl w:val="0"/>
          <w:numId w:val="5"/>
        </w:numPr>
        <w:spacing w:before="156" w:beforeLines="50"/>
        <w:ind w:firstLine="420"/>
        <w:rPr>
          <w:rFonts w:ascii="黑体" w:eastAsia="黑体" w:hAnsi="宋体" w:cs="Times New Roman" w:hint="eastAsia"/>
          <w:b w:val="0"/>
          <w:i w:val="0"/>
          <w:color w:val="auto"/>
          <w:kern w:val="2"/>
          <w:sz w:val="24"/>
          <w:szCs w:val="24"/>
        </w:rPr>
      </w:pPr>
      <w:bookmarkStart w:id="133" w:name="_Toc27535"/>
      <w:bookmarkStart w:id="134" w:name="_Toc14334"/>
      <w:bookmarkStart w:id="135" w:name="_Toc28745"/>
      <w:bookmarkStart w:id="136" w:name="_Toc14374"/>
      <w:bookmarkStart w:id="137" w:name="_Toc10258"/>
      <w:bookmarkStart w:id="138" w:name="_Toc29063"/>
      <w:bookmarkStart w:id="139" w:name="_Toc8746"/>
      <w:bookmarkStart w:id="140" w:name="_Toc24215"/>
      <w:bookmarkStart w:id="141" w:name="_Toc16982"/>
      <w:bookmarkStart w:id="142" w:name="_Toc15340"/>
      <w:bookmarkStart w:id="143" w:name="_Toc5"/>
      <w:bookmarkStart w:id="144" w:name="_Toc6279"/>
      <w:bookmarkStart w:id="145" w:name="_Toc4383"/>
      <w:bookmarkStart w:id="146" w:name="_Toc32746"/>
      <w:bookmarkStart w:id="147" w:name="_Toc14889"/>
      <w:bookmarkStart w:id="148" w:name="_Toc21559"/>
      <w:r>
        <w:rPr>
          <w:rFonts w:ascii="黑体" w:eastAsia="黑体" w:hAnsi="宋体" w:cs="Times New Roman" w:hint="eastAsia"/>
          <w:b w:val="0"/>
          <w:i w:val="0"/>
          <w:color w:val="auto"/>
          <w:kern w:val="2"/>
          <w:sz w:val="24"/>
          <w:szCs w:val="24"/>
        </w:rPr>
        <w:t>理论</w:t>
      </w:r>
      <w:r>
        <w:rPr>
          <w:rFonts w:ascii="黑体" w:eastAsia="黑体" w:hAnsi="宋体" w:cs="Times New Roman" w:hint="eastAsia"/>
          <w:b w:val="0"/>
          <w:i w:val="0"/>
          <w:color w:val="auto"/>
          <w:kern w:val="2"/>
          <w:sz w:val="24"/>
          <w:szCs w:val="24"/>
          <w:lang w:val="en-US" w:eastAsia="zh-CN"/>
        </w:rPr>
        <w:t>视角</w:t>
      </w:r>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p>
    <w:p>
      <w:pPr>
        <w:numPr>
          <w:ilvl w:val="0"/>
          <w:numId w:val="9"/>
        </w:numPr>
        <w:ind w:left="0" w:firstLine="425" w:firstLineChars="0"/>
        <w:outlineLvl w:val="2"/>
        <w:rPr>
          <w:rFonts w:ascii="黑体" w:eastAsia="黑体" w:hAnsi="黑体" w:cs="黑体"/>
        </w:rPr>
      </w:pPr>
      <w:bookmarkStart w:id="149" w:name="_Toc3989"/>
      <w:bookmarkStart w:id="150" w:name="_Toc5346"/>
      <w:bookmarkStart w:id="151" w:name="_Toc26524"/>
      <w:bookmarkStart w:id="152" w:name="_Toc10711"/>
      <w:bookmarkStart w:id="153" w:name="_Toc27141"/>
      <w:bookmarkStart w:id="154" w:name="_Toc18135"/>
      <w:bookmarkStart w:id="155" w:name="_Toc12782"/>
      <w:bookmarkStart w:id="156" w:name="_Toc17126"/>
      <w:bookmarkStart w:id="157" w:name="_Toc30708"/>
      <w:bookmarkStart w:id="158" w:name="_Toc15168"/>
      <w:bookmarkStart w:id="159" w:name="_Toc2600"/>
      <w:bookmarkStart w:id="160" w:name="_Toc10015"/>
      <w:bookmarkStart w:id="161" w:name="_Toc9854"/>
      <w:bookmarkStart w:id="162" w:name="_Toc2584"/>
      <w:bookmarkStart w:id="163" w:name="_Toc24111"/>
      <w:bookmarkStart w:id="164" w:name="_Toc23084"/>
      <w:r>
        <w:rPr>
          <w:rFonts w:ascii="黑体" w:eastAsia="黑体" w:hAnsi="黑体" w:cs="黑体" w:hint="eastAsia"/>
        </w:rPr>
        <w:t>计划行为理论</w:t>
      </w:r>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p>
    <w:p>
      <w:pPr>
        <w:spacing w:after="156" w:afterLines="50"/>
        <w:ind w:firstLine="480"/>
        <w:rPr>
          <w:rFonts w:ascii="宋体" w:hAnsi="宋体" w:cs="宋体"/>
        </w:rPr>
        <w:sectPr>
          <w:headerReference w:type="default" r:id="rId18"/>
          <w:footerReference w:type="default" r:id="rId19"/>
          <w:type w:val="nextPage"/>
          <w:pgSz w:w="11850" w:h="16783"/>
          <w:pgMar w:top="1134" w:right="1134" w:bottom="1134" w:left="1531" w:header="851" w:footer="992" w:gutter="0"/>
          <w:pgNumType w:start="6"/>
          <w:cols w:num="1" w:space="0"/>
          <w:titlePg w:val="0"/>
          <w:docGrid w:type="lines" w:linePitch="312" w:charSpace="0"/>
        </w:sectPr>
      </w:pPr>
      <w:r>
        <w:rPr>
          <w:rFonts w:ascii="宋体" w:hAnsi="宋体" w:cs="宋体" w:hint="eastAsia"/>
        </w:rPr>
        <w:t>计划行为理论认为，行为态度、主观规范和行为控制</w:t>
      </w:r>
      <w:r>
        <w:rPr>
          <w:rFonts w:ascii="宋体" w:hAnsi="宋体" w:cs="宋体" w:hint="eastAsia"/>
          <w:lang w:val="en-US" w:eastAsia="zh-CN"/>
        </w:rPr>
        <w:t>影响了行为意向和</w:t>
      </w:r>
      <w:r>
        <w:rPr>
          <w:rFonts w:ascii="宋体" w:hAnsi="宋体" w:cs="宋体" w:hint="eastAsia"/>
        </w:rPr>
        <w:t>行为的产生。行为意向主要是指居民是否愿意</w:t>
      </w:r>
      <w:r>
        <w:rPr>
          <w:rFonts w:ascii="宋体" w:hAnsi="宋体" w:cs="宋体" w:hint="eastAsia"/>
          <w:lang w:val="en-US" w:eastAsia="zh-CN"/>
        </w:rPr>
        <w:t>进行</w:t>
      </w:r>
      <w:r>
        <w:rPr>
          <w:rFonts w:ascii="宋体" w:hAnsi="宋体" w:cs="宋体" w:hint="eastAsia"/>
        </w:rPr>
        <w:t>生活垃圾分类，是否会为此付出一定的努力，是影响因素中比较重要的部分。行为态度是指居民的行为态度体现在他们觉得</w:t>
      </w:r>
      <w:r>
        <w:rPr>
          <w:rFonts w:ascii="宋体" w:hAnsi="宋体" w:cs="宋体" w:hint="eastAsia"/>
          <w:lang w:eastAsia="zh-CN"/>
        </w:rPr>
        <w:t>桂林</w:t>
      </w:r>
      <w:r>
        <w:rPr>
          <w:rFonts w:ascii="宋体" w:hAnsi="宋体" w:cs="宋体" w:hint="eastAsia"/>
        </w:rPr>
        <w:t>市是否有必要实施生活垃圾的分类，生活垃圾分类是否有</w:t>
      </w:r>
      <w:r>
        <w:rPr>
          <w:rFonts w:ascii="宋体" w:hAnsi="宋体" w:cs="宋体" w:hint="eastAsia"/>
          <w:lang w:val="en-US" w:eastAsia="zh-CN"/>
        </w:rPr>
        <w:t>助于资源利用</w:t>
      </w:r>
      <w:r>
        <w:rPr>
          <w:rFonts w:ascii="宋体" w:hAnsi="宋体" w:cs="宋体" w:hint="eastAsia"/>
        </w:rPr>
        <w:t>。</w:t>
      </w:r>
      <w:r>
        <w:rPr>
          <w:rFonts w:ascii="宋体" w:hAnsi="宋体" w:cs="宋体" w:hint="eastAsia"/>
          <w:lang w:val="en-US" w:eastAsia="zh-CN"/>
        </w:rPr>
        <w:t>主观</w:t>
      </w:r>
      <w:r>
        <w:rPr>
          <w:rFonts w:ascii="宋体" w:hAnsi="宋体" w:cs="宋体" w:hint="eastAsia"/>
        </w:rPr>
        <w:t>规范指</w:t>
      </w:r>
      <w:r>
        <w:rPr>
          <w:rFonts w:ascii="宋体" w:hAnsi="宋体" w:cs="宋体" w:hint="eastAsia"/>
          <w:lang w:val="en-US" w:eastAsia="zh-CN"/>
        </w:rPr>
        <w:t>的是</w:t>
      </w:r>
      <w:r>
        <w:rPr>
          <w:rFonts w:ascii="宋体" w:hAnsi="宋体" w:cs="宋体" w:hint="eastAsia"/>
        </w:rPr>
        <w:t>居民是否</w:t>
      </w:r>
      <w:r>
        <w:rPr>
          <w:rFonts w:ascii="宋体" w:hAnsi="宋体" w:cs="宋体" w:hint="eastAsia"/>
          <w:lang w:val="en-US" w:eastAsia="zh-CN"/>
        </w:rPr>
        <w:t>愿意对</w:t>
      </w:r>
      <w:r>
        <w:rPr>
          <w:rFonts w:ascii="宋体" w:hAnsi="宋体" w:cs="宋体" w:hint="eastAsia"/>
        </w:rPr>
        <w:t>生活垃圾</w:t>
      </w:r>
      <w:r>
        <w:rPr>
          <w:rFonts w:ascii="宋体" w:hAnsi="宋体" w:cs="宋体" w:hint="eastAsia"/>
          <w:lang w:val="en-US" w:eastAsia="zh-CN"/>
        </w:rPr>
        <w:t>进行</w:t>
      </w:r>
      <w:r>
        <w:rPr>
          <w:rFonts w:ascii="宋体" w:hAnsi="宋体" w:cs="宋体" w:hint="eastAsia"/>
        </w:rPr>
        <w:t>分类，是否会把生活垃圾分类后再</w:t>
      </w:r>
      <w:r>
        <w:rPr>
          <w:rFonts w:ascii="宋体" w:hAnsi="宋体" w:cs="宋体" w:hint="eastAsia"/>
          <w:lang w:val="en-US" w:eastAsia="zh-CN"/>
        </w:rPr>
        <w:t>倾倒到相应的分类垃圾箱</w:t>
      </w:r>
      <w:r>
        <w:rPr>
          <w:rFonts w:ascii="宋体" w:hAnsi="宋体" w:cs="宋体" w:hint="eastAsia"/>
        </w:rPr>
        <w:t>，会受到来自社区或身边人的道德、政策等影响。可以运用</w:t>
      </w:r>
      <w:r>
        <w:rPr>
          <w:rFonts w:ascii="宋体" w:hAnsi="宋体" w:cs="宋体" w:hint="eastAsia"/>
          <w:lang w:val="en-US" w:eastAsia="zh-CN"/>
        </w:rPr>
        <w:t>主观</w:t>
      </w:r>
      <w:r>
        <w:rPr>
          <w:rFonts w:ascii="宋体" w:hAnsi="宋体" w:cs="宋体" w:hint="eastAsia"/>
        </w:rPr>
        <w:t>规范的影响因素制定相应的措施，激励居民参与生活垃圾分类。本研究</w:t>
      </w:r>
      <w:r>
        <w:rPr>
          <w:rFonts w:ascii="宋体" w:hAnsi="宋体" w:cs="宋体" w:hint="eastAsia"/>
          <w:lang w:val="en-US" w:eastAsia="zh-CN"/>
        </w:rPr>
        <w:t>基于</w:t>
      </w:r>
      <w:r>
        <w:rPr>
          <w:rFonts w:ascii="宋体" w:hAnsi="宋体" w:cs="宋体" w:hint="eastAsia"/>
        </w:rPr>
        <w:t>计划行为理论，</w:t>
      </w:r>
      <w:r>
        <w:rPr>
          <w:rFonts w:ascii="宋体" w:hAnsi="宋体" w:cs="宋体" w:hint="eastAsia"/>
          <w:lang w:val="en-US" w:eastAsia="zh-CN"/>
        </w:rPr>
        <w:t>划分了</w:t>
      </w:r>
      <w:r>
        <w:rPr>
          <w:rFonts w:ascii="宋体" w:hAnsi="宋体" w:cs="宋体" w:hint="eastAsia"/>
        </w:rPr>
        <w:t>影响</w:t>
      </w:r>
      <w:r>
        <w:rPr>
          <w:rFonts w:ascii="宋体" w:hAnsi="宋体" w:cs="宋体" w:hint="eastAsia"/>
          <w:lang w:eastAsia="zh-CN"/>
        </w:rPr>
        <w:t>桂林</w:t>
      </w:r>
      <w:r>
        <w:rPr>
          <w:rFonts w:ascii="宋体" w:hAnsi="宋体" w:cs="宋体" w:hint="eastAsia"/>
        </w:rPr>
        <w:t>市居民生活垃圾分类行为的因素。计划行为理论模型如图所示</w:t>
      </w:r>
      <w:r>
        <w:rPr>
          <w:rFonts w:ascii="宋体" w:hAnsi="宋体" w:cs="宋体" w:hint="eastAsia"/>
          <w:lang w:eastAsia="zh-CN"/>
        </w:rPr>
        <w:t>：</w:t>
      </w:r>
    </w:p>
    <w:p>
      <w:pPr>
        <w:spacing w:after="156" w:afterLines="50"/>
        <w:ind w:firstLine="480"/>
        <w:rPr>
          <w:rFonts w:ascii="宋体" w:hAnsi="宋体" w:cs="宋体"/>
        </w:rPr>
      </w:pPr>
      <w:r>
        <mc:AlternateContent>
          <mc:Choice Requires="wpc">
            <w:drawing>
              <wp:inline distT="0" distB="0" distL="114300" distR="114300">
                <wp:extent cx="5517515" cy="2769235"/>
                <wp:effectExtent l="0" t="0" r="0" b="0"/>
                <wp:docPr id="2" name="画布 2"/>
                <wp:cNvGraphicFramePr/>
                <a:graphic xmlns:a="http://schemas.openxmlformats.org/drawingml/2006/main">
                  <a:graphicData uri="http://schemas.microsoft.com/office/word/2010/wordprocessingCanvas">
                    <wpc:wpc>
                      <wps:wsp xmlns:wps="http://schemas.microsoft.com/office/word/2010/wordprocessingShape">
                        <wps:cNvPr id="14" name="矩形 6"/>
                        <wps:cNvSpPr/>
                        <wps:spPr>
                          <a:xfrm>
                            <a:off x="728345" y="453390"/>
                            <a:ext cx="1005840" cy="389255"/>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pPr>
                                <w:ind w:firstLine="0" w:firstLineChars="0"/>
                              </w:pPr>
                              <w:r>
                                <w:rPr>
                                  <w:rFonts w:hint="eastAsia"/>
                                </w:rPr>
                                <w:t>行为态度</w:t>
                              </w:r>
                            </w:p>
                          </w:txbxContent>
                        </wps:txbx>
                        <wps:bodyPr rot="0" spcFirstLastPara="0" vertOverflow="overflow" horzOverflow="overflow" vert="horz" wrap="square" lIns="91440" tIns="45720" rIns="91440" bIns="45720" numCol="1" spcCol="0" rtlCol="0" fromWordArt="0" anchor="ctr" anchorCtr="0" forceAA="0" compatLnSpc="1"/>
                      </wps:wsp>
                      <wps:wsp xmlns:wps="http://schemas.microsoft.com/office/word/2010/wordprocessingShape">
                        <wps:cNvPr id="15" name="矩形 7"/>
                        <wps:cNvSpPr/>
                        <wps:spPr>
                          <a:xfrm>
                            <a:off x="728345" y="1169035"/>
                            <a:ext cx="990600" cy="412750"/>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pPr>
                                <w:ind w:firstLine="0" w:firstLineChars="0"/>
                              </w:pPr>
                              <w:r>
                                <w:rPr>
                                  <w:rFonts w:hint="eastAsia"/>
                                </w:rPr>
                                <w:t>主观规范</w:t>
                              </w:r>
                            </w:p>
                          </w:txbxContent>
                        </wps:txbx>
                        <wps:bodyPr rot="0" spcFirstLastPara="0" vertOverflow="overflow" horzOverflow="overflow" vert="horz" wrap="square" lIns="91440" tIns="45720" rIns="91440" bIns="45720" numCol="1" spcCol="0" rtlCol="0" fromWordArt="0" anchor="ctr" anchorCtr="0" forceAA="0" compatLnSpc="1"/>
                      </wps:wsp>
                      <wps:wsp xmlns:wps="http://schemas.microsoft.com/office/word/2010/wordprocessingShape">
                        <wps:cNvPr id="16" name="矩形 8"/>
                        <wps:cNvSpPr/>
                        <wps:spPr>
                          <a:xfrm>
                            <a:off x="735965" y="1977390"/>
                            <a:ext cx="991235" cy="434975"/>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pPr>
                                <w:ind w:firstLine="0" w:firstLineChars="0"/>
                                <w:rPr>
                                  <w:sz w:val="20"/>
                                  <w:szCs w:val="18"/>
                                </w:rPr>
                              </w:pPr>
                              <w:r>
                                <w:rPr>
                                  <w:rFonts w:hint="eastAsia"/>
                                  <w:sz w:val="20"/>
                                  <w:szCs w:val="18"/>
                                </w:rPr>
                                <w:t xml:space="preserve">感知行为控制 </w:t>
                              </w:r>
                            </w:p>
                          </w:txbxContent>
                        </wps:txbx>
                        <wps:bodyPr rot="0" spcFirstLastPara="0" vertOverflow="overflow" horzOverflow="overflow" vert="horz" wrap="square" lIns="91440" tIns="45720" rIns="91440" bIns="45720" numCol="1" spcCol="0" rtlCol="0" fromWordArt="0" anchor="ctr" anchorCtr="0" forceAA="0" compatLnSpc="1"/>
                      </wps:wsp>
                      <wps:wsp xmlns:wps="http://schemas.microsoft.com/office/word/2010/wordprocessingShape">
                        <wps:cNvPr id="17" name="矩形 10"/>
                        <wps:cNvSpPr/>
                        <wps:spPr>
                          <a:xfrm>
                            <a:off x="2298065" y="1191895"/>
                            <a:ext cx="923290" cy="382270"/>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pPr>
                                <w:ind w:firstLine="0" w:firstLineChars="0"/>
                              </w:pPr>
                              <w:r>
                                <w:rPr>
                                  <w:rFonts w:hint="eastAsia"/>
                                </w:rPr>
                                <w:t>行为意愿</w:t>
                              </w:r>
                            </w:p>
                          </w:txbxContent>
                        </wps:txbx>
                        <wps:bodyPr rot="0" spcFirstLastPara="0" vertOverflow="overflow" horzOverflow="overflow" vert="horz" wrap="square" lIns="91440" tIns="45720" rIns="91440" bIns="45720" numCol="1" spcCol="0" rtlCol="0" fromWordArt="0" anchor="ctr" anchorCtr="0" forceAA="0" compatLnSpc="1"/>
                      </wps:wsp>
                      <wps:wsp xmlns:wps="http://schemas.microsoft.com/office/word/2010/wordprocessingShape">
                        <wps:cNvPr id="32" name="矩形 10"/>
                        <wps:cNvSpPr/>
                        <wps:spPr>
                          <a:xfrm>
                            <a:off x="3710305" y="1200150"/>
                            <a:ext cx="801370" cy="359410"/>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pPr>
                                <w:ind w:firstLine="0" w:firstLineChars="0"/>
                                <w:rPr>
                                  <w:sz w:val="21"/>
                                  <w:szCs w:val="20"/>
                                </w:rPr>
                              </w:pPr>
                              <w:r>
                                <w:rPr>
                                  <w:rFonts w:hint="eastAsia"/>
                                  <w:sz w:val="21"/>
                                  <w:szCs w:val="20"/>
                                </w:rPr>
                                <w:t>实际行为</w:t>
                              </w:r>
                            </w:p>
                          </w:txbxContent>
                        </wps:txbx>
                        <wps:bodyPr rot="0" spcFirstLastPara="0" vertOverflow="overflow" horzOverflow="overflow" vert="horz" wrap="square" lIns="91440" tIns="45720" rIns="91440" bIns="45720" numCol="1" spcCol="0" rtlCol="0" fromWordArt="0" anchor="ctr" anchorCtr="0" forceAA="0" compatLnSpc="1"/>
                      </wps:wsp>
                      <wps:wsp xmlns:wps="http://schemas.microsoft.com/office/word/2010/wordprocessingShape">
                        <wps:cNvPr id="36" name="直接箭头连接符 36"/>
                        <wps:cNvCnPr>
                          <a:stCxn id="14" idx="3"/>
                          <a:endCxn id="17" idx="1"/>
                        </wps:cNvCnPr>
                        <wps:spPr>
                          <a:xfrm>
                            <a:off x="1734185" y="648335"/>
                            <a:ext cx="563880" cy="734695"/>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wps:wsp xmlns:wps="http://schemas.microsoft.com/office/word/2010/wordprocessingShape">
                        <wps:cNvPr id="37" name="直接箭头连接符 37"/>
                        <wps:cNvCnPr>
                          <a:stCxn id="15" idx="3"/>
                          <a:endCxn id="17" idx="1"/>
                        </wps:cNvCnPr>
                        <wps:spPr>
                          <a:xfrm>
                            <a:off x="1718945" y="1375410"/>
                            <a:ext cx="579120" cy="7620"/>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wps:wsp xmlns:wps="http://schemas.microsoft.com/office/word/2010/wordprocessingShape">
                        <wps:cNvPr id="38" name="直接箭头连接符 38"/>
                        <wps:cNvCnPr>
                          <a:stCxn id="16" idx="3"/>
                          <a:endCxn id="17" idx="1"/>
                        </wps:cNvCnPr>
                        <wps:spPr>
                          <a:xfrm flipV="1">
                            <a:off x="1727200" y="1383030"/>
                            <a:ext cx="570865" cy="812165"/>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wps:wsp xmlns:wps="http://schemas.microsoft.com/office/word/2010/wordprocessingShape">
                        <wps:cNvPr id="39" name="直接箭头连接符 39"/>
                        <wps:cNvCnPr>
                          <a:stCxn id="17" idx="3"/>
                          <a:endCxn id="32" idx="1"/>
                        </wps:cNvCnPr>
                        <wps:spPr>
                          <a:xfrm flipV="1">
                            <a:off x="3221355" y="1379855"/>
                            <a:ext cx="488950" cy="3175"/>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wps:wsp xmlns:wps="http://schemas.microsoft.com/office/word/2010/wordprocessingShape">
                        <wps:cNvPr id="40" name="直接箭头连接符 40"/>
                        <wps:cNvCnPr>
                          <a:stCxn id="16" idx="3"/>
                          <a:endCxn id="32" idx="2"/>
                        </wps:cNvCnPr>
                        <wps:spPr>
                          <a:xfrm flipV="1">
                            <a:off x="1727200" y="1559560"/>
                            <a:ext cx="2383790" cy="635635"/>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wpc:wpc>
                  </a:graphicData>
                </a:graphic>
              </wp:inline>
            </w:drawing>
          </mc:Choice>
          <mc:Fallback>
            <w:pict>
              <v:group id="_x0000_s1026" o:spid="_x0000_i1025" editas="canvas" style="width:434.45pt;height:218.05pt" coordsize="5517515,2769235">
                <o:lock v:ext="edit" aspectratio="f"/>
                <v:shape id="_x0000_s1026" o:spid="_x0000_s1026" style="width:5517515;height:2769235;position:absolute" coordsize="21600,21600" filled="f" stroked="f">
                  <o:lock v:ext="edit" aspectratio="f"/>
                </v:shape>
                <v:rect id="矩形 6" o:spid="_x0000_s1027" style="width:1005840;height:389255;left:728345;position:absolute;top:453390;v-text-anchor:middle" coordsize="21600,21600" filled="t" fillcolor="white" stroked="t" strokecolor="black">
                  <v:stroke joinstyle="miter"/>
                  <o:lock v:ext="edit" aspectratio="f"/>
                  <v:textbox>
                    <w:txbxContent>
                      <w:p>
                        <w:pPr>
                          <w:ind w:firstLine="0" w:firstLineChars="0"/>
                        </w:pPr>
                        <w:r>
                          <w:rPr>
                            <w:rFonts w:hint="eastAsia"/>
                          </w:rPr>
                          <w:t>行为态度</w:t>
                        </w:r>
                      </w:p>
                    </w:txbxContent>
                  </v:textbox>
                </v:rect>
                <v:rect id="矩形 7" o:spid="_x0000_s1028" style="width:990600;height:412750;left:728345;position:absolute;top:1169035;v-text-anchor:middle" coordsize="21600,21600" filled="t" fillcolor="white" stroked="t" strokecolor="black">
                  <v:stroke joinstyle="miter"/>
                  <o:lock v:ext="edit" aspectratio="f"/>
                  <v:textbox>
                    <w:txbxContent>
                      <w:p>
                        <w:pPr>
                          <w:ind w:firstLine="0" w:firstLineChars="0"/>
                        </w:pPr>
                        <w:r>
                          <w:rPr>
                            <w:rFonts w:hint="eastAsia"/>
                          </w:rPr>
                          <w:t>主观规范</w:t>
                        </w:r>
                      </w:p>
                    </w:txbxContent>
                  </v:textbox>
                </v:rect>
                <v:rect id="矩形 8" o:spid="_x0000_s1029" style="width:991235;height:434975;left:735965;position:absolute;top:1977390;v-text-anchor:middle" coordsize="21600,21600" filled="t" fillcolor="white" stroked="t" strokecolor="black">
                  <v:stroke joinstyle="miter"/>
                  <o:lock v:ext="edit" aspectratio="f"/>
                  <v:textbox>
                    <w:txbxContent>
                      <w:p>
                        <w:pPr>
                          <w:ind w:firstLine="0" w:firstLineChars="0"/>
                          <w:rPr>
                            <w:sz w:val="20"/>
                            <w:szCs w:val="18"/>
                          </w:rPr>
                        </w:pPr>
                        <w:r>
                          <w:rPr>
                            <w:rFonts w:hint="eastAsia"/>
                            <w:sz w:val="20"/>
                            <w:szCs w:val="18"/>
                          </w:rPr>
                          <w:t xml:space="preserve">感知行为控制 </w:t>
                        </w:r>
                      </w:p>
                    </w:txbxContent>
                  </v:textbox>
                </v:rect>
                <v:rect id="矩形 10" o:spid="_x0000_s1030" style="width:923290;height:382270;left:2298065;position:absolute;top:1191895;v-text-anchor:middle" coordsize="21600,21600" filled="t" fillcolor="white" stroked="t" strokecolor="black">
                  <v:stroke joinstyle="miter"/>
                  <o:lock v:ext="edit" aspectratio="f"/>
                  <v:textbox>
                    <w:txbxContent>
                      <w:p>
                        <w:pPr>
                          <w:ind w:firstLine="0" w:firstLineChars="0"/>
                        </w:pPr>
                        <w:r>
                          <w:rPr>
                            <w:rFonts w:hint="eastAsia"/>
                          </w:rPr>
                          <w:t>行为意愿</w:t>
                        </w:r>
                      </w:p>
                    </w:txbxContent>
                  </v:textbox>
                </v:rect>
                <v:rect id="矩形 10" o:spid="_x0000_s1031" style="width:801370;height:359410;left:3710305;position:absolute;top:1200150;v-text-anchor:middle" coordsize="21600,21600" filled="t" fillcolor="white" stroked="t" strokecolor="black">
                  <v:stroke joinstyle="miter"/>
                  <o:lock v:ext="edit" aspectratio="f"/>
                  <v:textbox>
                    <w:txbxContent>
                      <w:p>
                        <w:pPr>
                          <w:ind w:firstLine="0" w:firstLineChars="0"/>
                          <w:rPr>
                            <w:sz w:val="21"/>
                            <w:szCs w:val="20"/>
                          </w:rPr>
                        </w:pPr>
                        <w:r>
                          <w:rPr>
                            <w:rFonts w:hint="eastAsia"/>
                            <w:sz w:val="21"/>
                            <w:szCs w:val="20"/>
                          </w:rPr>
                          <w:t>实际行为</w:t>
                        </w:r>
                      </w:p>
                    </w:txbxContent>
                  </v:textbox>
                </v:rect>
                <v:shapetype id="_x0000_t32" coordsize="21600,21600" o:spt="32" o:oned="t" path="m,l21600,21600e" filled="f">
                  <v:path arrowok="t" fillok="f" o:connecttype="none"/>
                  <o:lock v:ext="edit" shapetype="t"/>
                </v:shapetype>
                <v:shape id="_x0000_s1026" o:spid="_x0000_s1032" type="#_x0000_t32" style="width:563880;height:734695;left:1734185;position:absolute;top:648335" coordsize="21600,21600" filled="f" stroked="t" strokecolor="black">
                  <v:stroke joinstyle="miter" endarrow="open"/>
                  <o:lock v:ext="edit" aspectratio="f"/>
                </v:shape>
                <v:shape id="_x0000_s1026" o:spid="_x0000_s1033" type="#_x0000_t32" style="width:579120;height:7620;left:1718945;position:absolute;top:1375410" coordsize="21600,21600" filled="f" stroked="t" strokecolor="black">
                  <v:stroke joinstyle="miter" endarrow="open"/>
                  <o:lock v:ext="edit" aspectratio="f"/>
                </v:shape>
                <v:shape id="_x0000_s1026" o:spid="_x0000_s1034" type="#_x0000_t32" style="width:570865;height:812165;flip:y;left:1727200;position:absolute;top:1383030" coordsize="21600,21600" filled="f" stroked="t" strokecolor="black">
                  <v:stroke joinstyle="miter" endarrow="open"/>
                  <o:lock v:ext="edit" aspectratio="f"/>
                </v:shape>
                <v:shape id="_x0000_s1026" o:spid="_x0000_s1035" type="#_x0000_t32" style="width:488950;height:3175;flip:y;left:3221355;position:absolute;top:1379855" coordsize="21600,21600" filled="f" stroked="t" strokecolor="black">
                  <v:stroke joinstyle="miter" endarrow="open"/>
                  <o:lock v:ext="edit" aspectratio="f"/>
                </v:shape>
                <v:shape id="_x0000_s1026" o:spid="_x0000_s1036" type="#_x0000_t32" style="width:2383790;height:635635;flip:y;left:1727200;position:absolute;top:1559560" coordsize="21600,21600" filled="f" stroked="t" strokecolor="black">
                  <v:stroke joinstyle="miter" endarrow="open"/>
                  <o:lock v:ext="edit" aspectratio="f"/>
                </v:shape>
                <w10:anchorlock/>
              </v:group>
            </w:pict>
          </mc:Fallback>
        </mc:AlternateContent>
      </w:r>
    </w:p>
    <w:p>
      <w:pPr>
        <w:numPr>
          <w:ilvl w:val="0"/>
          <w:numId w:val="9"/>
        </w:numPr>
        <w:ind w:left="0" w:firstLine="425" w:firstLineChars="0"/>
        <w:outlineLvl w:val="2"/>
        <w:rPr>
          <w:rFonts w:ascii="黑体" w:eastAsia="黑体" w:hAnsi="黑体" w:cs="黑体"/>
        </w:rPr>
      </w:pPr>
      <w:bookmarkStart w:id="165" w:name="_Toc18840"/>
      <w:bookmarkStart w:id="166" w:name="_Toc1516"/>
      <w:bookmarkStart w:id="167" w:name="_Toc8871"/>
      <w:bookmarkStart w:id="168" w:name="_Toc10039"/>
      <w:bookmarkStart w:id="169" w:name="_Toc12353"/>
      <w:bookmarkStart w:id="170" w:name="_Toc4372"/>
      <w:bookmarkStart w:id="171" w:name="_Toc27387"/>
      <w:bookmarkStart w:id="172" w:name="_Toc3480"/>
      <w:bookmarkStart w:id="173" w:name="_Toc31134"/>
      <w:bookmarkStart w:id="174" w:name="_Toc1910"/>
      <w:bookmarkStart w:id="175" w:name="_Toc8702"/>
      <w:bookmarkStart w:id="176" w:name="_Toc30418"/>
      <w:bookmarkStart w:id="177" w:name="_Toc12384"/>
      <w:bookmarkStart w:id="178" w:name="_Toc26003"/>
      <w:bookmarkStart w:id="179" w:name="_Toc20783"/>
      <w:bookmarkStart w:id="180" w:name="_Toc2248"/>
      <w:r>
        <w:rPr>
          <w:rFonts w:ascii="黑体" w:eastAsia="黑体" w:hAnsi="黑体" w:cs="黑体" w:hint="eastAsia"/>
        </w:rPr>
        <w:t>态度—行为—情景理论</w:t>
      </w:r>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p>
    <w:p>
      <w:pPr>
        <w:spacing w:after="156" w:afterLines="50"/>
        <w:ind w:firstLine="480"/>
        <w:rPr>
          <w:rFonts w:ascii="宋体" w:hAnsi="宋体" w:cs="宋体"/>
        </w:rPr>
      </w:pPr>
      <w:r>
        <w:rPr>
          <w:rFonts w:ascii="宋体" w:hAnsi="宋体" w:cs="宋体"/>
        </w:rPr>
        <w:t>Guagnano等学者</w:t>
      </w:r>
      <w:r>
        <w:rPr>
          <w:rFonts w:ascii="宋体" w:hAnsi="宋体" w:cs="宋体" w:hint="eastAsia"/>
        </w:rPr>
        <w:t>在</w:t>
      </w:r>
      <w:r>
        <w:rPr>
          <w:rFonts w:ascii="宋体" w:hAnsi="宋体" w:cs="宋体"/>
        </w:rPr>
        <w:t>Stem和Okanp</w:t>
      </w:r>
      <w:r>
        <w:rPr>
          <w:rFonts w:ascii="宋体" w:hAnsi="宋体" w:cs="宋体" w:hint="eastAsia"/>
        </w:rPr>
        <w:t>的研究</w:t>
      </w:r>
      <w:r>
        <w:rPr>
          <w:rFonts w:ascii="宋体" w:hAnsi="宋体" w:cs="宋体"/>
        </w:rPr>
        <w:t>基础</w:t>
      </w:r>
      <w:r>
        <w:rPr>
          <w:rFonts w:ascii="宋体" w:hAnsi="宋体" w:cs="宋体" w:hint="eastAsia"/>
        </w:rPr>
        <w:t>上</w:t>
      </w:r>
      <w:r>
        <w:rPr>
          <w:rFonts w:ascii="宋体" w:hAnsi="宋体" w:cs="宋体"/>
        </w:rPr>
        <w:t>，</w:t>
      </w:r>
      <w:r>
        <w:rPr>
          <w:rFonts w:ascii="宋体" w:hAnsi="宋体" w:cs="宋体" w:hint="eastAsia"/>
        </w:rPr>
        <w:t>进一步提出了</w:t>
      </w:r>
      <w:r>
        <w:rPr>
          <w:rFonts w:ascii="宋体" w:hAnsi="宋体" w:cs="宋体"/>
        </w:rPr>
        <w:t>态度</w:t>
      </w:r>
      <w:r>
        <w:rPr>
          <w:rFonts w:ascii="宋体" w:hAnsi="宋体" w:cs="宋体" w:hint="eastAsia"/>
        </w:rPr>
        <w:t>—</w:t>
      </w:r>
      <w:r>
        <w:rPr>
          <w:rFonts w:ascii="宋体" w:hAnsi="宋体" w:cs="宋体"/>
        </w:rPr>
        <w:t>行为</w:t>
      </w:r>
      <w:r>
        <w:rPr>
          <w:rFonts w:ascii="宋体" w:hAnsi="宋体" w:cs="宋体" w:hint="eastAsia"/>
        </w:rPr>
        <w:t>—</w:t>
      </w:r>
      <w:r>
        <w:rPr>
          <w:rFonts w:ascii="宋体" w:hAnsi="宋体" w:cs="宋体"/>
        </w:rPr>
        <w:t>情景理论。该理论认为，个体会产生垃圾分类的行为，主要</w:t>
      </w:r>
      <w:r>
        <w:rPr>
          <w:rFonts w:ascii="宋体" w:hAnsi="宋体" w:cs="宋体" w:hint="eastAsia"/>
        </w:rPr>
        <w:t>是因为</w:t>
      </w:r>
      <w:r>
        <w:rPr>
          <w:rFonts w:ascii="宋体" w:hAnsi="宋体" w:cs="宋体"/>
        </w:rPr>
        <w:t>受到自身态度和外部因素这两方面的影响。Guagnano认为，当态度意识较低，不能促进行为的发生时，有利的情景因素可以发挥较大的促进作用。</w:t>
      </w:r>
      <w:r>
        <w:rPr>
          <w:rFonts w:ascii="宋体" w:hAnsi="宋体" w:cs="宋体" w:hint="eastAsia"/>
        </w:rPr>
        <w:t>由此可见，当居民生活垃圾分类行为实施比较困难，导致居民进行分类行为不便</w:t>
      </w:r>
      <w:r>
        <w:rPr>
          <w:rFonts w:ascii="宋体" w:hAnsi="宋体" w:cs="宋体" w:hint="eastAsia"/>
          <w:lang w:val="en-US" w:eastAsia="zh-CN"/>
        </w:rPr>
        <w:t>时</w:t>
      </w:r>
      <w:r>
        <w:rPr>
          <w:rFonts w:ascii="宋体" w:hAnsi="宋体" w:cs="宋体" w:hint="eastAsia"/>
        </w:rPr>
        <w:t>，</w:t>
      </w:r>
      <w:r>
        <w:rPr>
          <w:rFonts w:ascii="宋体" w:hAnsi="宋体" w:cs="宋体" w:hint="eastAsia"/>
          <w:lang w:val="en-US" w:eastAsia="zh-CN"/>
        </w:rPr>
        <w:t>会降低</w:t>
      </w:r>
      <w:r>
        <w:rPr>
          <w:rFonts w:ascii="宋体" w:hAnsi="宋体" w:cs="宋体" w:hint="eastAsia"/>
        </w:rPr>
        <w:t>居民垃圾分类行为的意愿。</w:t>
      </w:r>
      <w:r>
        <w:rPr>
          <w:rFonts w:ascii="宋体" w:hAnsi="宋体" w:cs="宋体" w:hint="eastAsia"/>
          <w:lang w:val="en-US" w:eastAsia="zh-CN"/>
        </w:rPr>
        <w:t>外部不利的因素</w:t>
      </w:r>
      <w:r>
        <w:rPr>
          <w:rFonts w:ascii="宋体" w:hAnsi="宋体" w:cs="宋体" w:hint="eastAsia"/>
        </w:rPr>
        <w:t>会对</w:t>
      </w:r>
      <w:r>
        <w:rPr>
          <w:rFonts w:ascii="宋体" w:hAnsi="宋体" w:cs="宋体" w:hint="eastAsia"/>
          <w:lang w:val="en-US" w:eastAsia="zh-CN"/>
        </w:rPr>
        <w:t>居民</w:t>
      </w:r>
      <w:r>
        <w:rPr>
          <w:rFonts w:ascii="宋体" w:hAnsi="宋体" w:cs="宋体" w:hint="eastAsia"/>
        </w:rPr>
        <w:t>分类行为有阻碍作用。本研究主要根据态度—行为—情景理论，</w:t>
      </w:r>
      <w:r>
        <w:rPr>
          <w:rFonts w:ascii="宋体" w:hAnsi="宋体" w:cs="宋体" w:hint="eastAsia"/>
          <w:lang w:val="en-US" w:eastAsia="zh-CN"/>
        </w:rPr>
        <w:t>来探讨影响</w:t>
      </w:r>
      <w:r>
        <w:rPr>
          <w:rFonts w:ascii="宋体" w:hAnsi="宋体" w:cs="宋体" w:hint="eastAsia"/>
          <w:lang w:eastAsia="zh-CN"/>
        </w:rPr>
        <w:t>桂林</w:t>
      </w:r>
      <w:r>
        <w:rPr>
          <w:rFonts w:ascii="宋体" w:hAnsi="宋体" w:cs="宋体" w:hint="eastAsia"/>
        </w:rPr>
        <w:t>市城市居民生活垃圾分类行为的</w:t>
      </w:r>
      <w:r>
        <w:rPr>
          <w:rFonts w:ascii="宋体" w:hAnsi="宋体" w:cs="宋体" w:hint="eastAsia"/>
          <w:lang w:val="en-US" w:eastAsia="zh-CN"/>
        </w:rPr>
        <w:t>因素。</w:t>
      </w:r>
      <w:r>
        <w:rPr>
          <w:rFonts w:ascii="宋体" w:hAnsi="宋体" w:cs="宋体"/>
        </w:rPr>
        <w:br/>
      </w:r>
      <w:r>
        <w:rPr>
          <w:rFonts w:ascii="宋体" w:hAnsi="宋体" w:cs="宋体"/>
        </w:rPr>
        <w:br/>
      </w:r>
    </w:p>
    <w:p>
      <w:pPr>
        <w:widowControl/>
        <w:spacing w:line="240" w:lineRule="auto"/>
        <w:ind w:firstLine="0" w:firstLineChars="0"/>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0" w:history="1">
        <w:r>
          <w:rPr>
            <w:rFonts w:ascii="SimSun" w:eastAsia="SimSun" w:hAnsi="SimSun" w:cs="SimSun"/>
            <w:b/>
            <w:bCs/>
            <w:color w:val="0000EE"/>
            <w:kern w:val="0"/>
            <w:sz w:val="30"/>
            <w:szCs w:val="30"/>
            <w:u w:val="single" w:color="0000EE"/>
          </w:rPr>
          <w:t>https://d.book118.com/856224213133010050</w:t>
        </w:r>
      </w:hyperlink>
    </w:p>
    <w:p>
      <w:pPr>
        <w:spacing w:after="156" w:afterLines="50"/>
        <w:ind w:firstLine="480"/>
        <w:rPr>
          <w:rFonts w:ascii="宋体" w:hAnsi="宋体" w:cs="宋体"/>
        </w:rPr>
      </w:pPr>
    </w:p>
    <w:sectPr>
      <w:headerReference w:type="default" r:id="rId21"/>
      <w:footerReference w:type="default" r:id="rId22"/>
      <w:type w:val="nextPage"/>
      <w:pgSz w:w="11850" w:h="16783"/>
      <w:pgMar w:top="1134" w:right="1134" w:bottom="1134" w:left="1531" w:header="851" w:footer="992" w:gutter="0"/>
      <w:pgNumType w:start="7"/>
      <w:cols w:num="1" w:space="0"/>
      <w:titlePg w:val="0"/>
      <w:docGrid w:type="lines" w:linePitch="312" w:charSpace="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MingLiU">
    <w:altName w:val="PMingLiU-ExtB"/>
    <w:panose1 w:val="02010609000101010101"/>
    <w:charset w:val="88"/>
    <w:family w:val="modern"/>
    <w:pitch w:val="default"/>
    <w:sig w:usb0="00000000" w:usb1="00000000" w:usb2="00000016" w:usb3="00000000" w:csb0="00100001" w:csb1="00000000"/>
  </w:font>
  <w:font w:name="微软雅黑">
    <w:panose1 w:val="020B0503020204020204"/>
    <w:charset w:val="86"/>
    <w:family w:val="swiss"/>
    <w:pitch w:val="default"/>
    <w:sig w:usb0="80000287" w:usb1="2ACF3C50" w:usb2="00000016" w:usb3="00000000" w:csb0="0004001F" w:csb1="00000000"/>
  </w:font>
  <w:font w:name="等线">
    <w:panose1 w:val="02010600030101010101"/>
    <w:charset w:val="86"/>
    <w:family w:val="auto"/>
    <w:pitch w:val="default"/>
    <w:sig w:usb0="A00002BF" w:usb1="38CF7CFA" w:usb2="00000016" w:usb3="00000000" w:csb0="0004000F" w:csb1="00000000"/>
  </w:font>
  <w:font w:name="仿宋_GB2312">
    <w:altName w:val="仿宋"/>
    <w:panose1 w:val="00000000000000000000"/>
    <w:charset w:val="86"/>
    <w:family w:val="modern"/>
    <w:pitch w:val="default"/>
    <w:sig w:usb0="00000000" w:usb1="00000000" w:usb2="00000010" w:usb3="00000000" w:csb0="00040000" w:csb1="00000000"/>
  </w:font>
  <w:font w:name="Arial Unicode MS">
    <w:altName w:val="Arial"/>
    <w:panose1 w:val="020B0604020202020204"/>
    <w:charset w:val="00"/>
    <w:family w:val="roman"/>
    <w:pitch w:val="default"/>
    <w:sig w:usb0="00000000" w:usb1="00000000" w:usb2="00000000" w:usb3="00000000" w:csb0="00000001"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 w:name="PMingLiU-ExtB">
    <w:panose1 w:val="02020500000000000000"/>
    <w:charset w:val="88"/>
    <w:family w:val="auto"/>
    <w:pitch w:val="default"/>
    <w:sig w:usb0="8000002F" w:usb1="02000008" w:usb2="00000000"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footnote w:type="separator" w:id="0">
    <w:p>
      <w:pPr>
        <w:spacing w:line="360" w:lineRule="auto"/>
        <w:ind w:firstLine="480"/>
      </w:pPr>
      <w:r>
        <w:separator/>
      </w:r>
    </w:p>
  </w:footnote>
  <w:footnote w:type="continuationSeparator" w:id="1">
    <w:p>
      <w:pPr>
        <w:spacing w:line="360" w:lineRule="auto"/>
        <w:ind w:firstLine="48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0" w:firstLineChars="0"/>
      <w:jc w:val="both"/>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0" w:firstLineChars="0"/>
      <w:jc w:val="both"/>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0" w:firstLineChars="0"/>
      <w:jc w:val="both"/>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0" w:firstLineChars="0"/>
      <w:jc w:val="both"/>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0" w:firstLineChars="0"/>
      <w:jc w:val="both"/>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0" w:firstLineChars="0"/>
      <w:jc w:val="both"/>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0" w:firstLineChars="0"/>
      <w:jc w:val="both"/>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A88515D1"/>
    <w:multiLevelType w:val="singleLevel"/>
    <w:tmpl w:val="A88515D1"/>
    <w:lvl w:ilvl="0">
      <w:start w:val="1"/>
      <w:numFmt w:val="decimal"/>
      <w:lvlText w:val="%1."/>
      <w:lvlJc w:val="left"/>
      <w:pPr>
        <w:ind w:left="425" w:hanging="425"/>
      </w:pPr>
      <w:rPr>
        <w:rFonts w:hint="default"/>
      </w:rPr>
    </w:lvl>
  </w:abstractNum>
  <w:abstractNum w:abstractNumId="1">
    <w:nsid w:val="B198730E"/>
    <w:multiLevelType w:val="singleLevel"/>
    <w:tmpl w:val="B198730E"/>
    <w:lvl w:ilvl="0">
      <w:start w:val="1"/>
      <w:numFmt w:val="decimal"/>
      <w:suff w:val="nothing"/>
      <w:lvlText w:val="（%1）"/>
      <w:lvlJc w:val="left"/>
    </w:lvl>
  </w:abstractNum>
  <w:abstractNum w:abstractNumId="2">
    <w:nsid w:val="C0844A85"/>
    <w:multiLevelType w:val="singleLevel"/>
    <w:tmpl w:val="C0844A85"/>
    <w:lvl w:ilvl="0">
      <w:start w:val="1"/>
      <w:numFmt w:val="decimal"/>
      <w:lvlText w:val="%1."/>
      <w:lvlJc w:val="left"/>
      <w:pPr>
        <w:ind w:left="425" w:hanging="425"/>
      </w:pPr>
      <w:rPr>
        <w:rFonts w:hint="default"/>
      </w:rPr>
    </w:lvl>
  </w:abstractNum>
  <w:abstractNum w:abstractNumId="3">
    <w:nsid w:val="D359EF39"/>
    <w:multiLevelType w:val="singleLevel"/>
    <w:tmpl w:val="D359EF39"/>
    <w:lvl w:ilvl="0">
      <w:start w:val="1"/>
      <w:numFmt w:val="decimal"/>
      <w:suff w:val="nothing"/>
      <w:lvlText w:val="（%1）"/>
      <w:lvlJc w:val="left"/>
    </w:lvl>
  </w:abstractNum>
  <w:abstractNum w:abstractNumId="4">
    <w:nsid w:val="D69EFA41"/>
    <w:multiLevelType w:val="singleLevel"/>
    <w:tmpl w:val="D69EFA41"/>
    <w:lvl w:ilvl="0">
      <w:start w:val="1"/>
      <w:numFmt w:val="decimal"/>
      <w:lvlText w:val="%1."/>
      <w:lvlJc w:val="left"/>
      <w:pPr>
        <w:ind w:left="425" w:hanging="425"/>
      </w:pPr>
      <w:rPr>
        <w:rFonts w:hint="default"/>
      </w:rPr>
    </w:lvl>
  </w:abstractNum>
  <w:abstractNum w:abstractNumId="5">
    <w:nsid w:val="DDFCF2E2"/>
    <w:multiLevelType w:val="singleLevel"/>
    <w:tmpl w:val="DDFCF2E2"/>
    <w:lvl w:ilvl="0">
      <w:start w:val="1"/>
      <w:numFmt w:val="decimal"/>
      <w:lvlText w:val="(%1)"/>
      <w:lvlJc w:val="left"/>
      <w:pPr>
        <w:ind w:left="425" w:hanging="425"/>
      </w:pPr>
      <w:rPr>
        <w:rFonts w:hint="default"/>
      </w:rPr>
    </w:lvl>
  </w:abstractNum>
  <w:abstractNum w:abstractNumId="6">
    <w:nsid w:val="F18BF935"/>
    <w:multiLevelType w:val="singleLevel"/>
    <w:tmpl w:val="F18BF935"/>
    <w:lvl w:ilvl="0">
      <w:start w:val="1"/>
      <w:numFmt w:val="decimal"/>
      <w:lvlText w:val="%1."/>
      <w:lvlJc w:val="left"/>
      <w:pPr>
        <w:ind w:left="425" w:hanging="425"/>
      </w:pPr>
      <w:rPr>
        <w:rFonts w:hint="default"/>
      </w:rPr>
    </w:lvl>
  </w:abstractNum>
  <w:abstractNum w:abstractNumId="7">
    <w:nsid w:val="FBF79385"/>
    <w:multiLevelType w:val="singleLevel"/>
    <w:tmpl w:val="FBF79385"/>
    <w:lvl w:ilvl="0">
      <w:start w:val="1"/>
      <w:numFmt w:val="chineseCounting"/>
      <w:suff w:val="nothing"/>
      <w:lvlText w:val="（%1）"/>
      <w:lvlJc w:val="left"/>
      <w:pPr>
        <w:ind w:left="0" w:firstLine="420"/>
      </w:pPr>
      <w:rPr>
        <w:rFonts w:hint="eastAsia"/>
      </w:rPr>
    </w:lvl>
  </w:abstractNum>
  <w:abstractNum w:abstractNumId="8">
    <w:nsid w:val="FFAF445F"/>
    <w:multiLevelType w:val="singleLevel"/>
    <w:tmpl w:val="FFAF445F"/>
    <w:lvl w:ilvl="0">
      <w:start w:val="1"/>
      <w:numFmt w:val="decimal"/>
      <w:suff w:val="nothing"/>
      <w:lvlText w:val="（%1）"/>
      <w:lvlJc w:val="left"/>
    </w:lvl>
  </w:abstractNum>
  <w:abstractNum w:abstractNumId="9">
    <w:nsid w:val="00000007"/>
    <w:multiLevelType w:val="multilevel"/>
    <w:tmpl w:val="00000007"/>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
    <w:nsid w:val="0053208E"/>
    <w:multiLevelType w:val="multilevel"/>
    <w:tmpl w:val="0053208E"/>
    <w:lvl w:ilvl="0">
      <w:start w:val="1"/>
      <w:numFmt w:val="decimal"/>
      <w:lvlText w:val="%1."/>
      <w:lvlJc w:val="left"/>
      <w:pPr>
        <w:ind w:left="845"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1">
    <w:nsid w:val="05DED89C"/>
    <w:multiLevelType w:val="singleLevel"/>
    <w:tmpl w:val="05DED89C"/>
    <w:lvl w:ilvl="0">
      <w:start w:val="1"/>
      <w:numFmt w:val="decimal"/>
      <w:lvlText w:val="%1."/>
      <w:lvlJc w:val="left"/>
      <w:pPr>
        <w:ind w:left="425" w:hanging="425"/>
      </w:pPr>
      <w:rPr>
        <w:rFonts w:hint="default"/>
      </w:rPr>
    </w:lvl>
  </w:abstractNum>
  <w:abstractNum w:abstractNumId="12">
    <w:nsid w:val="06C270A3"/>
    <w:multiLevelType w:val="singleLevel"/>
    <w:tmpl w:val="06C270A3"/>
    <w:lvl w:ilvl="0">
      <w:start w:val="1"/>
      <w:numFmt w:val="chineseCounting"/>
      <w:suff w:val="nothing"/>
      <w:lvlText w:val="（%1）"/>
      <w:lvlJc w:val="left"/>
      <w:pPr>
        <w:ind w:left="0" w:firstLine="420"/>
      </w:pPr>
      <w:rPr>
        <w:rFonts w:hint="eastAsia"/>
      </w:rPr>
    </w:lvl>
  </w:abstractNum>
  <w:abstractNum w:abstractNumId="13">
    <w:nsid w:val="07206E16"/>
    <w:multiLevelType w:val="singleLevel"/>
    <w:tmpl w:val="07206E16"/>
    <w:lvl w:ilvl="0">
      <w:start w:val="1"/>
      <w:numFmt w:val="decimal"/>
      <w:lvlText w:val="%1."/>
      <w:lvlJc w:val="left"/>
      <w:pPr>
        <w:ind w:left="425" w:hanging="425"/>
      </w:pPr>
      <w:rPr>
        <w:rFonts w:hint="default"/>
      </w:rPr>
    </w:lvl>
  </w:abstractNum>
  <w:abstractNum w:abstractNumId="14">
    <w:nsid w:val="1207EEE7"/>
    <w:multiLevelType w:val="singleLevel"/>
    <w:tmpl w:val="1207EEE7"/>
    <w:lvl w:ilvl="0">
      <w:start w:val="1"/>
      <w:numFmt w:val="chineseCounting"/>
      <w:suff w:val="nothing"/>
      <w:lvlText w:val="（%1）"/>
      <w:lvlJc w:val="left"/>
      <w:pPr>
        <w:ind w:left="0" w:firstLine="420"/>
      </w:pPr>
      <w:rPr>
        <w:rFonts w:hint="eastAsia"/>
      </w:rPr>
    </w:lvl>
  </w:abstractNum>
  <w:abstractNum w:abstractNumId="15">
    <w:nsid w:val="163865C2"/>
    <w:multiLevelType w:val="singleLevel"/>
    <w:tmpl w:val="3FE98A71"/>
    <w:lvl w:ilvl="0">
      <w:start w:val="1"/>
      <w:numFmt w:val="decimal"/>
      <w:lvlText w:val="%1."/>
      <w:lvlJc w:val="left"/>
      <w:pPr>
        <w:ind w:left="425" w:hanging="425"/>
      </w:pPr>
      <w:rPr>
        <w:rFonts w:hint="default"/>
      </w:rPr>
    </w:lvl>
  </w:abstractNum>
  <w:abstractNum w:abstractNumId="16">
    <w:nsid w:val="27168BF5"/>
    <w:multiLevelType w:val="singleLevel"/>
    <w:tmpl w:val="27168BF5"/>
    <w:lvl w:ilvl="0">
      <w:start w:val="1"/>
      <w:numFmt w:val="decimal"/>
      <w:lvlText w:val="[%1]"/>
      <w:lvlJc w:val="left"/>
      <w:pPr>
        <w:tabs>
          <w:tab w:val="left" w:pos="312"/>
        </w:tabs>
      </w:pPr>
    </w:lvl>
  </w:abstractNum>
  <w:abstractNum w:abstractNumId="17">
    <w:nsid w:val="286A30BF"/>
    <w:multiLevelType w:val="singleLevel"/>
    <w:tmpl w:val="286A30BF"/>
    <w:lvl w:ilvl="0">
      <w:start w:val="1"/>
      <w:numFmt w:val="decimal"/>
      <w:lvlText w:val="%1."/>
      <w:lvlJc w:val="left"/>
      <w:pPr>
        <w:ind w:left="425" w:hanging="425"/>
      </w:pPr>
      <w:rPr>
        <w:rFonts w:hint="default"/>
      </w:rPr>
    </w:lvl>
  </w:abstractNum>
  <w:abstractNum w:abstractNumId="18">
    <w:nsid w:val="2DF6C1FA"/>
    <w:multiLevelType w:val="singleLevel"/>
    <w:tmpl w:val="2DF6C1FA"/>
    <w:lvl w:ilvl="0">
      <w:start w:val="1"/>
      <w:numFmt w:val="decimal"/>
      <w:suff w:val="nothing"/>
      <w:lvlText w:val="（%1）"/>
      <w:lvlJc w:val="left"/>
    </w:lvl>
  </w:abstractNum>
  <w:abstractNum w:abstractNumId="19">
    <w:nsid w:val="2ED3E526"/>
    <w:multiLevelType w:val="singleLevel"/>
    <w:tmpl w:val="2ED3E526"/>
    <w:lvl w:ilvl="0">
      <w:start w:val="1"/>
      <w:numFmt w:val="decimal"/>
      <w:lvlText w:val="(%1)"/>
      <w:lvlJc w:val="left"/>
      <w:pPr>
        <w:ind w:left="425" w:hanging="425"/>
      </w:pPr>
      <w:rPr>
        <w:rFonts w:hint="default"/>
      </w:rPr>
    </w:lvl>
  </w:abstractNum>
  <w:abstractNum w:abstractNumId="20">
    <w:nsid w:val="34D80F8C"/>
    <w:multiLevelType w:val="singleLevel"/>
    <w:tmpl w:val="34D80F8C"/>
    <w:lvl w:ilvl="0">
      <w:start w:val="1"/>
      <w:numFmt w:val="decimal"/>
      <w:lvlText w:val="(%1)"/>
      <w:lvlJc w:val="left"/>
      <w:pPr>
        <w:ind w:left="425" w:hanging="425"/>
      </w:pPr>
      <w:rPr>
        <w:rFonts w:hint="default"/>
      </w:rPr>
    </w:lvl>
  </w:abstractNum>
  <w:abstractNum w:abstractNumId="21">
    <w:nsid w:val="3FE98A71"/>
    <w:multiLevelType w:val="singleLevel"/>
    <w:tmpl w:val="3FE98A71"/>
    <w:lvl w:ilvl="0">
      <w:start w:val="1"/>
      <w:numFmt w:val="decimal"/>
      <w:lvlText w:val="%1."/>
      <w:lvlJc w:val="left"/>
      <w:pPr>
        <w:ind w:left="425" w:hanging="425"/>
      </w:pPr>
      <w:rPr>
        <w:rFonts w:hint="default"/>
      </w:rPr>
    </w:lvl>
  </w:abstractNum>
  <w:abstractNum w:abstractNumId="22">
    <w:nsid w:val="43486271"/>
    <w:multiLevelType w:val="singleLevel"/>
    <w:tmpl w:val="43486271"/>
    <w:lvl w:ilvl="0">
      <w:start w:val="1"/>
      <w:numFmt w:val="chineseCounting"/>
      <w:suff w:val="nothing"/>
      <w:lvlText w:val="（%1）"/>
      <w:lvlJc w:val="left"/>
      <w:pPr>
        <w:ind w:left="0" w:firstLine="420"/>
      </w:pPr>
      <w:rPr>
        <w:rFonts w:hint="eastAsia"/>
      </w:rPr>
    </w:lvl>
  </w:abstractNum>
  <w:abstractNum w:abstractNumId="23">
    <w:nsid w:val="445D4D5E"/>
    <w:multiLevelType w:val="singleLevel"/>
    <w:tmpl w:val="445D4D5E"/>
    <w:lvl w:ilvl="0">
      <w:start w:val="1"/>
      <w:numFmt w:val="chineseCounting"/>
      <w:suff w:val="nothing"/>
      <w:lvlText w:val="（%1）"/>
      <w:lvlJc w:val="left"/>
      <w:pPr>
        <w:ind w:left="0" w:firstLine="420"/>
      </w:pPr>
      <w:rPr>
        <w:rFonts w:hint="eastAsia"/>
      </w:rPr>
    </w:lvl>
  </w:abstractNum>
  <w:abstractNum w:abstractNumId="24">
    <w:nsid w:val="56A5BE2E"/>
    <w:multiLevelType w:val="singleLevel"/>
    <w:tmpl w:val="56A5BE2E"/>
    <w:lvl w:ilvl="0">
      <w:start w:val="1"/>
      <w:numFmt w:val="decimal"/>
      <w:lvlText w:val="%1."/>
      <w:lvlJc w:val="left"/>
      <w:pPr>
        <w:ind w:left="425" w:hanging="425"/>
      </w:pPr>
      <w:rPr>
        <w:rFonts w:hint="default"/>
      </w:rPr>
    </w:lvl>
  </w:abstractNum>
  <w:abstractNum w:abstractNumId="25">
    <w:nsid w:val="575ABF72"/>
    <w:multiLevelType w:val="singleLevel"/>
    <w:tmpl w:val="575ABF72"/>
    <w:lvl w:ilvl="0">
      <w:start w:val="1"/>
      <w:numFmt w:val="chineseCounting"/>
      <w:suff w:val="nothing"/>
      <w:lvlText w:val="%1、"/>
      <w:lvlJc w:val="left"/>
      <w:pPr>
        <w:ind w:left="0" w:firstLine="420"/>
      </w:pPr>
      <w:rPr>
        <w:rFonts w:hint="eastAsia"/>
      </w:rPr>
    </w:lvl>
  </w:abstractNum>
  <w:abstractNum w:abstractNumId="26">
    <w:nsid w:val="667C4E2B"/>
    <w:multiLevelType w:val="singleLevel"/>
    <w:tmpl w:val="667C4E2B"/>
    <w:lvl w:ilvl="0">
      <w:start w:val="1"/>
      <w:numFmt w:val="decimal"/>
      <w:lvlText w:val="%1."/>
      <w:lvlJc w:val="left"/>
      <w:pPr>
        <w:ind w:left="425" w:hanging="425"/>
      </w:pPr>
      <w:rPr>
        <w:rFonts w:hint="default"/>
      </w:rPr>
    </w:lvl>
  </w:abstractNum>
  <w:num w:numId="1">
    <w:abstractNumId w:val="25"/>
  </w:num>
  <w:num w:numId="2">
    <w:abstractNumId w:val="7"/>
  </w:num>
  <w:num w:numId="3">
    <w:abstractNumId w:val="21"/>
  </w:num>
  <w:num w:numId="4">
    <w:abstractNumId w:val="1"/>
  </w:num>
  <w:num w:numId="5">
    <w:abstractNumId w:val="14"/>
  </w:num>
  <w:num w:numId="6">
    <w:abstractNumId w:val="2"/>
  </w:num>
  <w:num w:numId="7">
    <w:abstractNumId w:val="19"/>
  </w:num>
  <w:num w:numId="8">
    <w:abstractNumId w:val="5"/>
  </w:num>
  <w:num w:numId="9">
    <w:abstractNumId w:val="24"/>
  </w:num>
  <w:num w:numId="10">
    <w:abstractNumId w:val="12"/>
  </w:num>
  <w:num w:numId="11">
    <w:abstractNumId w:val="6"/>
  </w:num>
  <w:num w:numId="12">
    <w:abstractNumId w:val="4"/>
  </w:num>
  <w:num w:numId="13">
    <w:abstractNumId w:val="23"/>
  </w:num>
  <w:num w:numId="14">
    <w:abstractNumId w:val="13"/>
  </w:num>
  <w:num w:numId="15">
    <w:abstractNumId w:val="3"/>
  </w:num>
  <w:num w:numId="16">
    <w:abstractNumId w:val="8"/>
  </w:num>
  <w:num w:numId="17">
    <w:abstractNumId w:val="26"/>
  </w:num>
  <w:num w:numId="18">
    <w:abstractNumId w:val="20"/>
  </w:num>
  <w:num w:numId="19">
    <w:abstractNumId w:val="11"/>
  </w:num>
  <w:num w:numId="20">
    <w:abstractNumId w:val="18"/>
  </w:num>
  <w:num w:numId="21">
    <w:abstractNumId w:val="22"/>
  </w:num>
  <w:num w:numId="22">
    <w:abstractNumId w:val="17"/>
  </w:num>
  <w:num w:numId="23">
    <w:abstractNumId w:val="0"/>
  </w:num>
  <w:num w:numId="24">
    <w:abstractNumId w:val="16"/>
  </w:num>
  <w:num w:numId="25">
    <w:abstractNumId w:val="9"/>
  </w:num>
  <w:num w:numId="26">
    <w:abstractNumId w:val="10"/>
  </w:num>
  <w:num w:numId="27">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420"/>
  <w:drawingGridVerticalSpacing w:val="156"/>
  <w:noPunctuationKerning/>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1391B"/>
    <w:rsid w:val="000335CC"/>
    <w:rsid w:val="0004599A"/>
    <w:rsid w:val="000766B3"/>
    <w:rsid w:val="000C42E6"/>
    <w:rsid w:val="000F5947"/>
    <w:rsid w:val="000F6429"/>
    <w:rsid w:val="001334A8"/>
    <w:rsid w:val="00172A27"/>
    <w:rsid w:val="0018068C"/>
    <w:rsid w:val="001E4F57"/>
    <w:rsid w:val="00216D1B"/>
    <w:rsid w:val="00260DCF"/>
    <w:rsid w:val="00261338"/>
    <w:rsid w:val="00371BE9"/>
    <w:rsid w:val="004020B5"/>
    <w:rsid w:val="00430F42"/>
    <w:rsid w:val="00491409"/>
    <w:rsid w:val="00547584"/>
    <w:rsid w:val="00727339"/>
    <w:rsid w:val="007378E3"/>
    <w:rsid w:val="00751CA5"/>
    <w:rsid w:val="00766D25"/>
    <w:rsid w:val="007C5EE6"/>
    <w:rsid w:val="00800C96"/>
    <w:rsid w:val="0081619A"/>
    <w:rsid w:val="008D4D1C"/>
    <w:rsid w:val="008F3004"/>
    <w:rsid w:val="009E3AE3"/>
    <w:rsid w:val="009F2185"/>
    <w:rsid w:val="009F7E44"/>
    <w:rsid w:val="00A05F97"/>
    <w:rsid w:val="00B7265B"/>
    <w:rsid w:val="00BA1207"/>
    <w:rsid w:val="00CC16BB"/>
    <w:rsid w:val="00CD71B6"/>
    <w:rsid w:val="00D869E1"/>
    <w:rsid w:val="00DF36E7"/>
    <w:rsid w:val="00E040B9"/>
    <w:rsid w:val="00E1526D"/>
    <w:rsid w:val="00E24FF5"/>
    <w:rsid w:val="00EE2AB9"/>
    <w:rsid w:val="00EF3139"/>
    <w:rsid w:val="00F309D5"/>
    <w:rsid w:val="00F41368"/>
    <w:rsid w:val="00F46D96"/>
    <w:rsid w:val="00F46E7F"/>
    <w:rsid w:val="00F80BD3"/>
    <w:rsid w:val="00F859C1"/>
    <w:rsid w:val="00F92E13"/>
    <w:rsid w:val="00FC409C"/>
    <w:rsid w:val="03180D76"/>
    <w:rsid w:val="03EF7EE2"/>
    <w:rsid w:val="05351125"/>
    <w:rsid w:val="054F2110"/>
    <w:rsid w:val="05C61DA5"/>
    <w:rsid w:val="060C122B"/>
    <w:rsid w:val="06F026E5"/>
    <w:rsid w:val="07695F8F"/>
    <w:rsid w:val="083238E1"/>
    <w:rsid w:val="08E84129"/>
    <w:rsid w:val="098C36B7"/>
    <w:rsid w:val="0A255F1E"/>
    <w:rsid w:val="0AA96951"/>
    <w:rsid w:val="0D4571E0"/>
    <w:rsid w:val="0D795B40"/>
    <w:rsid w:val="0DF408DD"/>
    <w:rsid w:val="0E890036"/>
    <w:rsid w:val="0F740AA1"/>
    <w:rsid w:val="100066E5"/>
    <w:rsid w:val="11064705"/>
    <w:rsid w:val="157D34F3"/>
    <w:rsid w:val="15A76CFE"/>
    <w:rsid w:val="15C765E5"/>
    <w:rsid w:val="1643102C"/>
    <w:rsid w:val="17C823F8"/>
    <w:rsid w:val="18E623D4"/>
    <w:rsid w:val="190E62D2"/>
    <w:rsid w:val="1B4E1F49"/>
    <w:rsid w:val="1F5B5ABF"/>
    <w:rsid w:val="1F900404"/>
    <w:rsid w:val="21DA745E"/>
    <w:rsid w:val="22127A37"/>
    <w:rsid w:val="226B5539"/>
    <w:rsid w:val="229A3F00"/>
    <w:rsid w:val="235A54F3"/>
    <w:rsid w:val="236B2D30"/>
    <w:rsid w:val="23DE6EDA"/>
    <w:rsid w:val="25D73551"/>
    <w:rsid w:val="264325A9"/>
    <w:rsid w:val="267553DD"/>
    <w:rsid w:val="299C487F"/>
    <w:rsid w:val="29D35636"/>
    <w:rsid w:val="2AE2575F"/>
    <w:rsid w:val="2B2353FC"/>
    <w:rsid w:val="2C6105FD"/>
    <w:rsid w:val="2D171023"/>
    <w:rsid w:val="2D7E3DD4"/>
    <w:rsid w:val="2DB75E04"/>
    <w:rsid w:val="2F4C48FC"/>
    <w:rsid w:val="2FE41652"/>
    <w:rsid w:val="3063702D"/>
    <w:rsid w:val="31F53AAC"/>
    <w:rsid w:val="32534149"/>
    <w:rsid w:val="34E36DC7"/>
    <w:rsid w:val="34FA2005"/>
    <w:rsid w:val="353E3D23"/>
    <w:rsid w:val="35451F67"/>
    <w:rsid w:val="365C4EE3"/>
    <w:rsid w:val="370C67FC"/>
    <w:rsid w:val="38740ECA"/>
    <w:rsid w:val="38E94C74"/>
    <w:rsid w:val="39124B46"/>
    <w:rsid w:val="3A217D39"/>
    <w:rsid w:val="3A466BF7"/>
    <w:rsid w:val="3CA706F2"/>
    <w:rsid w:val="3E0A1943"/>
    <w:rsid w:val="3E6C224A"/>
    <w:rsid w:val="3E9A78E9"/>
    <w:rsid w:val="3EA149AB"/>
    <w:rsid w:val="3EBC5678"/>
    <w:rsid w:val="3F1F1CD2"/>
    <w:rsid w:val="3F5234BC"/>
    <w:rsid w:val="3FB07FE2"/>
    <w:rsid w:val="402C48A4"/>
    <w:rsid w:val="40531DCD"/>
    <w:rsid w:val="40FB236C"/>
    <w:rsid w:val="417A20A8"/>
    <w:rsid w:val="437763AA"/>
    <w:rsid w:val="43B71E3C"/>
    <w:rsid w:val="446B46A8"/>
    <w:rsid w:val="45750AFC"/>
    <w:rsid w:val="468324F5"/>
    <w:rsid w:val="468A1FBA"/>
    <w:rsid w:val="47632853"/>
    <w:rsid w:val="48247CD5"/>
    <w:rsid w:val="48F501A7"/>
    <w:rsid w:val="49BF7758"/>
    <w:rsid w:val="49F843BB"/>
    <w:rsid w:val="4A852005"/>
    <w:rsid w:val="4A89639A"/>
    <w:rsid w:val="4AE43792"/>
    <w:rsid w:val="4C0F22EF"/>
    <w:rsid w:val="4C94091F"/>
    <w:rsid w:val="4F5A5392"/>
    <w:rsid w:val="4F6A6954"/>
    <w:rsid w:val="4FAC77B8"/>
    <w:rsid w:val="51266007"/>
    <w:rsid w:val="529A18AB"/>
    <w:rsid w:val="53484BBF"/>
    <w:rsid w:val="53F5362C"/>
    <w:rsid w:val="53F93F14"/>
    <w:rsid w:val="54095755"/>
    <w:rsid w:val="543F7090"/>
    <w:rsid w:val="56C614F2"/>
    <w:rsid w:val="582A48CA"/>
    <w:rsid w:val="585669A1"/>
    <w:rsid w:val="58575114"/>
    <w:rsid w:val="586A6CD3"/>
    <w:rsid w:val="58F0004F"/>
    <w:rsid w:val="5B29411A"/>
    <w:rsid w:val="5B332F22"/>
    <w:rsid w:val="5B404BF5"/>
    <w:rsid w:val="5C352F81"/>
    <w:rsid w:val="5C481392"/>
    <w:rsid w:val="5C7D2850"/>
    <w:rsid w:val="5D3B1FAF"/>
    <w:rsid w:val="5E37023C"/>
    <w:rsid w:val="5EBD4347"/>
    <w:rsid w:val="6062132C"/>
    <w:rsid w:val="609B3D0A"/>
    <w:rsid w:val="60FB22D6"/>
    <w:rsid w:val="62275758"/>
    <w:rsid w:val="62B25BF3"/>
    <w:rsid w:val="62FB17A7"/>
    <w:rsid w:val="63B17B31"/>
    <w:rsid w:val="64AB5AC2"/>
    <w:rsid w:val="65482B5B"/>
    <w:rsid w:val="663807D3"/>
    <w:rsid w:val="66D907B4"/>
    <w:rsid w:val="67EB02D3"/>
    <w:rsid w:val="680E6862"/>
    <w:rsid w:val="68D462E2"/>
    <w:rsid w:val="6B2D21AC"/>
    <w:rsid w:val="6B4231EB"/>
    <w:rsid w:val="6C314177"/>
    <w:rsid w:val="6CB75C6F"/>
    <w:rsid w:val="6CE1504F"/>
    <w:rsid w:val="6DC35362"/>
    <w:rsid w:val="6DC43325"/>
    <w:rsid w:val="6EF7504A"/>
    <w:rsid w:val="6FB50AC4"/>
    <w:rsid w:val="6FCE7299"/>
    <w:rsid w:val="705D24F7"/>
    <w:rsid w:val="708B611B"/>
    <w:rsid w:val="7102308E"/>
    <w:rsid w:val="71DE37F9"/>
    <w:rsid w:val="71FA70DD"/>
    <w:rsid w:val="735C7771"/>
    <w:rsid w:val="736C5435"/>
    <w:rsid w:val="73D46B64"/>
    <w:rsid w:val="743E3935"/>
    <w:rsid w:val="762175E8"/>
    <w:rsid w:val="762C50DC"/>
    <w:rsid w:val="76952A13"/>
    <w:rsid w:val="76F63407"/>
    <w:rsid w:val="7704582C"/>
    <w:rsid w:val="77076BE4"/>
    <w:rsid w:val="773D2A7C"/>
    <w:rsid w:val="777478F6"/>
    <w:rsid w:val="78594ECA"/>
    <w:rsid w:val="7A027780"/>
    <w:rsid w:val="7A74193D"/>
    <w:rsid w:val="7AC974A3"/>
    <w:rsid w:val="7AEF0930"/>
    <w:rsid w:val="7B704E7B"/>
    <w:rsid w:val="7B754103"/>
    <w:rsid w:val="7D913BAC"/>
    <w:rsid w:val="7DEC30E8"/>
    <w:rsid w:val="7E30384A"/>
    <w:rsid w:val="7E5367C5"/>
    <w:rsid w:val="7E9F4196"/>
    <w:rsid w:val="7F922F40"/>
    <w:rsid w:val="7FEE23CB"/>
  </w:rsids>
  <w:docVars>
    <w:docVar w:name="commondata" w:val="eyJoZGlkIjoiNWFhMWI5MDQwNDBiYWI1ZmY5ZTQxYWNiYzY0MTdmZDA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qFormat="1"/>
    <w:lsdException w:name="heading 2" w:semiHidden="0" w:qFormat="1"/>
    <w:lsdException w:name="heading 3" w:semiHidden="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qFormat="1"/>
    <w:lsdException w:name="toc 2" w:semiHidden="0" w:uiPriority="0" w:unhideWhenUsed="0" w:qFormat="1"/>
    <w:lsdException w:name="toc 3" w:semiHidden="0" w:uiPriority="0" w:unhideWhenUsed="0" w:qFormat="1"/>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qFormat="1"/>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qFormat="1"/>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qFormat="1"/>
    <w:lsdException w:name="Body Text" w:semiHidden="0" w:uiPriority="0" w:unhideWhenUsed="0"/>
    <w:lsdException w:name="Body Text Indent" w:semiHidden="0" w:uiPriority="0" w:unhideWhenUsed="0" w:qFormat="1"/>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qFormat="1"/>
    <w:lsdException w:name="E-mail Signature" w:semiHidden="0" w:uiPriority="0" w:unhideWhenUsed="0"/>
    <w:lsdException w:name="Normal (Web)" w:semiHidden="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qFormat="1"/>
    <w:lsdException w:name="annotation subject" w:semiHidden="0" w:uiPriority="0" w:unhideWhenUsed="0" w:qFormat="1"/>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uiPriority="0"/>
    <w:lsdException w:name="Table Subtle 2" w:uiPriority="0"/>
    <w:lsdException w:name="Table Web 1" w:uiPriority="0"/>
    <w:lsdException w:name="Table Web 2" w:uiPriority="0"/>
    <w:lsdException w:name="Table Web 3" w:uiPriority="0"/>
    <w:lsdException w:name="Balloon Text" w:semiHidden="0" w:uiPriority="0" w:unhideWhenUsed="0"/>
    <w:lsdException w:name="Table Grid" w:semiHidden="0" w:uiPriority="0" w:unhideWhenUsed="0" w:qFormat="1"/>
    <w:lsdException w:name="Table Theme" w:uiPriority="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spacing w:line="360" w:lineRule="auto"/>
      <w:ind w:firstLine="883" w:firstLineChars="200"/>
      <w:jc w:val="both"/>
    </w:pPr>
    <w:rPr>
      <w:rFonts w:ascii="Calibri" w:eastAsia="宋体" w:hAnsi="Calibri" w:cs="Arial"/>
      <w:kern w:val="2"/>
      <w:sz w:val="24"/>
      <w:szCs w:val="22"/>
      <w:lang w:val="en-US" w:eastAsia="zh-CN" w:bidi="ar-SA"/>
    </w:rPr>
  </w:style>
  <w:style w:type="paragraph" w:styleId="Heading1">
    <w:name w:val="heading 1"/>
    <w:next w:val="Normal"/>
    <w:autoRedefine/>
    <w:uiPriority w:val="99"/>
    <w:unhideWhenUsed/>
    <w:qFormat/>
    <w:pPr>
      <w:widowControl w:val="0"/>
      <w:autoSpaceDE w:val="0"/>
      <w:autoSpaceDN w:val="0"/>
      <w:adjustRightInd w:val="0"/>
      <w:outlineLvl w:val="0"/>
    </w:pPr>
    <w:rPr>
      <w:rFonts w:ascii="MingLiU" w:eastAsia="MingLiU" w:hAnsi="MingLiU" w:cstheme="minorBidi"/>
      <w:b/>
      <w:color w:val="000000"/>
      <w:sz w:val="32"/>
      <w:lang w:val="en-US" w:eastAsia="zh-CN" w:bidi="ar-SA"/>
    </w:rPr>
  </w:style>
  <w:style w:type="paragraph" w:styleId="Heading2">
    <w:name w:val="heading 2"/>
    <w:next w:val="Normal"/>
    <w:uiPriority w:val="99"/>
    <w:unhideWhenUsed/>
    <w:qFormat/>
    <w:pPr>
      <w:widowControl w:val="0"/>
      <w:autoSpaceDE w:val="0"/>
      <w:autoSpaceDN w:val="0"/>
      <w:adjustRightInd w:val="0"/>
      <w:outlineLvl w:val="1"/>
    </w:pPr>
    <w:rPr>
      <w:rFonts w:ascii="MingLiU" w:eastAsia="MingLiU" w:hAnsi="MingLiU" w:cstheme="minorBidi"/>
      <w:b/>
      <w:i/>
      <w:color w:val="000000"/>
      <w:sz w:val="28"/>
      <w:lang w:val="en-US" w:eastAsia="zh-CN" w:bidi="ar-SA"/>
    </w:rPr>
  </w:style>
  <w:style w:type="paragraph" w:styleId="Heading3">
    <w:name w:val="heading 3"/>
    <w:basedOn w:val="Normal"/>
    <w:next w:val="Normal"/>
    <w:autoRedefine/>
    <w:uiPriority w:val="99"/>
    <w:unhideWhenUsed/>
    <w:qFormat/>
    <w:pPr>
      <w:widowControl w:val="0"/>
      <w:autoSpaceDE w:val="0"/>
      <w:autoSpaceDN w:val="0"/>
      <w:adjustRightInd w:val="0"/>
      <w:outlineLvl w:val="2"/>
    </w:pPr>
    <w:rPr>
      <w:rFonts w:ascii="MingLiU" w:eastAsia="MingLiU" w:hAnsi="MingLiU" w:cstheme="minorBidi"/>
      <w:b/>
      <w:color w:val="000000"/>
      <w:sz w:val="26"/>
      <w:lang w:val="en-US" w:eastAsia="zh-CN" w:bidi="ar-SA"/>
    </w:rPr>
  </w:style>
  <w:style w:type="character" w:default="1" w:styleId="DefaultParagraphFont">
    <w:name w:val="Default Paragraph Font"/>
    <w:autoRedefine/>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CommentText">
    <w:name w:val="annotation text"/>
    <w:basedOn w:val="Normal"/>
    <w:link w:val="a1"/>
    <w:autoRedefine/>
    <w:qFormat/>
    <w:pPr>
      <w:jc w:val="left"/>
    </w:pPr>
  </w:style>
  <w:style w:type="paragraph" w:styleId="BodyTextIndent">
    <w:name w:val="Body Text Indent"/>
    <w:basedOn w:val="Normal"/>
    <w:qFormat/>
    <w:pPr>
      <w:ind w:left="-540" w:firstLine="540" w:leftChars="-257" w:firstLineChars="257"/>
    </w:pPr>
  </w:style>
  <w:style w:type="paragraph" w:styleId="TOC3">
    <w:name w:val="toc 3"/>
    <w:basedOn w:val="Normal"/>
    <w:next w:val="Normal"/>
    <w:autoRedefine/>
    <w:qFormat/>
    <w:pPr>
      <w:ind w:left="840" w:leftChars="400"/>
    </w:pPr>
  </w:style>
  <w:style w:type="paragraph" w:styleId="PlainText">
    <w:name w:val="Plain Text"/>
    <w:basedOn w:val="Normal"/>
    <w:autoRedefine/>
    <w:qFormat/>
    <w:rPr>
      <w:rFonts w:ascii="宋体" w:hAnsi="Courier New"/>
      <w:szCs w:val="21"/>
    </w:rPr>
  </w:style>
  <w:style w:type="paragraph" w:styleId="Footer">
    <w:name w:val="footer"/>
    <w:basedOn w:val="Normal"/>
    <w:link w:val="a0"/>
    <w:autoRedefine/>
    <w:qFormat/>
    <w:pPr>
      <w:tabs>
        <w:tab w:val="center" w:pos="4153"/>
        <w:tab w:val="right" w:pos="8306"/>
      </w:tabs>
      <w:snapToGrid w:val="0"/>
      <w:spacing w:line="240" w:lineRule="auto"/>
      <w:jc w:val="left"/>
    </w:pPr>
    <w:rPr>
      <w:sz w:val="18"/>
      <w:szCs w:val="18"/>
    </w:rPr>
  </w:style>
  <w:style w:type="paragraph" w:styleId="Header">
    <w:name w:val="header"/>
    <w:basedOn w:val="Normal"/>
    <w:link w:val="a"/>
    <w:qFormat/>
    <w:pPr>
      <w:pBdr>
        <w:bottom w:val="single" w:sz="6" w:space="1" w:color="auto"/>
      </w:pBdr>
      <w:tabs>
        <w:tab w:val="center" w:pos="4153"/>
        <w:tab w:val="right" w:pos="8306"/>
      </w:tabs>
      <w:snapToGrid w:val="0"/>
      <w:spacing w:line="240" w:lineRule="auto"/>
      <w:jc w:val="center"/>
    </w:pPr>
    <w:rPr>
      <w:sz w:val="18"/>
      <w:szCs w:val="18"/>
    </w:rPr>
  </w:style>
  <w:style w:type="paragraph" w:styleId="TOC1">
    <w:name w:val="toc 1"/>
    <w:basedOn w:val="Normal"/>
    <w:next w:val="Normal"/>
    <w:autoRedefine/>
    <w:qFormat/>
  </w:style>
  <w:style w:type="paragraph" w:styleId="TOC2">
    <w:name w:val="toc 2"/>
    <w:basedOn w:val="Normal"/>
    <w:next w:val="Normal"/>
    <w:autoRedefine/>
    <w:qFormat/>
    <w:pPr>
      <w:ind w:left="420" w:leftChars="200"/>
    </w:pPr>
  </w:style>
  <w:style w:type="paragraph" w:styleId="NormalWeb">
    <w:name w:val="Normal (Web)"/>
    <w:basedOn w:val="Normal"/>
    <w:uiPriority w:val="99"/>
    <w:unhideWhenUsed/>
    <w:qFormat/>
    <w:pPr>
      <w:widowControl/>
      <w:spacing w:before="100" w:beforeAutospacing="1" w:after="100" w:afterAutospacing="1"/>
      <w:jc w:val="left"/>
    </w:pPr>
    <w:rPr>
      <w:rFonts w:ascii="宋体" w:hAnsi="宋体" w:cs="宋体"/>
      <w:kern w:val="0"/>
      <w:szCs w:val="24"/>
    </w:rPr>
  </w:style>
  <w:style w:type="paragraph" w:styleId="CommentSubject">
    <w:name w:val="annotation subject"/>
    <w:basedOn w:val="CommentText"/>
    <w:next w:val="CommentText"/>
    <w:link w:val="a2"/>
    <w:autoRedefine/>
    <w:qFormat/>
    <w:rPr>
      <w:b/>
      <w:bCs/>
    </w:rPr>
  </w:style>
  <w:style w:type="table" w:styleId="TableGrid">
    <w:name w:val="Table Grid"/>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autoRedefine/>
    <w:qFormat/>
    <w:rPr>
      <w:sz w:val="21"/>
      <w:szCs w:val="21"/>
    </w:rPr>
  </w:style>
  <w:style w:type="table" w:customStyle="1" w:styleId="31">
    <w:name w:val="无格式表格 31"/>
    <w:basedOn w:val="TableNormal"/>
    <w:qFormat/>
    <w:rPr>
      <w:rFonts w:ascii="Calibri" w:hAnsi="Calibri"/>
    </w:rPr>
    <w:tblPr/>
    <w:tblStylePr w:type="firstRow">
      <w:rPr>
        <w:b/>
        <w:bCs/>
        <w:caps/>
      </w:rPr>
      <w:tblPr/>
      <w:tcPr>
        <w:tcBorders>
          <w:bottom w:val="single" w:sz="4" w:space="0" w:color="7F7F7F"/>
        </w:tcBorders>
      </w:tcPr>
    </w:tblStylePr>
    <w:tblStylePr w:type="lastRow">
      <w:rPr>
        <w:b/>
        <w:bCs/>
        <w:caps/>
      </w:rPr>
      <w:tblPr/>
      <w:tcPr>
        <w:tcBorders>
          <w:top w:val="nil"/>
        </w:tcBorders>
      </w:tcPr>
    </w:tblStylePr>
    <w:tblStylePr w:type="firstCol">
      <w:rPr>
        <w:b/>
        <w:bCs/>
        <w:caps/>
      </w:rPr>
      <w:tblPr/>
      <w:tcPr>
        <w:tcBorders>
          <w:right w:val="single" w:sz="4" w:space="0" w:color="7F7F7F"/>
        </w:tcBorders>
      </w:tcPr>
    </w:tblStylePr>
    <w:tblStylePr w:type="lastCol">
      <w:rPr>
        <w:b/>
        <w:bCs/>
        <w:caps/>
      </w:rPr>
      <w:tblPr/>
      <w:tcPr>
        <w:tcBorders>
          <w:left w:val="nil"/>
        </w:tcBorders>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style>
  <w:style w:type="character" w:customStyle="1" w:styleId="a">
    <w:name w:val="页眉 字符"/>
    <w:basedOn w:val="DefaultParagraphFont"/>
    <w:link w:val="Header"/>
    <w:qFormat/>
    <w:rPr>
      <w:rFonts w:ascii="Calibri" w:hAnsi="Calibri" w:cs="Arial"/>
      <w:kern w:val="2"/>
      <w:sz w:val="18"/>
      <w:szCs w:val="18"/>
    </w:rPr>
  </w:style>
  <w:style w:type="character" w:customStyle="1" w:styleId="a0">
    <w:name w:val="页脚 字符"/>
    <w:basedOn w:val="DefaultParagraphFont"/>
    <w:link w:val="Footer"/>
    <w:autoRedefine/>
    <w:qFormat/>
    <w:rPr>
      <w:rFonts w:ascii="Calibri" w:hAnsi="Calibri" w:cs="Arial"/>
      <w:kern w:val="2"/>
      <w:sz w:val="18"/>
      <w:szCs w:val="18"/>
    </w:rPr>
  </w:style>
  <w:style w:type="character" w:customStyle="1" w:styleId="a1">
    <w:name w:val="批注文字 字符"/>
    <w:basedOn w:val="DefaultParagraphFont"/>
    <w:link w:val="CommentText"/>
    <w:qFormat/>
    <w:rPr>
      <w:rFonts w:ascii="Calibri" w:hAnsi="Calibri" w:cs="Arial"/>
      <w:kern w:val="2"/>
      <w:sz w:val="24"/>
      <w:szCs w:val="22"/>
    </w:rPr>
  </w:style>
  <w:style w:type="character" w:customStyle="1" w:styleId="a2">
    <w:name w:val="批注主题 字符"/>
    <w:basedOn w:val="a1"/>
    <w:link w:val="CommentSubject"/>
    <w:qFormat/>
    <w:rPr>
      <w:rFonts w:ascii="Calibri" w:hAnsi="Calibri" w:cs="Arial"/>
      <w:b/>
      <w:bCs/>
      <w:kern w:val="2"/>
      <w:sz w:val="24"/>
      <w:szCs w:val="22"/>
    </w:rPr>
  </w:style>
  <w:style w:type="table" w:customStyle="1" w:styleId="TableNormal0">
    <w:name w:val="Table Normal_0"/>
    <w:autoRedefine/>
    <w:qFormat/>
    <w:tblPr>
      <w:tblCellMar>
        <w:top w:w="0" w:type="dxa"/>
        <w:left w:w="0" w:type="dxa"/>
        <w:bottom w:w="0" w:type="dxa"/>
        <w:right w:w="0" w:type="dxa"/>
      </w:tblCellMar>
    </w:tblPr>
  </w:style>
  <w:style w:type="paragraph" w:styleId="ListParagraph">
    <w:name w:val="List Paragraph"/>
    <w:basedOn w:val="Normal"/>
    <w:uiPriority w:val="34"/>
    <w:qFormat/>
    <w:pPr>
      <w:ind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footnotes" Target="footnotes.xml" /><Relationship Id="rId10" Type="http://schemas.openxmlformats.org/officeDocument/2006/relationships/footer" Target="footer2.xml" /><Relationship Id="rId11" Type="http://schemas.openxmlformats.org/officeDocument/2006/relationships/header" Target="header3.xml" /><Relationship Id="rId12" Type="http://schemas.openxmlformats.org/officeDocument/2006/relationships/footer" Target="footer3.xml" /><Relationship Id="rId13" Type="http://schemas.openxmlformats.org/officeDocument/2006/relationships/image" Target="media/image1.png" /><Relationship Id="rId14" Type="http://schemas.openxmlformats.org/officeDocument/2006/relationships/header" Target="header4.xml" /><Relationship Id="rId15" Type="http://schemas.openxmlformats.org/officeDocument/2006/relationships/footer" Target="footer4.xml" /><Relationship Id="rId16" Type="http://schemas.openxmlformats.org/officeDocument/2006/relationships/header" Target="header5.xml" /><Relationship Id="rId17" Type="http://schemas.openxmlformats.org/officeDocument/2006/relationships/footer" Target="footer5.xml" /><Relationship Id="rId18" Type="http://schemas.openxmlformats.org/officeDocument/2006/relationships/header" Target="header6.xml" /><Relationship Id="rId19" Type="http://schemas.openxmlformats.org/officeDocument/2006/relationships/footer" Target="footer6.xml" /><Relationship Id="rId2" Type="http://schemas.openxmlformats.org/officeDocument/2006/relationships/endnotes" Target="endnotes.xml" /><Relationship Id="rId20" Type="http://schemas.openxmlformats.org/officeDocument/2006/relationships/hyperlink" Target="https://d.book118.com/856224213133010050" TargetMode="External" /><Relationship Id="rId21" Type="http://schemas.openxmlformats.org/officeDocument/2006/relationships/header" Target="header7.xml" /><Relationship Id="rId22" Type="http://schemas.openxmlformats.org/officeDocument/2006/relationships/footer" Target="footer7.xml" /><Relationship Id="rId23" Type="http://schemas.openxmlformats.org/officeDocument/2006/relationships/theme" Target="theme/theme1.xml" /><Relationship Id="rId24" Type="http://schemas.openxmlformats.org/officeDocument/2006/relationships/numbering" Target="numbering.xml" /><Relationship Id="rId25" Type="http://schemas.openxmlformats.org/officeDocument/2006/relationships/styles" Target="styles.xml" /><Relationship Id="rId3" Type="http://schemas.openxmlformats.org/officeDocument/2006/relationships/settings" Target="settings.xml" /><Relationship Id="rId4" Type="http://schemas.openxmlformats.org/officeDocument/2006/relationships/webSettings" Target="webSettings.xml" /><Relationship Id="rId5" Type="http://schemas.openxmlformats.org/officeDocument/2006/relationships/fontTable" Target="fontTable.xml" /><Relationship Id="rId6" Type="http://schemas.openxmlformats.org/officeDocument/2006/relationships/customXml" Target="../customXml/item1.xml" /><Relationship Id="rId7" Type="http://schemas.openxmlformats.org/officeDocument/2006/relationships/header" Target="header1.xml" /><Relationship Id="rId8" Type="http://schemas.openxmlformats.org/officeDocument/2006/relationships/footer" Target="footer1.xml" /><Relationship Id="rId9" Type="http://schemas.openxmlformats.org/officeDocument/2006/relationships/header" Target="head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7</Pages>
  <Words>3980</Words>
  <Characters>22689</Characters>
  <Application>Microsoft Office Word</Application>
  <DocSecurity>0</DocSecurity>
  <Lines>189</Lines>
  <Paragraphs>53</Paragraphs>
  <ScaleCrop>false</ScaleCrop>
  <Company/>
  <LinksUpToDate>false</LinksUpToDate>
  <CharactersWithSpaces>26616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赤铜的人偶师</dc:creator>
  <cp:lastModifiedBy>ABEEL</cp:lastModifiedBy>
  <cp:revision>34</cp:revision>
  <dcterms:created xsi:type="dcterms:W3CDTF">2014-10-29T12:08:00Z</dcterms:created>
  <dcterms:modified xsi:type="dcterms:W3CDTF">2024-02-18T11:32:00Z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00B01B69973241548704A50A76E00F4E_13</vt:lpwstr>
  </property>
  <property fmtid="{D5CDD505-2E9C-101B-9397-08002B2CF9AE}" pid="3" name="KSOProductBuildVer">
    <vt:lpwstr>2052-12.1.0.16388</vt:lpwstr>
  </property>
</Properties>
</file>