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电解质分析仪项目招商引资方案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一、电解质分析仪项目建设背景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(一)、电解质分析仪项目承办单位背景分析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(三)、电解质分析仪项目建设对区域经济的影响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(四)、电解质分析仪项目必要性分析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_Toc11689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三、电解质分析仪项目概论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(一)、电解质分析仪项目名称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(二)、电解质分析仪项目选址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(三)、电解质分析仪项目用地规模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(四)、电解质分析仪项目用地控制指标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(九)、电解质分析仪项目总投资及资本结构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(十一)、电解质分析仪项目预期经济效益规划目标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(十二)、电解质分析仪项目进度计划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(十四)、电解质分析仪项目评价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_Toc27080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(三)、电解质分析仪项目盈利能力分析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(一)、电解质分析仪项目建设期的原材料及辅助材料供应概述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(二)、电解质分析仪项目运营期原辅材料采购及管理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(四)、电解质分析仪项目工艺技术设计方案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(五)、电解质分析仪项目设备选型及配置方案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(三)、电解质分析仪项目地能源消耗与供应状况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9" w:history="1">
        <w:r>
          <w:rPr>
            <w:rFonts w:ascii="仿宋" w:eastAsia="仿宋" w:hAnsi="仿宋" w:cs="仿宋" w:hint="eastAsia"/>
            <w:lang w:eastAsia="zh-CN"/>
          </w:rPr>
          <w:t>(七)、电解质分析仪项目建设风险及控制手段</w:t>
        </w:r>
        <w:r>
          <w:tab/>
        </w:r>
        <w:r>
          <w:fldChar w:fldCharType="begin"/>
        </w:r>
        <w:r>
          <w:instrText xml:space="preserve"> PAGEREF _Toc19239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九、电解质分析仪项目招投标方案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(四)、电解质分析仪项目招投标要求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(五)、电解质分析仪项目招标方式和招标程序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十、电解质分析仪项目可行性研究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十一、电解质分析仪项目管理计划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(一)、电解质分析仪项目管理概述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(二)、电解质分析仪项目组织结构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1" w:history="1">
        <w:r>
          <w:rPr>
            <w:rFonts w:ascii="仿宋" w:eastAsia="仿宋" w:hAnsi="仿宋" w:cs="仿宋" w:hint="eastAsia"/>
            <w:lang w:eastAsia="zh-CN"/>
          </w:rPr>
          <w:t>(三)、电解质分析仪项目计划与进度</w:t>
        </w:r>
        <w:r>
          <w:tab/>
        </w:r>
        <w:r>
          <w:fldChar w:fldCharType="begin"/>
        </w:r>
        <w:r>
          <w:instrText xml:space="preserve"> PAGEREF _Toc8501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eastAsia="zh-CN"/>
          </w:rPr>
          <w:t>(四)、电解质分析仪项目质量管理</w:t>
        </w:r>
        <w:r>
          <w:tab/>
        </w:r>
        <w:r>
          <w:fldChar w:fldCharType="begin"/>
        </w:r>
        <w:r>
          <w:instrText xml:space="preserve"> PAGEREF _Toc25907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(五)、电解质分析仪项目风险管理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(六)、电解质分析仪项目成本管理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(七)、电解质分析仪项目人力资源管理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(八)、电解质分析仪项目沟通与合作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https://d.book118.com/857005141160006042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电解质分析仪项目招商引资方案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电解质分析仪项目招商引资方案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电解质分析仪项目招商引资方案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电解质分析仪项目招商引资方案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432240"/>
    <w:rsid w:val="664322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005141160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2024-01-24T22:30:00Z</dcterms:created>
  <dcterms:modified xsi:type="dcterms:W3CDTF">2024-01-24T22:31:01Z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CE078655750D4B5894F880A4F1B188FB_11</vt:lpwstr>
  </property>
  <property fmtid="{D5CDD505-2E9C-101B-9397-08002B2CF9AE}" pid="3" name="KSOProductBuildVer">
    <vt:lpwstr>2052-12.1.0.16250</vt:lpwstr>
  </property>
</Properties>
</file>